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Default Extension="jpeg" ContentType="image/jpeg"/>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29152">
            <wp:simplePos x="0" y="0"/>
            <wp:positionH relativeFrom="page">
              <wp:posOffset>0</wp:posOffset>
            </wp:positionH>
            <wp:positionV relativeFrom="page">
              <wp:posOffset>4573112</wp:posOffset>
            </wp:positionV>
            <wp:extent cx="7772400" cy="5485287"/>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5485287"/>
                    </a:xfrm>
                    <a:prstGeom prst="rect">
                      <a:avLst/>
                    </a:prstGeom>
                  </pic:spPr>
                </pic:pic>
              </a:graphicData>
            </a:graphic>
          </wp:anchor>
        </w:drawing>
      </w:r>
      <w:r>
        <w:rPr/>
        <w:pict>
          <v:group style="position:absolute;margin-left:0pt;margin-top:277.190979pt;width:612pt;height:250.1pt;mso-position-horizontal-relative:page;mso-position-vertical-relative:page;z-index:15729664" id="docshapegroup1" coordorigin="0,5544" coordsize="12240,5002">
            <v:rect style="position:absolute;left:0;top:6348;width:12240;height:4198" id="docshape2" filled="true" fillcolor="#231f20" stroked="false">
              <v:fill opacity="13106f" type="solid"/>
            </v:rect>
            <v:shape style="position:absolute;left:0;top:6411;width:12240;height:3794" id="docshape3" coordorigin="0,6411" coordsize="12240,3794" path="m12240,6411l0,9403,0,10205,12240,7244,12240,6411xe" filled="true" fillcolor="#ce372e" stroked="false">
              <v:path arrowok="t"/>
              <v:fill type="solid"/>
            </v:shape>
            <v:rect style="position:absolute;left:4158;top:5543;width:8082;height:2974" id="docshape4" filled="true" fillcolor="#231f20" stroked="false">
              <v:fill opacity="13106f" type="solid"/>
            </v:rect>
            <v:shape style="position:absolute;left:4507;top:5893;width:7733;height:2413" id="docshape5" coordorigin="4507,5894" coordsize="7733,2413" path="m12240,5894l4543,7787,4507,8306,12240,6414,12240,5894xe" filled="true" fillcolor="#1c384b" stroked="false">
              <v:path arrowok="t"/>
              <v:fill type="solid"/>
            </v:shape>
            <w10:wrap type="none"/>
          </v:group>
        </w:pict>
      </w:r>
      <w:r>
        <w:rPr/>
        <w:pict>
          <v:group style="position:absolute;margin-left:0pt;margin-top:583.744995pt;width:612pt;height:208.3pt;mso-position-horizontal-relative:page;mso-position-vertical-relative:page;z-index:15730176" id="docshapegroup6" coordorigin="0,11675" coordsize="12240,4166">
            <v:rect style="position:absolute;left:0;top:11674;width:12240;height:4166" id="docshape7" filled="true" fillcolor="#231f20" stroked="false">
              <v:fill opacity="13106f" type="solid"/>
            </v:rect>
            <v:shape style="position:absolute;left:0;top:12769;width:12240;height:3071" id="docshape8" coordorigin="0,12769" coordsize="12240,3071" path="m12240,12769l3024,15015,3024,15021,0,15758,0,15840,12240,15840,12240,12769xe" filled="true" fillcolor="#1c384b" stroked="false">
              <v:path arrowok="t"/>
              <v:fill type="solid"/>
            </v:shape>
            <v:shape style="position:absolute;left:8052;top:14042;width:3486;height:1232" type="#_x0000_t75" id="docshape9" alt="SAMHSA logo " stroked="false">
              <v:imagedata r:id="rId6" o:title=""/>
            </v:shape>
            <w10:wrap type="none"/>
          </v:group>
        </w:pict>
      </w:r>
    </w:p>
    <w:p>
      <w:pPr>
        <w:pStyle w:val="BodyText"/>
        <w:spacing w:before="6"/>
        <w:rPr>
          <w:sz w:val="27"/>
        </w:rPr>
      </w:pPr>
    </w:p>
    <w:p>
      <w:pPr>
        <w:spacing w:before="91"/>
        <w:ind w:left="120" w:right="0" w:firstLine="0"/>
        <w:jc w:val="left"/>
        <w:rPr>
          <w:rFonts w:ascii="Arial"/>
          <w:sz w:val="28"/>
        </w:rPr>
      </w:pPr>
      <w:bookmarkStart w:name="Telehealth for theTreatment of SeriousMe" w:id="1"/>
      <w:bookmarkEnd w:id="1"/>
      <w:r>
        <w:rPr/>
      </w:r>
      <w:r>
        <w:rPr>
          <w:rFonts w:ascii="Arial"/>
          <w:color w:val="231F20"/>
          <w:spacing w:val="13"/>
          <w:sz w:val="28"/>
        </w:rPr>
        <w:t>EVIDENCE-BASED</w:t>
      </w:r>
      <w:r>
        <w:rPr>
          <w:rFonts w:ascii="Arial"/>
          <w:color w:val="231F20"/>
          <w:spacing w:val="28"/>
          <w:sz w:val="28"/>
        </w:rPr>
        <w:t> </w:t>
      </w:r>
      <w:r>
        <w:rPr>
          <w:rFonts w:ascii="Arial"/>
          <w:color w:val="231F20"/>
          <w:spacing w:val="12"/>
          <w:sz w:val="28"/>
        </w:rPr>
        <w:t>RESOURCE</w:t>
      </w:r>
      <w:r>
        <w:rPr>
          <w:rFonts w:ascii="Arial"/>
          <w:color w:val="231F20"/>
          <w:spacing w:val="29"/>
          <w:sz w:val="28"/>
        </w:rPr>
        <w:t> </w:t>
      </w:r>
      <w:r>
        <w:rPr>
          <w:rFonts w:ascii="Arial"/>
          <w:color w:val="231F20"/>
          <w:spacing w:val="11"/>
          <w:sz w:val="28"/>
        </w:rPr>
        <w:t>GUIDE</w:t>
      </w:r>
      <w:r>
        <w:rPr>
          <w:rFonts w:ascii="Arial"/>
          <w:color w:val="231F20"/>
          <w:spacing w:val="29"/>
          <w:sz w:val="28"/>
        </w:rPr>
        <w:t> </w:t>
      </w:r>
      <w:r>
        <w:rPr>
          <w:rFonts w:ascii="Arial"/>
          <w:color w:val="231F20"/>
          <w:spacing w:val="14"/>
          <w:sz w:val="28"/>
        </w:rPr>
        <w:t>SERIES</w:t>
      </w:r>
    </w:p>
    <w:p>
      <w:pPr>
        <w:pStyle w:val="BodyText"/>
        <w:rPr>
          <w:rFonts w:ascii="Arial"/>
          <w:sz w:val="20"/>
        </w:rPr>
      </w:pPr>
    </w:p>
    <w:p>
      <w:pPr>
        <w:pStyle w:val="BodyText"/>
        <w:spacing w:after="1"/>
        <w:rPr>
          <w:rFonts w:ascii="Arial"/>
          <w:sz w:val="14"/>
        </w:rPr>
      </w:pPr>
    </w:p>
    <w:p>
      <w:pPr>
        <w:pStyle w:val="BodyText"/>
        <w:spacing w:line="20" w:lineRule="exact"/>
        <w:ind w:left="-600"/>
        <w:rPr>
          <w:rFonts w:ascii="Arial"/>
          <w:sz w:val="2"/>
        </w:rPr>
      </w:pPr>
      <w:r>
        <w:rPr>
          <w:rFonts w:ascii="Arial"/>
          <w:sz w:val="2"/>
        </w:rPr>
        <w:pict>
          <v:group style="width:370.8pt;height:2pt;mso-position-horizontal-relative:char;mso-position-vertical-relative:line" id="docshapegroup10" coordorigin="0,0" coordsize="7416,40">
            <v:line style="position:absolute" from="0,20" to="7416,20" stroked="true" strokeweight="2pt" strokecolor="#ce372e">
              <v:stroke dashstyle="solid"/>
            </v:line>
          </v:group>
        </w:pict>
      </w:r>
      <w:r>
        <w:rPr>
          <w:rFonts w:ascii="Arial"/>
          <w:sz w:val="2"/>
        </w:rPr>
      </w:r>
    </w:p>
    <w:p>
      <w:pPr>
        <w:pStyle w:val="BodyText"/>
        <w:rPr>
          <w:rFonts w:ascii="Arial"/>
          <w:sz w:val="26"/>
        </w:rPr>
      </w:pPr>
    </w:p>
    <w:p>
      <w:pPr>
        <w:pStyle w:val="Title"/>
        <w:spacing w:line="204" w:lineRule="auto"/>
      </w:pPr>
      <w:r>
        <w:rPr>
          <w:color w:val="1C384B"/>
          <w:spacing w:val="15"/>
        </w:rPr>
        <w:t>Telehealth</w:t>
      </w:r>
      <w:r>
        <w:rPr>
          <w:color w:val="1C384B"/>
          <w:spacing w:val="43"/>
        </w:rPr>
        <w:t> </w:t>
      </w:r>
      <w:r>
        <w:rPr>
          <w:color w:val="1C384B"/>
          <w:spacing w:val="11"/>
        </w:rPr>
        <w:t>for</w:t>
      </w:r>
      <w:r>
        <w:rPr>
          <w:color w:val="1C384B"/>
          <w:spacing w:val="43"/>
        </w:rPr>
        <w:t> </w:t>
      </w:r>
      <w:r>
        <w:rPr>
          <w:color w:val="1C384B"/>
          <w:spacing w:val="21"/>
        </w:rPr>
        <w:t>the</w:t>
      </w:r>
      <w:r>
        <w:rPr>
          <w:color w:val="1C384B"/>
          <w:spacing w:val="22"/>
        </w:rPr>
        <w:t> </w:t>
      </w:r>
      <w:r>
        <w:rPr>
          <w:color w:val="1C384B"/>
          <w:spacing w:val="16"/>
        </w:rPr>
        <w:t>Treatment</w:t>
      </w:r>
      <w:r>
        <w:rPr>
          <w:color w:val="1C384B"/>
          <w:spacing w:val="43"/>
        </w:rPr>
        <w:t> </w:t>
      </w:r>
      <w:r>
        <w:rPr>
          <w:color w:val="1C384B"/>
          <w:spacing w:val="10"/>
        </w:rPr>
        <w:t>of</w:t>
      </w:r>
      <w:r>
        <w:rPr>
          <w:color w:val="1C384B"/>
          <w:spacing w:val="75"/>
        </w:rPr>
        <w:t> </w:t>
      </w:r>
      <w:r>
        <w:rPr>
          <w:color w:val="1C384B"/>
          <w:spacing w:val="21"/>
        </w:rPr>
        <w:t>Serious</w:t>
      </w:r>
      <w:r>
        <w:rPr>
          <w:color w:val="1C384B"/>
          <w:spacing w:val="-177"/>
        </w:rPr>
        <w:t> </w:t>
      </w:r>
      <w:r>
        <w:rPr>
          <w:color w:val="1C384B"/>
          <w:spacing w:val="17"/>
        </w:rPr>
        <w:t>Mental</w:t>
      </w:r>
      <w:r>
        <w:rPr>
          <w:color w:val="1C384B"/>
          <w:spacing w:val="43"/>
        </w:rPr>
        <w:t> </w:t>
      </w:r>
      <w:r>
        <w:rPr>
          <w:color w:val="1C384B"/>
          <w:spacing w:val="18"/>
        </w:rPr>
        <w:t>Illness</w:t>
      </w:r>
      <w:r>
        <w:rPr>
          <w:color w:val="1C384B"/>
          <w:spacing w:val="43"/>
        </w:rPr>
        <w:t> </w:t>
      </w:r>
      <w:r>
        <w:rPr>
          <w:color w:val="1C384B"/>
          <w:spacing w:val="21"/>
        </w:rPr>
        <w:t>and</w:t>
      </w:r>
    </w:p>
    <w:p>
      <w:pPr>
        <w:pStyle w:val="Title"/>
        <w:spacing w:line="204" w:lineRule="auto" w:before="2"/>
      </w:pPr>
      <w:r>
        <w:rPr>
          <w:color w:val="1C384B"/>
          <w:spacing w:val="18"/>
        </w:rPr>
        <w:t>Substance</w:t>
      </w:r>
      <w:r>
        <w:rPr>
          <w:color w:val="1C384B"/>
          <w:spacing w:val="48"/>
        </w:rPr>
        <w:t> </w:t>
      </w:r>
      <w:r>
        <w:rPr>
          <w:color w:val="1C384B"/>
          <w:spacing w:val="17"/>
        </w:rPr>
        <w:t>Use</w:t>
      </w:r>
      <w:r>
        <w:rPr>
          <w:color w:val="1C384B"/>
          <w:spacing w:val="-177"/>
        </w:rPr>
        <w:t> </w:t>
      </w:r>
      <w:r>
        <w:rPr>
          <w:color w:val="1C384B"/>
          <w:spacing w:val="21"/>
        </w:rPr>
        <w:t>Disorders</w:t>
      </w:r>
    </w:p>
    <w:p>
      <w:pPr>
        <w:spacing w:after="0" w:line="204" w:lineRule="auto"/>
        <w:sectPr>
          <w:type w:val="continuous"/>
          <w:pgSz w:w="12240" w:h="15840"/>
          <w:pgMar w:top="1500" w:bottom="0" w:left="600" w:right="0"/>
        </w:sectPr>
      </w:pPr>
    </w:p>
    <w:p>
      <w:pPr>
        <w:pStyle w:val="BodyText"/>
        <w:rPr>
          <w:rFonts w:ascii="Arial Black"/>
          <w:sz w:val="20"/>
        </w:rPr>
      </w:pPr>
      <w:r>
        <w:rPr/>
        <w:pict>
          <v:rect style="position:absolute;margin-left:0pt;margin-top:0pt;width:612pt;height:19.68pt;mso-position-horizontal-relative:page;mso-position-vertical-relative:page;z-index:-17889792" id="docshape11" filled="true" fillcolor="#1d384a" stroked="false">
            <v:fill type="solid"/>
            <w10:wrap type="none"/>
          </v:rect>
        </w:pict>
      </w:r>
      <w:r>
        <w:rPr/>
        <w:pict>
          <v:rect style="position:absolute;margin-left:0pt;margin-top:744.700012pt;width:612pt;height:1pt;mso-position-horizontal-relative:page;mso-position-vertical-relative:page;z-index:15731200" id="docshape12" filled="true" fillcolor="#1d384a" stroked="false">
            <v:fill type="solid"/>
            <w10:wrap type="none"/>
          </v:rect>
        </w:pic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7"/>
        <w:rPr>
          <w:rFonts w:ascii="Arial Black"/>
          <w:sz w:val="25"/>
        </w:rPr>
      </w:pPr>
    </w:p>
    <w:p>
      <w:pPr>
        <w:pStyle w:val="Heading1"/>
        <w:spacing w:line="196" w:lineRule="auto" w:before="180"/>
        <w:ind w:left="753" w:right="1381"/>
      </w:pPr>
      <w:bookmarkStart w:name="Acknowledgments" w:id="2"/>
      <w:bookmarkEnd w:id="2"/>
      <w:r>
        <w:rPr/>
      </w:r>
      <w:bookmarkStart w:name="Disclaimer" w:id="3"/>
      <w:bookmarkEnd w:id="3"/>
      <w:r>
        <w:rPr/>
      </w:r>
      <w:bookmarkStart w:name="Public Domain Notice" w:id="4"/>
      <w:bookmarkEnd w:id="4"/>
      <w:r>
        <w:rPr/>
      </w:r>
      <w:bookmarkStart w:name="Electronic Access" w:id="5"/>
      <w:bookmarkEnd w:id="5"/>
      <w:r>
        <w:rPr/>
      </w:r>
      <w:bookmarkStart w:name="Recommended Citation" w:id="6"/>
      <w:bookmarkEnd w:id="6"/>
      <w:r>
        <w:rPr/>
      </w:r>
      <w:bookmarkStart w:name="Originating Office" w:id="7"/>
      <w:bookmarkEnd w:id="7"/>
      <w:r>
        <w:rPr/>
      </w:r>
      <w:bookmarkStart w:name="Nondiscrimination Notice" w:id="8"/>
      <w:bookmarkEnd w:id="8"/>
      <w:r>
        <w:rPr/>
      </w:r>
      <w:r>
        <w:rPr>
          <w:color w:val="1C384B"/>
        </w:rPr>
        <w:t>Telehealth for the Treatment of Serious</w:t>
      </w:r>
      <w:r>
        <w:rPr>
          <w:color w:val="1C384B"/>
          <w:spacing w:val="1"/>
        </w:rPr>
        <w:t> </w:t>
      </w:r>
      <w:r>
        <w:rPr>
          <w:color w:val="1C384B"/>
        </w:rPr>
        <w:t>Mental</w:t>
      </w:r>
      <w:r>
        <w:rPr>
          <w:color w:val="1C384B"/>
          <w:spacing w:val="-32"/>
        </w:rPr>
        <w:t> </w:t>
      </w:r>
      <w:r>
        <w:rPr>
          <w:color w:val="1C384B"/>
        </w:rPr>
        <w:t>Illness</w:t>
      </w:r>
      <w:r>
        <w:rPr>
          <w:color w:val="1C384B"/>
          <w:spacing w:val="-32"/>
        </w:rPr>
        <w:t> </w:t>
      </w:r>
      <w:r>
        <w:rPr>
          <w:color w:val="1C384B"/>
        </w:rPr>
        <w:t>and</w:t>
      </w:r>
      <w:r>
        <w:rPr>
          <w:color w:val="1C384B"/>
          <w:spacing w:val="-31"/>
        </w:rPr>
        <w:t> </w:t>
      </w:r>
      <w:r>
        <w:rPr>
          <w:color w:val="1C384B"/>
        </w:rPr>
        <w:t>Substance</w:t>
      </w:r>
      <w:r>
        <w:rPr>
          <w:color w:val="1C384B"/>
          <w:spacing w:val="-32"/>
        </w:rPr>
        <w:t> </w:t>
      </w:r>
      <w:r>
        <w:rPr>
          <w:color w:val="1C384B"/>
        </w:rPr>
        <w:t>Use</w:t>
      </w:r>
      <w:r>
        <w:rPr>
          <w:color w:val="1C384B"/>
          <w:spacing w:val="-32"/>
        </w:rPr>
        <w:t> </w:t>
      </w:r>
      <w:r>
        <w:rPr>
          <w:color w:val="1C384B"/>
        </w:rPr>
        <w:t>Disorders</w:t>
      </w:r>
    </w:p>
    <w:p>
      <w:pPr>
        <w:spacing w:before="76"/>
        <w:ind w:left="753" w:right="0" w:firstLine="0"/>
        <w:jc w:val="left"/>
        <w:rPr>
          <w:rFonts w:ascii="Arial Black"/>
          <w:sz w:val="21"/>
        </w:rPr>
      </w:pPr>
      <w:r>
        <w:rPr>
          <w:rFonts w:ascii="Arial Black"/>
          <w:color w:val="CF382D"/>
          <w:sz w:val="21"/>
        </w:rPr>
        <w:t>Acknowledgments</w:t>
      </w:r>
    </w:p>
    <w:p>
      <w:pPr>
        <w:pStyle w:val="BodyText"/>
        <w:spacing w:line="266" w:lineRule="auto" w:before="49"/>
        <w:ind w:left="753" w:right="1364"/>
      </w:pPr>
      <w:r>
        <w:rPr>
          <w:color w:val="231F20"/>
        </w:rPr>
        <w:t>This report was prepared for the Substance Abuse and Mental Health Services Administration (SAMHSA)</w:t>
      </w:r>
      <w:r>
        <w:rPr>
          <w:color w:val="231F20"/>
          <w:spacing w:val="1"/>
        </w:rPr>
        <w:t> </w:t>
      </w:r>
      <w:r>
        <w:rPr>
          <w:color w:val="231F20"/>
        </w:rPr>
        <w:t>under contract number HHSS283201700001/ 75S20319F42002 with SAMHSA, U.S. Department of Health</w:t>
      </w:r>
      <w:r>
        <w:rPr>
          <w:color w:val="231F20"/>
          <w:spacing w:val="-53"/>
        </w:rPr>
        <w:t> </w:t>
      </w:r>
      <w:r>
        <w:rPr>
          <w:color w:val="231F20"/>
        </w:rPr>
        <w:t>and</w:t>
      </w:r>
      <w:r>
        <w:rPr>
          <w:color w:val="231F20"/>
          <w:spacing w:val="-2"/>
        </w:rPr>
        <w:t> </w:t>
      </w:r>
      <w:r>
        <w:rPr>
          <w:color w:val="231F20"/>
        </w:rPr>
        <w:t>Human</w:t>
      </w:r>
      <w:r>
        <w:rPr>
          <w:color w:val="231F20"/>
          <w:spacing w:val="-2"/>
        </w:rPr>
        <w:t> </w:t>
      </w:r>
      <w:r>
        <w:rPr>
          <w:color w:val="231F20"/>
        </w:rPr>
        <w:t>Services</w:t>
      </w:r>
      <w:r>
        <w:rPr>
          <w:color w:val="231F20"/>
          <w:spacing w:val="-2"/>
        </w:rPr>
        <w:t> </w:t>
      </w:r>
      <w:r>
        <w:rPr>
          <w:color w:val="231F20"/>
        </w:rPr>
        <w:t>(HHS).</w:t>
      </w:r>
      <w:r>
        <w:rPr>
          <w:color w:val="231F20"/>
          <w:spacing w:val="-1"/>
        </w:rPr>
        <w:t> </w:t>
      </w:r>
      <w:r>
        <w:rPr>
          <w:color w:val="231F20"/>
        </w:rPr>
        <w:t>Donelle</w:t>
      </w:r>
      <w:r>
        <w:rPr>
          <w:color w:val="231F20"/>
          <w:spacing w:val="-3"/>
        </w:rPr>
        <w:t> </w:t>
      </w:r>
      <w:r>
        <w:rPr>
          <w:color w:val="231F20"/>
        </w:rPr>
        <w:t>Johnson</w:t>
      </w:r>
      <w:r>
        <w:rPr>
          <w:color w:val="231F20"/>
          <w:spacing w:val="-2"/>
        </w:rPr>
        <w:t> </w:t>
      </w:r>
      <w:r>
        <w:rPr>
          <w:color w:val="231F20"/>
        </w:rPr>
        <w:t>served</w:t>
      </w:r>
      <w:r>
        <w:rPr>
          <w:color w:val="231F20"/>
          <w:spacing w:val="-2"/>
        </w:rPr>
        <w:t> </w:t>
      </w:r>
      <w:r>
        <w:rPr>
          <w:color w:val="231F20"/>
        </w:rPr>
        <w:t>as</w:t>
      </w:r>
      <w:r>
        <w:rPr>
          <w:color w:val="231F20"/>
          <w:spacing w:val="-1"/>
        </w:rPr>
        <w:t> </w:t>
      </w:r>
      <w:r>
        <w:rPr>
          <w:color w:val="231F20"/>
        </w:rPr>
        <w:t>contracting</w:t>
      </w:r>
      <w:r>
        <w:rPr>
          <w:color w:val="231F20"/>
          <w:spacing w:val="-2"/>
        </w:rPr>
        <w:t> </w:t>
      </w:r>
      <w:r>
        <w:rPr>
          <w:color w:val="231F20"/>
        </w:rPr>
        <w:t>officer</w:t>
      </w:r>
      <w:r>
        <w:rPr>
          <w:color w:val="231F20"/>
          <w:spacing w:val="-1"/>
        </w:rPr>
        <w:t> </w:t>
      </w:r>
      <w:r>
        <w:rPr>
          <w:color w:val="231F20"/>
        </w:rPr>
        <w:t>representative.</w:t>
      </w:r>
    </w:p>
    <w:p>
      <w:pPr>
        <w:spacing w:before="83"/>
        <w:ind w:left="753" w:right="0" w:firstLine="0"/>
        <w:jc w:val="left"/>
        <w:rPr>
          <w:rFonts w:ascii="Arial Black"/>
          <w:sz w:val="21"/>
        </w:rPr>
      </w:pPr>
      <w:r>
        <w:rPr>
          <w:rFonts w:ascii="Arial Black"/>
          <w:color w:val="CF382D"/>
          <w:sz w:val="21"/>
        </w:rPr>
        <w:t>Disclaimer</w:t>
      </w:r>
    </w:p>
    <w:p>
      <w:pPr>
        <w:pStyle w:val="BodyText"/>
        <w:spacing w:line="266" w:lineRule="auto" w:before="50"/>
        <w:ind w:left="753" w:right="1579"/>
      </w:pPr>
      <w:r>
        <w:rPr>
          <w:color w:val="231F20"/>
        </w:rPr>
        <w:t>The views, opinions, and content of this publication are those of the authors and do not necessarily reflect</w:t>
      </w:r>
      <w:r>
        <w:rPr>
          <w:color w:val="231F20"/>
          <w:spacing w:val="-52"/>
        </w:rPr>
        <w:t> </w:t>
      </w:r>
      <w:r>
        <w:rPr>
          <w:color w:val="231F20"/>
        </w:rPr>
        <w:t>the views, opinions, or policies of SAMHSA. Nothing in this document constitutes a direct or indirect</w:t>
      </w:r>
      <w:r>
        <w:rPr>
          <w:color w:val="231F20"/>
          <w:spacing w:val="1"/>
        </w:rPr>
        <w:t> </w:t>
      </w:r>
      <w:r>
        <w:rPr>
          <w:color w:val="231F20"/>
          <w:spacing w:val="-1"/>
        </w:rPr>
        <w:t>endorsement by SAMHSA of any non-federal </w:t>
      </w:r>
      <w:r>
        <w:rPr>
          <w:color w:val="231F20"/>
        </w:rPr>
        <w:t>entity’s products, services, or policies, and any reference to</w:t>
      </w:r>
      <w:r>
        <w:rPr>
          <w:color w:val="231F20"/>
          <w:spacing w:val="-52"/>
        </w:rPr>
        <w:t> </w:t>
      </w:r>
      <w:r>
        <w:rPr>
          <w:color w:val="231F20"/>
        </w:rPr>
        <w:t>non-federal</w:t>
      </w:r>
      <w:r>
        <w:rPr>
          <w:color w:val="231F20"/>
          <w:spacing w:val="-1"/>
        </w:rPr>
        <w:t> </w:t>
      </w:r>
      <w:r>
        <w:rPr>
          <w:color w:val="231F20"/>
        </w:rPr>
        <w:t>entity’s products, services,</w:t>
      </w:r>
      <w:r>
        <w:rPr>
          <w:color w:val="231F20"/>
          <w:spacing w:val="-1"/>
        </w:rPr>
        <w:t> </w:t>
      </w:r>
      <w:r>
        <w:rPr>
          <w:color w:val="231F20"/>
        </w:rPr>
        <w:t>or policies should not</w:t>
      </w:r>
      <w:r>
        <w:rPr>
          <w:color w:val="231F20"/>
          <w:spacing w:val="-1"/>
        </w:rPr>
        <w:t> </w:t>
      </w:r>
      <w:r>
        <w:rPr>
          <w:color w:val="231F20"/>
        </w:rPr>
        <w:t>be construed as such.</w:t>
      </w:r>
    </w:p>
    <w:p>
      <w:pPr>
        <w:spacing w:before="82"/>
        <w:ind w:left="753" w:right="0" w:firstLine="0"/>
        <w:jc w:val="left"/>
        <w:rPr>
          <w:rFonts w:ascii="Arial Black"/>
          <w:sz w:val="21"/>
        </w:rPr>
      </w:pPr>
      <w:r>
        <w:rPr>
          <w:rFonts w:ascii="Arial Black"/>
          <w:color w:val="CF382D"/>
          <w:sz w:val="21"/>
        </w:rPr>
        <w:t>Public</w:t>
      </w:r>
      <w:r>
        <w:rPr>
          <w:rFonts w:ascii="Arial Black"/>
          <w:color w:val="CF382D"/>
          <w:spacing w:val="-2"/>
          <w:sz w:val="21"/>
        </w:rPr>
        <w:t> </w:t>
      </w:r>
      <w:r>
        <w:rPr>
          <w:rFonts w:ascii="Arial Black"/>
          <w:color w:val="CF382D"/>
          <w:sz w:val="21"/>
        </w:rPr>
        <w:t>Domain</w:t>
      </w:r>
      <w:r>
        <w:rPr>
          <w:rFonts w:ascii="Arial Black"/>
          <w:color w:val="CF382D"/>
          <w:spacing w:val="-1"/>
          <w:sz w:val="21"/>
        </w:rPr>
        <w:t> </w:t>
      </w:r>
      <w:r>
        <w:rPr>
          <w:rFonts w:ascii="Arial Black"/>
          <w:color w:val="CF382D"/>
          <w:sz w:val="21"/>
        </w:rPr>
        <w:t>Notice</w:t>
      </w:r>
    </w:p>
    <w:p>
      <w:pPr>
        <w:pStyle w:val="BodyText"/>
        <w:spacing w:line="266" w:lineRule="auto" w:before="49"/>
        <w:ind w:left="753" w:right="1711"/>
      </w:pPr>
      <w:r>
        <w:rPr>
          <w:color w:val="231F20"/>
        </w:rPr>
        <w:t>All material appearing in this publication is in the public domain and may be reproduced or copied</w:t>
      </w:r>
      <w:r>
        <w:rPr>
          <w:color w:val="231F20"/>
          <w:spacing w:val="1"/>
        </w:rPr>
        <w:t> </w:t>
      </w:r>
      <w:r>
        <w:rPr>
          <w:color w:val="231F20"/>
        </w:rPr>
        <w:t>without permission from SAMHSA. Citation of the source is appreciated. However, this publication</w:t>
      </w:r>
      <w:r>
        <w:rPr>
          <w:color w:val="231F20"/>
          <w:spacing w:val="1"/>
        </w:rPr>
        <w:t> </w:t>
      </w:r>
      <w:r>
        <w:rPr>
          <w:color w:val="231F20"/>
        </w:rPr>
        <w:t>may</w:t>
      </w:r>
      <w:r>
        <w:rPr>
          <w:color w:val="231F20"/>
          <w:spacing w:val="-4"/>
        </w:rPr>
        <w:t> </w:t>
      </w:r>
      <w:r>
        <w:rPr>
          <w:color w:val="231F20"/>
        </w:rPr>
        <w:t>not</w:t>
      </w:r>
      <w:r>
        <w:rPr>
          <w:color w:val="231F20"/>
          <w:spacing w:val="-3"/>
        </w:rPr>
        <w:t> </w:t>
      </w:r>
      <w:r>
        <w:rPr>
          <w:color w:val="231F20"/>
        </w:rPr>
        <w:t>be</w:t>
      </w:r>
      <w:r>
        <w:rPr>
          <w:color w:val="231F20"/>
          <w:spacing w:val="-3"/>
        </w:rPr>
        <w:t> </w:t>
      </w:r>
      <w:r>
        <w:rPr>
          <w:color w:val="231F20"/>
        </w:rPr>
        <w:t>reproduced</w:t>
      </w:r>
      <w:r>
        <w:rPr>
          <w:color w:val="231F20"/>
          <w:spacing w:val="-4"/>
        </w:rPr>
        <w:t> </w:t>
      </w:r>
      <w:r>
        <w:rPr>
          <w:color w:val="231F20"/>
        </w:rPr>
        <w:t>or</w:t>
      </w:r>
      <w:r>
        <w:rPr>
          <w:color w:val="231F20"/>
          <w:spacing w:val="-3"/>
        </w:rPr>
        <w:t> </w:t>
      </w:r>
      <w:r>
        <w:rPr>
          <w:color w:val="231F20"/>
        </w:rPr>
        <w:t>distributed</w:t>
      </w:r>
      <w:r>
        <w:rPr>
          <w:color w:val="231F20"/>
          <w:spacing w:val="-3"/>
        </w:rPr>
        <w:t> </w:t>
      </w:r>
      <w:r>
        <w:rPr>
          <w:color w:val="231F20"/>
        </w:rPr>
        <w:t>for</w:t>
      </w:r>
      <w:r>
        <w:rPr>
          <w:color w:val="231F20"/>
          <w:spacing w:val="-4"/>
        </w:rPr>
        <w:t> </w:t>
      </w:r>
      <w:r>
        <w:rPr>
          <w:color w:val="231F20"/>
        </w:rPr>
        <w:t>a</w:t>
      </w:r>
      <w:r>
        <w:rPr>
          <w:color w:val="231F20"/>
          <w:spacing w:val="-3"/>
        </w:rPr>
        <w:t> </w:t>
      </w:r>
      <w:r>
        <w:rPr>
          <w:color w:val="231F20"/>
        </w:rPr>
        <w:t>fee</w:t>
      </w:r>
      <w:r>
        <w:rPr>
          <w:color w:val="231F20"/>
          <w:spacing w:val="-3"/>
        </w:rPr>
        <w:t> </w:t>
      </w:r>
      <w:r>
        <w:rPr>
          <w:color w:val="231F20"/>
        </w:rPr>
        <w:t>without</w:t>
      </w:r>
      <w:r>
        <w:rPr>
          <w:color w:val="231F20"/>
          <w:spacing w:val="-5"/>
        </w:rPr>
        <w:t> </w:t>
      </w:r>
      <w:r>
        <w:rPr>
          <w:color w:val="231F20"/>
        </w:rPr>
        <w:t>the</w:t>
      </w:r>
      <w:r>
        <w:rPr>
          <w:color w:val="231F20"/>
          <w:spacing w:val="-3"/>
        </w:rPr>
        <w:t> </w:t>
      </w:r>
      <w:r>
        <w:rPr>
          <w:color w:val="231F20"/>
        </w:rPr>
        <w:t>specific,</w:t>
      </w:r>
      <w:r>
        <w:rPr>
          <w:color w:val="231F20"/>
          <w:spacing w:val="-4"/>
        </w:rPr>
        <w:t> </w:t>
      </w:r>
      <w:r>
        <w:rPr>
          <w:color w:val="231F20"/>
        </w:rPr>
        <w:t>written</w:t>
      </w:r>
      <w:r>
        <w:rPr>
          <w:color w:val="231F20"/>
          <w:spacing w:val="-5"/>
        </w:rPr>
        <w:t> </w:t>
      </w:r>
      <w:r>
        <w:rPr>
          <w:color w:val="231F20"/>
        </w:rPr>
        <w:t>authorization</w:t>
      </w:r>
      <w:r>
        <w:rPr>
          <w:color w:val="231F20"/>
          <w:spacing w:val="-3"/>
        </w:rPr>
        <w:t> </w:t>
      </w:r>
      <w:r>
        <w:rPr>
          <w:color w:val="231F20"/>
        </w:rPr>
        <w:t>of</w:t>
      </w:r>
      <w:r>
        <w:rPr>
          <w:color w:val="231F20"/>
          <w:spacing w:val="-3"/>
        </w:rPr>
        <w:t> </w:t>
      </w:r>
      <w:r>
        <w:rPr>
          <w:color w:val="231F20"/>
        </w:rPr>
        <w:t>the</w:t>
      </w:r>
      <w:r>
        <w:rPr>
          <w:color w:val="231F20"/>
          <w:spacing w:val="-4"/>
        </w:rPr>
        <w:t> </w:t>
      </w:r>
      <w:r>
        <w:rPr>
          <w:color w:val="231F20"/>
        </w:rPr>
        <w:t>Office</w:t>
      </w:r>
      <w:r>
        <w:rPr>
          <w:color w:val="231F20"/>
          <w:spacing w:val="-4"/>
        </w:rPr>
        <w:t> </w:t>
      </w:r>
      <w:r>
        <w:rPr>
          <w:color w:val="231F20"/>
        </w:rPr>
        <w:t>of</w:t>
      </w:r>
      <w:r>
        <w:rPr>
          <w:color w:val="231F20"/>
          <w:spacing w:val="-52"/>
        </w:rPr>
        <w:t> </w:t>
      </w:r>
      <w:r>
        <w:rPr>
          <w:color w:val="231F20"/>
        </w:rPr>
        <w:t>Communications, SAMHSA.</w:t>
      </w:r>
    </w:p>
    <w:p>
      <w:pPr>
        <w:spacing w:before="82"/>
        <w:ind w:left="753" w:right="0" w:firstLine="0"/>
        <w:jc w:val="left"/>
        <w:rPr>
          <w:rFonts w:ascii="Arial Black"/>
          <w:sz w:val="21"/>
        </w:rPr>
      </w:pPr>
      <w:r>
        <w:rPr>
          <w:rFonts w:ascii="Arial Black"/>
          <w:color w:val="CF382D"/>
          <w:sz w:val="21"/>
        </w:rPr>
        <w:t>Electronic Access</w:t>
      </w:r>
    </w:p>
    <w:p>
      <w:pPr>
        <w:pStyle w:val="BodyText"/>
        <w:spacing w:before="50"/>
        <w:ind w:left="753"/>
      </w:pPr>
      <w:r>
        <w:rPr>
          <w:color w:val="231F20"/>
        </w:rPr>
        <w:t>This</w:t>
      </w:r>
      <w:r>
        <w:rPr>
          <w:color w:val="231F20"/>
          <w:spacing w:val="-1"/>
        </w:rPr>
        <w:t> </w:t>
      </w:r>
      <w:r>
        <w:rPr>
          <w:color w:val="231F20"/>
        </w:rPr>
        <w:t>publication may be downloaded from</w:t>
      </w:r>
      <w:r>
        <w:rPr>
          <w:color w:val="231F20"/>
          <w:spacing w:val="-1"/>
        </w:rPr>
        <w:t> </w:t>
      </w:r>
      <w:hyperlink r:id="rId7">
        <w:r>
          <w:rPr>
            <w:color w:val="3953A4"/>
            <w:u w:val="single" w:color="3953A4"/>
          </w:rPr>
          <w:t>http://store.samhsa.gov</w:t>
        </w:r>
      </w:hyperlink>
    </w:p>
    <w:p>
      <w:pPr>
        <w:spacing w:before="112"/>
        <w:ind w:left="753" w:right="0" w:firstLine="0"/>
        <w:jc w:val="left"/>
        <w:rPr>
          <w:rFonts w:ascii="Arial Black"/>
          <w:sz w:val="21"/>
        </w:rPr>
      </w:pPr>
      <w:r>
        <w:rPr>
          <w:rFonts w:ascii="Arial Black"/>
          <w:color w:val="CF382D"/>
          <w:sz w:val="21"/>
        </w:rPr>
        <w:t>Recommended</w:t>
      </w:r>
      <w:r>
        <w:rPr>
          <w:rFonts w:ascii="Arial Black"/>
          <w:color w:val="CF382D"/>
          <w:spacing w:val="-6"/>
          <w:sz w:val="21"/>
        </w:rPr>
        <w:t> </w:t>
      </w:r>
      <w:r>
        <w:rPr>
          <w:rFonts w:ascii="Arial Black"/>
          <w:color w:val="CF382D"/>
          <w:sz w:val="21"/>
        </w:rPr>
        <w:t>Citation</w:t>
      </w:r>
    </w:p>
    <w:p>
      <w:pPr>
        <w:spacing w:line="266" w:lineRule="auto" w:before="50"/>
        <w:ind w:left="753" w:right="1794" w:firstLine="0"/>
        <w:jc w:val="left"/>
        <w:rPr>
          <w:sz w:val="22"/>
        </w:rPr>
      </w:pPr>
      <w:r>
        <w:rPr>
          <w:color w:val="231F20"/>
          <w:spacing w:val="-1"/>
          <w:sz w:val="22"/>
        </w:rPr>
        <w:t>Substance Abuse and Mental Health Services Administration (SAMHSA). </w:t>
      </w:r>
      <w:r>
        <w:rPr>
          <w:i/>
          <w:color w:val="231F20"/>
          <w:sz w:val="22"/>
        </w:rPr>
        <w:t>Telehealth for the Treatment</w:t>
      </w:r>
      <w:r>
        <w:rPr>
          <w:i/>
          <w:color w:val="231F20"/>
          <w:spacing w:val="-52"/>
          <w:sz w:val="22"/>
        </w:rPr>
        <w:t> </w:t>
      </w:r>
      <w:r>
        <w:rPr>
          <w:i/>
          <w:color w:val="231F20"/>
          <w:sz w:val="22"/>
        </w:rPr>
        <w:t>of</w:t>
      </w:r>
      <w:r>
        <w:rPr>
          <w:i/>
          <w:color w:val="231F20"/>
          <w:spacing w:val="-1"/>
          <w:sz w:val="22"/>
        </w:rPr>
        <w:t> </w:t>
      </w:r>
      <w:r>
        <w:rPr>
          <w:i/>
          <w:color w:val="231F20"/>
          <w:sz w:val="22"/>
        </w:rPr>
        <w:t>Serious</w:t>
      </w:r>
      <w:r>
        <w:rPr>
          <w:i/>
          <w:color w:val="231F20"/>
          <w:spacing w:val="-1"/>
          <w:sz w:val="22"/>
        </w:rPr>
        <w:t> </w:t>
      </w:r>
      <w:r>
        <w:rPr>
          <w:i/>
          <w:color w:val="231F20"/>
          <w:sz w:val="22"/>
        </w:rPr>
        <w:t>Mental</w:t>
      </w:r>
      <w:r>
        <w:rPr>
          <w:i/>
          <w:color w:val="231F20"/>
          <w:spacing w:val="-1"/>
          <w:sz w:val="22"/>
        </w:rPr>
        <w:t> </w:t>
      </w:r>
      <w:r>
        <w:rPr>
          <w:i/>
          <w:color w:val="231F20"/>
          <w:sz w:val="22"/>
        </w:rPr>
        <w:t>Illness and</w:t>
      </w:r>
      <w:r>
        <w:rPr>
          <w:i/>
          <w:color w:val="231F20"/>
          <w:spacing w:val="-1"/>
          <w:sz w:val="22"/>
        </w:rPr>
        <w:t> </w:t>
      </w:r>
      <w:r>
        <w:rPr>
          <w:i/>
          <w:color w:val="231F20"/>
          <w:sz w:val="22"/>
        </w:rPr>
        <w:t>Substance</w:t>
      </w:r>
      <w:r>
        <w:rPr>
          <w:i/>
          <w:color w:val="231F20"/>
          <w:spacing w:val="-1"/>
          <w:sz w:val="22"/>
        </w:rPr>
        <w:t> </w:t>
      </w:r>
      <w:r>
        <w:rPr>
          <w:i/>
          <w:color w:val="231F20"/>
          <w:sz w:val="22"/>
        </w:rPr>
        <w:t>Use</w:t>
      </w:r>
      <w:r>
        <w:rPr>
          <w:i/>
          <w:color w:val="231F20"/>
          <w:spacing w:val="-1"/>
          <w:sz w:val="22"/>
        </w:rPr>
        <w:t> </w:t>
      </w:r>
      <w:r>
        <w:rPr>
          <w:i/>
          <w:color w:val="231F20"/>
          <w:sz w:val="22"/>
        </w:rPr>
        <w:t>Disorders. </w:t>
      </w:r>
      <w:r>
        <w:rPr>
          <w:color w:val="231F20"/>
          <w:sz w:val="22"/>
        </w:rPr>
        <w:t>SAMHSA</w:t>
      </w:r>
      <w:r>
        <w:rPr>
          <w:color w:val="231F20"/>
          <w:spacing w:val="-13"/>
          <w:sz w:val="22"/>
        </w:rPr>
        <w:t> </w:t>
      </w:r>
      <w:r>
        <w:rPr>
          <w:color w:val="231F20"/>
          <w:sz w:val="22"/>
        </w:rPr>
        <w:t>Publication</w:t>
      </w:r>
      <w:r>
        <w:rPr>
          <w:color w:val="231F20"/>
          <w:spacing w:val="-1"/>
          <w:sz w:val="22"/>
        </w:rPr>
        <w:t> </w:t>
      </w:r>
      <w:r>
        <w:rPr>
          <w:color w:val="231F20"/>
          <w:sz w:val="22"/>
        </w:rPr>
        <w:t>No. PEP21-06-02-001</w:t>
      </w:r>
    </w:p>
    <w:p>
      <w:pPr>
        <w:pStyle w:val="BodyText"/>
        <w:spacing w:line="266" w:lineRule="auto"/>
        <w:ind w:left="753" w:right="1355"/>
      </w:pPr>
      <w:r>
        <w:rPr>
          <w:color w:val="231F20"/>
          <w:spacing w:val="-1"/>
        </w:rPr>
        <w:t>Rockville, MD: National </w:t>
      </w:r>
      <w:r>
        <w:rPr>
          <w:color w:val="231F20"/>
        </w:rPr>
        <w:t>Mental</w:t>
      </w:r>
      <w:r>
        <w:rPr>
          <w:color w:val="231F20"/>
          <w:spacing w:val="-1"/>
        </w:rPr>
        <w:t> </w:t>
      </w:r>
      <w:r>
        <w:rPr>
          <w:color w:val="231F20"/>
        </w:rPr>
        <w:t>Health and</w:t>
      </w:r>
      <w:r>
        <w:rPr>
          <w:color w:val="231F20"/>
          <w:spacing w:val="-1"/>
        </w:rPr>
        <w:t> </w:t>
      </w:r>
      <w:r>
        <w:rPr>
          <w:color w:val="231F20"/>
        </w:rPr>
        <w:t>Substance</w:t>
      </w:r>
      <w:r>
        <w:rPr>
          <w:color w:val="231F20"/>
          <w:spacing w:val="-1"/>
        </w:rPr>
        <w:t> </w:t>
      </w:r>
      <w:r>
        <w:rPr>
          <w:color w:val="231F20"/>
        </w:rPr>
        <w:t>Use</w:t>
      </w:r>
      <w:r>
        <w:rPr>
          <w:color w:val="231F20"/>
          <w:spacing w:val="-1"/>
        </w:rPr>
        <w:t> </w:t>
      </w:r>
      <w:r>
        <w:rPr>
          <w:color w:val="231F20"/>
        </w:rPr>
        <w:t>Policy</w:t>
      </w:r>
      <w:r>
        <w:rPr>
          <w:color w:val="231F20"/>
          <w:spacing w:val="-1"/>
        </w:rPr>
        <w:t> </w:t>
      </w:r>
      <w:r>
        <w:rPr>
          <w:color w:val="231F20"/>
        </w:rPr>
        <w:t>Laboratory. Substance</w:t>
      </w:r>
      <w:r>
        <w:rPr>
          <w:color w:val="231F20"/>
          <w:spacing w:val="-14"/>
        </w:rPr>
        <w:t> </w:t>
      </w:r>
      <w:r>
        <w:rPr>
          <w:color w:val="231F20"/>
        </w:rPr>
        <w:t>Abuse</w:t>
      </w:r>
      <w:r>
        <w:rPr>
          <w:color w:val="231F20"/>
          <w:spacing w:val="-1"/>
        </w:rPr>
        <w:t> </w:t>
      </w:r>
      <w:r>
        <w:rPr>
          <w:color w:val="231F20"/>
        </w:rPr>
        <w:t>and</w:t>
      </w:r>
      <w:r>
        <w:rPr>
          <w:color w:val="231F20"/>
          <w:spacing w:val="-1"/>
        </w:rPr>
        <w:t> </w:t>
      </w:r>
      <w:r>
        <w:rPr>
          <w:color w:val="231F20"/>
        </w:rPr>
        <w:t>Mental</w:t>
      </w:r>
      <w:r>
        <w:rPr>
          <w:color w:val="231F20"/>
          <w:spacing w:val="-52"/>
        </w:rPr>
        <w:t> </w:t>
      </w:r>
      <w:r>
        <w:rPr>
          <w:color w:val="231F20"/>
        </w:rPr>
        <w:t>Health Services</w:t>
      </w:r>
      <w:r>
        <w:rPr>
          <w:color w:val="231F20"/>
          <w:spacing w:val="-13"/>
        </w:rPr>
        <w:t> </w:t>
      </w:r>
      <w:r>
        <w:rPr>
          <w:color w:val="231F20"/>
        </w:rPr>
        <w:t>Administration, 2021.</w:t>
      </w:r>
    </w:p>
    <w:p>
      <w:pPr>
        <w:spacing w:before="82"/>
        <w:ind w:left="753" w:right="0" w:firstLine="0"/>
        <w:jc w:val="left"/>
        <w:rPr>
          <w:rFonts w:ascii="Arial Black"/>
          <w:sz w:val="21"/>
        </w:rPr>
      </w:pPr>
      <w:r>
        <w:rPr>
          <w:rFonts w:ascii="Arial Black"/>
          <w:color w:val="CF382D"/>
          <w:sz w:val="21"/>
        </w:rPr>
        <w:t>Originating</w:t>
      </w:r>
      <w:r>
        <w:rPr>
          <w:rFonts w:ascii="Arial Black"/>
          <w:color w:val="CF382D"/>
          <w:spacing w:val="-9"/>
          <w:sz w:val="21"/>
        </w:rPr>
        <w:t> </w:t>
      </w:r>
      <w:r>
        <w:rPr>
          <w:rFonts w:ascii="Arial Black"/>
          <w:color w:val="CF382D"/>
          <w:sz w:val="21"/>
        </w:rPr>
        <w:t>Office</w:t>
      </w:r>
    </w:p>
    <w:p>
      <w:pPr>
        <w:pStyle w:val="BodyText"/>
        <w:spacing w:line="266" w:lineRule="auto" w:before="49"/>
        <w:ind w:left="753" w:right="1355"/>
      </w:pPr>
      <w:r>
        <w:rPr>
          <w:color w:val="231F20"/>
          <w:spacing w:val="-1"/>
        </w:rPr>
        <w:t>National Mental Health </w:t>
      </w:r>
      <w:r>
        <w:rPr>
          <w:color w:val="231F20"/>
        </w:rPr>
        <w:t>and</w:t>
      </w:r>
      <w:r>
        <w:rPr>
          <w:color w:val="231F20"/>
          <w:spacing w:val="-1"/>
        </w:rPr>
        <w:t> </w:t>
      </w:r>
      <w:r>
        <w:rPr>
          <w:color w:val="231F20"/>
        </w:rPr>
        <w:t>Substance</w:t>
      </w:r>
      <w:r>
        <w:rPr>
          <w:color w:val="231F20"/>
          <w:spacing w:val="-1"/>
        </w:rPr>
        <w:t> </w:t>
      </w:r>
      <w:r>
        <w:rPr>
          <w:color w:val="231F20"/>
        </w:rPr>
        <w:t>Use</w:t>
      </w:r>
      <w:r>
        <w:rPr>
          <w:color w:val="231F20"/>
          <w:spacing w:val="-1"/>
        </w:rPr>
        <w:t> </w:t>
      </w:r>
      <w:r>
        <w:rPr>
          <w:color w:val="231F20"/>
        </w:rPr>
        <w:t>Policy Laboratory,</w:t>
      </w:r>
      <w:r>
        <w:rPr>
          <w:color w:val="231F20"/>
          <w:spacing w:val="-1"/>
        </w:rPr>
        <w:t> </w:t>
      </w:r>
      <w:r>
        <w:rPr>
          <w:color w:val="231F20"/>
        </w:rPr>
        <w:t>Substance</w:t>
      </w:r>
      <w:r>
        <w:rPr>
          <w:color w:val="231F20"/>
          <w:spacing w:val="-14"/>
        </w:rPr>
        <w:t> </w:t>
      </w:r>
      <w:r>
        <w:rPr>
          <w:color w:val="231F20"/>
        </w:rPr>
        <w:t>Abuse</w:t>
      </w:r>
      <w:r>
        <w:rPr>
          <w:color w:val="231F20"/>
          <w:spacing w:val="-1"/>
        </w:rPr>
        <w:t> </w:t>
      </w:r>
      <w:r>
        <w:rPr>
          <w:color w:val="231F20"/>
        </w:rPr>
        <w:t>and</w:t>
      </w:r>
      <w:r>
        <w:rPr>
          <w:color w:val="231F20"/>
          <w:spacing w:val="-1"/>
        </w:rPr>
        <w:t> </w:t>
      </w:r>
      <w:r>
        <w:rPr>
          <w:color w:val="231F20"/>
        </w:rPr>
        <w:t>Mental Health</w:t>
      </w:r>
      <w:r>
        <w:rPr>
          <w:color w:val="231F20"/>
          <w:spacing w:val="-1"/>
        </w:rPr>
        <w:t> </w:t>
      </w:r>
      <w:r>
        <w:rPr>
          <w:color w:val="231F20"/>
        </w:rPr>
        <w:t>Services</w:t>
      </w:r>
      <w:r>
        <w:rPr>
          <w:color w:val="231F20"/>
          <w:spacing w:val="-52"/>
        </w:rPr>
        <w:t> </w:t>
      </w:r>
      <w:r>
        <w:rPr>
          <w:color w:val="231F20"/>
        </w:rPr>
        <w:t>Administration, 5600</w:t>
      </w:r>
      <w:r>
        <w:rPr>
          <w:color w:val="231F20"/>
          <w:spacing w:val="-1"/>
        </w:rPr>
        <w:t> </w:t>
      </w:r>
      <w:r>
        <w:rPr>
          <w:color w:val="231F20"/>
        </w:rPr>
        <w:t>Fishers Lane, Rockville, MD 20857, Publication No. PEP21-06-02-001.</w:t>
      </w:r>
    </w:p>
    <w:p>
      <w:pPr>
        <w:spacing w:before="84"/>
        <w:ind w:left="753" w:right="0" w:firstLine="0"/>
        <w:jc w:val="left"/>
        <w:rPr>
          <w:rFonts w:ascii="Arial Black"/>
          <w:sz w:val="21"/>
        </w:rPr>
      </w:pPr>
      <w:r>
        <w:rPr>
          <w:rFonts w:ascii="Arial Black"/>
          <w:color w:val="CF382D"/>
          <w:sz w:val="21"/>
        </w:rPr>
        <w:t>Nondiscrimination</w:t>
      </w:r>
      <w:r>
        <w:rPr>
          <w:rFonts w:ascii="Arial Black"/>
          <w:color w:val="CF382D"/>
          <w:spacing w:val="-3"/>
          <w:sz w:val="21"/>
        </w:rPr>
        <w:t> </w:t>
      </w:r>
      <w:r>
        <w:rPr>
          <w:rFonts w:ascii="Arial Black"/>
          <w:color w:val="CF382D"/>
          <w:sz w:val="21"/>
        </w:rPr>
        <w:t>Notice</w:t>
      </w:r>
    </w:p>
    <w:p>
      <w:pPr>
        <w:pStyle w:val="BodyText"/>
        <w:spacing w:line="266" w:lineRule="auto" w:before="50"/>
        <w:ind w:left="753" w:right="1381"/>
      </w:pPr>
      <w:r>
        <w:rPr>
          <w:color w:val="231F20"/>
        </w:rPr>
        <w:t>SAMHSA</w:t>
      </w:r>
      <w:r>
        <w:rPr>
          <w:color w:val="231F20"/>
          <w:spacing w:val="-13"/>
        </w:rPr>
        <w:t> </w:t>
      </w:r>
      <w:r>
        <w:rPr>
          <w:color w:val="231F20"/>
        </w:rPr>
        <w:t>complies</w:t>
      </w:r>
      <w:r>
        <w:rPr>
          <w:color w:val="231F20"/>
          <w:spacing w:val="-1"/>
        </w:rPr>
        <w:t> </w:t>
      </w:r>
      <w:r>
        <w:rPr>
          <w:color w:val="231F20"/>
        </w:rPr>
        <w:t>with</w:t>
      </w:r>
      <w:r>
        <w:rPr>
          <w:color w:val="231F20"/>
          <w:spacing w:val="-1"/>
        </w:rPr>
        <w:t> </w:t>
      </w:r>
      <w:r>
        <w:rPr>
          <w:color w:val="231F20"/>
        </w:rPr>
        <w:t>applicable</w:t>
      </w:r>
      <w:r>
        <w:rPr>
          <w:color w:val="231F20"/>
          <w:spacing w:val="-1"/>
        </w:rPr>
        <w:t> </w:t>
      </w:r>
      <w:r>
        <w:rPr>
          <w:color w:val="231F20"/>
        </w:rPr>
        <w:t>federal</w:t>
      </w:r>
      <w:r>
        <w:rPr>
          <w:color w:val="231F20"/>
          <w:spacing w:val="-1"/>
        </w:rPr>
        <w:t> </w:t>
      </w:r>
      <w:r>
        <w:rPr>
          <w:color w:val="231F20"/>
        </w:rPr>
        <w:t>civil</w:t>
      </w:r>
      <w:r>
        <w:rPr>
          <w:color w:val="231F20"/>
          <w:spacing w:val="-1"/>
        </w:rPr>
        <w:t> </w:t>
      </w:r>
      <w:r>
        <w:rPr>
          <w:color w:val="231F20"/>
        </w:rPr>
        <w:t>rights</w:t>
      </w:r>
      <w:r>
        <w:rPr>
          <w:color w:val="231F20"/>
          <w:spacing w:val="-1"/>
        </w:rPr>
        <w:t> </w:t>
      </w:r>
      <w:r>
        <w:rPr>
          <w:color w:val="231F20"/>
        </w:rPr>
        <w:t>laws</w:t>
      </w:r>
      <w:r>
        <w:rPr>
          <w:color w:val="231F20"/>
          <w:spacing w:val="-1"/>
        </w:rPr>
        <w:t> </w:t>
      </w:r>
      <w:r>
        <w:rPr>
          <w:color w:val="231F20"/>
        </w:rPr>
        <w:t>and</w:t>
      </w:r>
      <w:r>
        <w:rPr>
          <w:color w:val="231F20"/>
          <w:spacing w:val="-1"/>
        </w:rPr>
        <w:t> </w:t>
      </w:r>
      <w:r>
        <w:rPr>
          <w:color w:val="231F20"/>
        </w:rPr>
        <w:t>does</w:t>
      </w:r>
      <w:r>
        <w:rPr>
          <w:color w:val="231F20"/>
          <w:spacing w:val="-1"/>
        </w:rPr>
        <w:t> </w:t>
      </w:r>
      <w:r>
        <w:rPr>
          <w:color w:val="231F20"/>
        </w:rPr>
        <w:t>not</w:t>
      </w:r>
      <w:r>
        <w:rPr>
          <w:color w:val="231F20"/>
          <w:spacing w:val="-1"/>
        </w:rPr>
        <w:t> </w:t>
      </w:r>
      <w:r>
        <w:rPr>
          <w:color w:val="231F20"/>
        </w:rPr>
        <w:t>discriminate</w:t>
      </w:r>
      <w:r>
        <w:rPr>
          <w:color w:val="231F20"/>
          <w:spacing w:val="-1"/>
        </w:rPr>
        <w:t> </w:t>
      </w:r>
      <w:r>
        <w:rPr>
          <w:color w:val="231F20"/>
        </w:rPr>
        <w:t>on</w:t>
      </w:r>
      <w:r>
        <w:rPr>
          <w:color w:val="231F20"/>
          <w:spacing w:val="-1"/>
        </w:rPr>
        <w:t> </w:t>
      </w:r>
      <w:r>
        <w:rPr>
          <w:color w:val="231F20"/>
        </w:rPr>
        <w:t>the</w:t>
      </w:r>
      <w:r>
        <w:rPr>
          <w:color w:val="231F20"/>
          <w:spacing w:val="-1"/>
        </w:rPr>
        <w:t> </w:t>
      </w:r>
      <w:r>
        <w:rPr>
          <w:color w:val="231F20"/>
        </w:rPr>
        <w:t>basis</w:t>
      </w:r>
      <w:r>
        <w:rPr>
          <w:color w:val="231F20"/>
          <w:spacing w:val="-1"/>
        </w:rPr>
        <w:t> </w:t>
      </w:r>
      <w:r>
        <w:rPr>
          <w:color w:val="231F20"/>
        </w:rPr>
        <w:t>of</w:t>
      </w:r>
      <w:r>
        <w:rPr>
          <w:color w:val="231F20"/>
          <w:spacing w:val="-1"/>
        </w:rPr>
        <w:t> </w:t>
      </w:r>
      <w:r>
        <w:rPr>
          <w:color w:val="231F20"/>
        </w:rPr>
        <w:t>race,</w:t>
      </w:r>
      <w:r>
        <w:rPr>
          <w:color w:val="231F20"/>
          <w:spacing w:val="-52"/>
        </w:rPr>
        <w:t> </w:t>
      </w:r>
      <w:r>
        <w:rPr>
          <w:color w:val="231F20"/>
        </w:rPr>
        <w:t>color,</w:t>
      </w:r>
      <w:r>
        <w:rPr>
          <w:color w:val="231F20"/>
          <w:spacing w:val="-1"/>
        </w:rPr>
        <w:t> </w:t>
      </w:r>
      <w:r>
        <w:rPr>
          <w:color w:val="231F20"/>
        </w:rPr>
        <w:t>national origin, age, disability,</w:t>
      </w:r>
      <w:r>
        <w:rPr>
          <w:color w:val="231F20"/>
          <w:spacing w:val="-1"/>
        </w:rPr>
        <w:t> </w:t>
      </w:r>
      <w:r>
        <w:rPr>
          <w:color w:val="231F20"/>
        </w:rPr>
        <w:t>or sex.</w:t>
      </w:r>
    </w:p>
    <w:p>
      <w:pPr>
        <w:pStyle w:val="BodyText"/>
        <w:spacing w:before="178"/>
        <w:ind w:left="753"/>
      </w:pPr>
      <w:r>
        <w:rPr>
          <w:color w:val="231F20"/>
        </w:rPr>
        <w:t>SAMHSA</w:t>
      </w:r>
      <w:r>
        <w:rPr>
          <w:color w:val="231F20"/>
          <w:spacing w:val="-13"/>
        </w:rPr>
        <w:t> </w:t>
      </w:r>
      <w:r>
        <w:rPr>
          <w:color w:val="231F20"/>
        </w:rPr>
        <w:t>cumple con las leyes federales de derechos civiles aplicables y no discrimina por motivos de</w:t>
      </w:r>
    </w:p>
    <w:p>
      <w:pPr>
        <w:pStyle w:val="BodyText"/>
        <w:spacing w:before="27"/>
        <w:ind w:left="753"/>
      </w:pPr>
      <w:r>
        <w:rPr>
          <w:color w:val="231F20"/>
        </w:rPr>
        <w:t>raza,</w:t>
      </w:r>
      <w:r>
        <w:rPr>
          <w:color w:val="231F20"/>
          <w:spacing w:val="-2"/>
        </w:rPr>
        <w:t> </w:t>
      </w:r>
      <w:r>
        <w:rPr>
          <w:color w:val="231F20"/>
        </w:rPr>
        <w:t>color,</w:t>
      </w:r>
      <w:r>
        <w:rPr>
          <w:color w:val="231F20"/>
          <w:spacing w:val="-2"/>
        </w:rPr>
        <w:t> </w:t>
      </w:r>
      <w:r>
        <w:rPr>
          <w:color w:val="231F20"/>
        </w:rPr>
        <w:t>nacionalidad,</w:t>
      </w:r>
      <w:r>
        <w:rPr>
          <w:color w:val="231F20"/>
          <w:spacing w:val="-2"/>
        </w:rPr>
        <w:t> </w:t>
      </w:r>
      <w:r>
        <w:rPr>
          <w:color w:val="231F20"/>
        </w:rPr>
        <w:t>edad,</w:t>
      </w:r>
      <w:r>
        <w:rPr>
          <w:color w:val="231F20"/>
          <w:spacing w:val="-2"/>
        </w:rPr>
        <w:t> </w:t>
      </w:r>
      <w:r>
        <w:rPr>
          <w:color w:val="231F20"/>
        </w:rPr>
        <w:t>discapacidad</w:t>
      </w:r>
      <w:r>
        <w:rPr>
          <w:color w:val="231F20"/>
          <w:spacing w:val="-2"/>
        </w:rPr>
        <w:t> </w:t>
      </w:r>
      <w:r>
        <w:rPr>
          <w:color w:val="231F20"/>
        </w:rPr>
        <w:t>o</w:t>
      </w:r>
      <w:r>
        <w:rPr>
          <w:color w:val="231F20"/>
          <w:spacing w:val="-2"/>
        </w:rPr>
        <w:t> </w:t>
      </w:r>
      <w:r>
        <w:rPr>
          <w:color w:val="231F20"/>
        </w:rPr>
        <w:t>sexo.</w:t>
      </w:r>
    </w:p>
    <w:p>
      <w:pPr>
        <w:pStyle w:val="BodyText"/>
        <w:spacing w:line="436" w:lineRule="auto" w:before="207"/>
        <w:ind w:left="753" w:right="7842"/>
      </w:pPr>
      <w:r>
        <w:rPr>
          <w:color w:val="231F20"/>
        </w:rPr>
        <w:t>Publication No. PEP21-06-02-001</w:t>
      </w:r>
      <w:r>
        <w:rPr>
          <w:color w:val="231F20"/>
          <w:spacing w:val="-52"/>
        </w:rPr>
        <w:t> </w:t>
      </w:r>
      <w:r>
        <w:rPr>
          <w:color w:val="231F20"/>
        </w:rPr>
        <w:t>Released 2021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p>
    <w:p>
      <w:pPr>
        <w:spacing w:line="188" w:lineRule="exact" w:before="95"/>
        <w:ind w:left="1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2"/>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2"/>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tabs>
          <w:tab w:pos="10878" w:val="left" w:leader="none"/>
        </w:tabs>
        <w:spacing w:line="235" w:lineRule="exact" w:before="0"/>
        <w:ind w:left="120" w:right="0" w:firstLine="0"/>
        <w:jc w:val="left"/>
        <w:rPr>
          <w:rFonts w:ascii="Arial Black"/>
          <w:sz w:val="18"/>
        </w:rPr>
      </w:pPr>
      <w:r>
        <w:rPr>
          <w:rFonts w:ascii="Arial"/>
          <w:color w:val="1D384A"/>
          <w:position w:val="1"/>
          <w:sz w:val="16"/>
        </w:rPr>
        <w:t>Acknowledgments</w:t>
        <w:tab/>
      </w:r>
      <w:r>
        <w:rPr>
          <w:rFonts w:ascii="Arial Black"/>
          <w:color w:val="1D384A"/>
          <w:sz w:val="18"/>
        </w:rPr>
        <w:t>I</w:t>
      </w:r>
    </w:p>
    <w:p>
      <w:pPr>
        <w:spacing w:after="0" w:line="235" w:lineRule="exact"/>
        <w:jc w:val="left"/>
        <w:rPr>
          <w:rFonts w:ascii="Arial Black"/>
          <w:sz w:val="18"/>
        </w:rPr>
        <w:sectPr>
          <w:pgSz w:w="12240" w:h="15840"/>
          <w:pgMar w:top="0" w:bottom="280" w:left="60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12"/>
        <w:rPr>
          <w:rFonts w:ascii="Arial Black"/>
          <w:sz w:val="13"/>
        </w:rPr>
      </w:pPr>
    </w:p>
    <w:p>
      <w:pPr>
        <w:pStyle w:val="Heading1"/>
        <w:spacing w:line="196" w:lineRule="auto" w:before="179"/>
        <w:ind w:left="2006" w:right="2663"/>
      </w:pPr>
      <w:bookmarkStart w:name="_bookmark0" w:id="9"/>
      <w:bookmarkEnd w:id="9"/>
      <w:r>
        <w:rPr/>
      </w:r>
      <w:bookmarkStart w:name="FOREWORD Evidence-Based Resource Guide S" w:id="10"/>
      <w:bookmarkEnd w:id="10"/>
      <w:r>
        <w:rPr/>
      </w:r>
      <w:r>
        <w:rPr>
          <w:color w:val="1C384B"/>
          <w:spacing w:val="-3"/>
        </w:rPr>
        <w:t>Evidence-Based</w:t>
      </w:r>
      <w:r>
        <w:rPr>
          <w:color w:val="1C384B"/>
          <w:spacing w:val="-30"/>
        </w:rPr>
        <w:t> </w:t>
      </w:r>
      <w:r>
        <w:rPr>
          <w:color w:val="1C384B"/>
          <w:spacing w:val="-3"/>
        </w:rPr>
        <w:t>Resource</w:t>
      </w:r>
      <w:r>
        <w:rPr>
          <w:color w:val="1C384B"/>
          <w:spacing w:val="-29"/>
        </w:rPr>
        <w:t> </w:t>
      </w:r>
      <w:r>
        <w:rPr>
          <w:color w:val="1C384B"/>
          <w:spacing w:val="-3"/>
        </w:rPr>
        <w:t>Guide</w:t>
      </w:r>
      <w:r>
        <w:rPr>
          <w:color w:val="1C384B"/>
          <w:spacing w:val="-130"/>
        </w:rPr>
        <w:t> </w:t>
      </w:r>
      <w:r>
        <w:rPr>
          <w:color w:val="1C384B"/>
        </w:rPr>
        <w:t>Series</w:t>
      </w:r>
      <w:r>
        <w:rPr>
          <w:color w:val="1C384B"/>
          <w:spacing w:val="-11"/>
        </w:rPr>
        <w:t> </w:t>
      </w:r>
      <w:r>
        <w:rPr>
          <w:color w:val="1C384B"/>
        </w:rPr>
        <w:t>Overview</w:t>
      </w:r>
    </w:p>
    <w:p>
      <w:pPr>
        <w:pStyle w:val="BodyText"/>
        <w:rPr>
          <w:rFonts w:ascii="Arial Black"/>
          <w:sz w:val="20"/>
        </w:rPr>
      </w:pPr>
    </w:p>
    <w:p>
      <w:pPr>
        <w:pStyle w:val="BodyText"/>
        <w:spacing w:before="1"/>
        <w:rPr>
          <w:rFonts w:ascii="Arial Black"/>
          <w:sz w:val="11"/>
        </w:rPr>
      </w:pPr>
      <w:r>
        <w:rPr/>
        <w:pict>
          <v:shape style="position:absolute;margin-left:36pt;margin-top:9.048884pt;width:540pt;height:.1pt;mso-position-horizontal-relative:page;mso-position-vertical-relative:paragraph;z-index:-15725568;mso-wrap-distance-left:0;mso-wrap-distance-right:0" id="docshape16" coordorigin="720,181" coordsize="10800,0" path="m720,181l11520,181e" filled="false" stroked="true" strokeweight="1pt" strokecolor="#ce372e">
            <v:path arrowok="t"/>
            <v:stroke dashstyle="solid"/>
            <w10:wrap type="topAndBottom"/>
          </v:shape>
        </w:pict>
      </w:r>
    </w:p>
    <w:p>
      <w:pPr>
        <w:pStyle w:val="BodyText"/>
        <w:spacing w:before="11"/>
        <w:rPr>
          <w:rFonts w:ascii="Arial Black"/>
          <w:sz w:val="23"/>
        </w:rPr>
      </w:pPr>
    </w:p>
    <w:p>
      <w:pPr>
        <w:spacing w:after="0"/>
        <w:rPr>
          <w:rFonts w:ascii="Arial Black"/>
          <w:sz w:val="23"/>
        </w:rPr>
        <w:sectPr>
          <w:footerReference w:type="default" r:id="rId8"/>
          <w:pgSz w:w="12240" w:h="15840"/>
          <w:pgMar w:footer="666" w:header="0" w:top="0" w:bottom="860" w:left="600" w:right="0"/>
          <w:pgNumType w:start="2"/>
        </w:sectPr>
      </w:pPr>
    </w:p>
    <w:p>
      <w:pPr>
        <w:pStyle w:val="BodyText"/>
        <w:spacing w:line="266" w:lineRule="auto" w:before="91"/>
        <w:ind w:left="120" w:right="38"/>
      </w:pPr>
      <w:r>
        <w:rPr/>
        <w:pict>
          <v:group style="position:absolute;margin-left:36pt;margin-top:0pt;width:576pt;height:244.7pt;mso-position-horizontal-relative:page;mso-position-vertical-relative:page;z-index:-17888256" id="docshapegroup17" coordorigin="720,0" coordsize="11520,4894">
            <v:rect style="position:absolute;left:2390;top:0;width:9850;height:394" id="docshape18" filled="true" fillcolor="#1d384a" stroked="false">
              <v:fill type="solid"/>
            </v:rect>
            <v:shape style="position:absolute;left:720;top:0;width:1671;height:4894" type="#_x0000_t202" id="docshape19" filled="true" fillcolor="#cf382d" stroked="false">
              <v:textbox inset="0,0,0,0">
                <w:txbxContent>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before="157"/>
                      <w:ind w:left="170" w:right="0" w:firstLine="0"/>
                      <w:jc w:val="left"/>
                      <w:rPr>
                        <w:rFonts w:ascii="Arial"/>
                        <w:color w:val="000000"/>
                        <w:sz w:val="20"/>
                      </w:rPr>
                    </w:pPr>
                    <w:r>
                      <w:rPr>
                        <w:rFonts w:ascii="Arial"/>
                        <w:color w:val="FFFFFF"/>
                        <w:spacing w:val="17"/>
                        <w:sz w:val="20"/>
                      </w:rPr>
                      <w:t>FOREWORD</w:t>
                    </w:r>
                    <w:r>
                      <w:rPr>
                        <w:rFonts w:ascii="Arial"/>
                        <w:color w:val="FFFFFF"/>
                        <w:spacing w:val="-36"/>
                        <w:sz w:val="20"/>
                      </w:rPr>
                      <w:t> </w:t>
                    </w:r>
                  </w:p>
                </w:txbxContent>
              </v:textbox>
              <v:fill type="solid"/>
              <w10:wrap type="none"/>
            </v:shape>
            <w10:wrap type="none"/>
          </v:group>
        </w:pict>
      </w:r>
      <w:r>
        <w:rPr>
          <w:color w:val="231F20"/>
        </w:rPr>
        <w:t>The Substance Abuse and Mental Health Services</w:t>
      </w:r>
      <w:r>
        <w:rPr>
          <w:color w:val="231F20"/>
          <w:spacing w:val="1"/>
        </w:rPr>
        <w:t> </w:t>
      </w:r>
      <w:r>
        <w:rPr>
          <w:color w:val="231F20"/>
        </w:rPr>
        <w:t>Administration</w:t>
      </w:r>
      <w:r>
        <w:rPr>
          <w:color w:val="231F20"/>
          <w:spacing w:val="3"/>
        </w:rPr>
        <w:t> </w:t>
      </w:r>
      <w:r>
        <w:rPr>
          <w:color w:val="231F20"/>
        </w:rPr>
        <w:t>(SAMHSA),</w:t>
      </w:r>
      <w:r>
        <w:rPr>
          <w:color w:val="231F20"/>
          <w:spacing w:val="4"/>
        </w:rPr>
        <w:t> </w:t>
      </w:r>
      <w:r>
        <w:rPr>
          <w:color w:val="231F20"/>
        </w:rPr>
        <w:t>and</w:t>
      </w:r>
      <w:r>
        <w:rPr>
          <w:color w:val="231F20"/>
          <w:spacing w:val="4"/>
        </w:rPr>
        <w:t> </w:t>
      </w:r>
      <w:r>
        <w:rPr>
          <w:color w:val="231F20"/>
        </w:rPr>
        <w:t>specifically,</w:t>
      </w:r>
      <w:r>
        <w:rPr>
          <w:color w:val="231F20"/>
          <w:spacing w:val="4"/>
        </w:rPr>
        <w:t> </w:t>
      </w:r>
      <w:r>
        <w:rPr>
          <w:color w:val="231F20"/>
        </w:rPr>
        <w:t>its</w:t>
      </w:r>
      <w:r>
        <w:rPr>
          <w:color w:val="231F20"/>
          <w:spacing w:val="1"/>
        </w:rPr>
        <w:t> </w:t>
      </w:r>
      <w:r>
        <w:rPr>
          <w:color w:val="231F20"/>
        </w:rPr>
        <w:t>National Mental Health and Substance Use Policy</w:t>
      </w:r>
      <w:r>
        <w:rPr>
          <w:color w:val="231F20"/>
          <w:spacing w:val="1"/>
        </w:rPr>
        <w:t> </w:t>
      </w:r>
      <w:r>
        <w:rPr>
          <w:color w:val="231F20"/>
        </w:rPr>
        <w:t>Laboratory (Policy Lab), is pleased to fulfill the charge</w:t>
      </w:r>
      <w:r>
        <w:rPr>
          <w:color w:val="231F20"/>
          <w:spacing w:val="1"/>
        </w:rPr>
        <w:t> </w:t>
      </w:r>
      <w:r>
        <w:rPr>
          <w:color w:val="231F20"/>
          <w:spacing w:val="-1"/>
        </w:rPr>
        <w:t>of the 21st </w:t>
      </w:r>
      <w:r>
        <w:rPr>
          <w:color w:val="231F20"/>
        </w:rPr>
        <w:t>Century Cures Act to disseminate information</w:t>
      </w:r>
      <w:r>
        <w:rPr>
          <w:color w:val="231F20"/>
          <w:spacing w:val="-52"/>
        </w:rPr>
        <w:t> </w:t>
      </w:r>
      <w:r>
        <w:rPr>
          <w:color w:val="231F20"/>
        </w:rPr>
        <w:t>on evidence-based practices and service delivery models</w:t>
      </w:r>
      <w:r>
        <w:rPr>
          <w:color w:val="231F20"/>
          <w:spacing w:val="-52"/>
        </w:rPr>
        <w:t> </w:t>
      </w:r>
      <w:r>
        <w:rPr>
          <w:color w:val="231F20"/>
        </w:rPr>
        <w:t>to prevent substance misuse and help people with</w:t>
      </w:r>
      <w:r>
        <w:rPr>
          <w:color w:val="231F20"/>
          <w:spacing w:val="1"/>
        </w:rPr>
        <w:t> </w:t>
      </w:r>
      <w:r>
        <w:rPr>
          <w:color w:val="231F20"/>
        </w:rPr>
        <w:t>substance use disorders (SUDs), serious mental illness</w:t>
      </w:r>
      <w:r>
        <w:rPr>
          <w:color w:val="231F20"/>
          <w:spacing w:val="1"/>
        </w:rPr>
        <w:t> </w:t>
      </w:r>
      <w:r>
        <w:rPr>
          <w:color w:val="231F20"/>
        </w:rPr>
        <w:t>(SMI),</w:t>
      </w:r>
      <w:r>
        <w:rPr>
          <w:color w:val="231F20"/>
          <w:spacing w:val="1"/>
        </w:rPr>
        <w:t> </w:t>
      </w:r>
      <w:r>
        <w:rPr>
          <w:color w:val="231F20"/>
        </w:rPr>
        <w:t>and</w:t>
      </w:r>
      <w:r>
        <w:rPr>
          <w:color w:val="231F20"/>
          <w:spacing w:val="2"/>
        </w:rPr>
        <w:t> </w:t>
      </w:r>
      <w:r>
        <w:rPr>
          <w:color w:val="231F20"/>
        </w:rPr>
        <w:t>serious</w:t>
      </w:r>
      <w:r>
        <w:rPr>
          <w:color w:val="231F20"/>
          <w:spacing w:val="1"/>
        </w:rPr>
        <w:t> </w:t>
      </w:r>
      <w:r>
        <w:rPr>
          <w:color w:val="231F20"/>
        </w:rPr>
        <w:t>emotional</w:t>
      </w:r>
      <w:r>
        <w:rPr>
          <w:color w:val="231F20"/>
          <w:spacing w:val="2"/>
        </w:rPr>
        <w:t> </w:t>
      </w:r>
      <w:r>
        <w:rPr>
          <w:color w:val="231F20"/>
        </w:rPr>
        <w:t>disturbances</w:t>
      </w:r>
      <w:r>
        <w:rPr>
          <w:color w:val="231F20"/>
          <w:spacing w:val="1"/>
        </w:rPr>
        <w:t> </w:t>
      </w:r>
      <w:r>
        <w:rPr>
          <w:color w:val="231F20"/>
        </w:rPr>
        <w:t>(SEDs)</w:t>
      </w:r>
      <w:r>
        <w:rPr>
          <w:color w:val="231F20"/>
          <w:spacing w:val="2"/>
        </w:rPr>
        <w:t> </w:t>
      </w:r>
      <w:r>
        <w:rPr>
          <w:color w:val="231F20"/>
        </w:rPr>
        <w:t>get</w:t>
      </w:r>
      <w:r>
        <w:rPr>
          <w:color w:val="231F20"/>
          <w:spacing w:val="1"/>
        </w:rPr>
        <w:t> </w:t>
      </w:r>
      <w:r>
        <w:rPr>
          <w:color w:val="231F20"/>
        </w:rPr>
        <w:t>the treatment and support they need.</w:t>
      </w:r>
    </w:p>
    <w:p>
      <w:pPr>
        <w:pStyle w:val="BodyText"/>
        <w:spacing w:line="266" w:lineRule="auto" w:before="173"/>
        <w:ind w:left="120" w:right="308"/>
      </w:pPr>
      <w:r>
        <w:rPr>
          <w:color w:val="231F20"/>
        </w:rPr>
        <w:t>Treatment and recovery for SUD, SMI, and SED can</w:t>
      </w:r>
      <w:r>
        <w:rPr>
          <w:color w:val="231F20"/>
          <w:spacing w:val="1"/>
        </w:rPr>
        <w:t> </w:t>
      </w:r>
      <w:r>
        <w:rPr>
          <w:color w:val="231F20"/>
        </w:rPr>
        <w:t>vary based on several factors, including geography,</w:t>
      </w:r>
      <w:r>
        <w:rPr>
          <w:color w:val="231F20"/>
          <w:spacing w:val="1"/>
        </w:rPr>
        <w:t> </w:t>
      </w:r>
      <w:r>
        <w:rPr>
          <w:color w:val="231F20"/>
        </w:rPr>
        <w:t>socioeconomics, culture, gender, race, ethnicity, and</w:t>
      </w:r>
      <w:r>
        <w:rPr>
          <w:color w:val="231F20"/>
          <w:spacing w:val="1"/>
        </w:rPr>
        <w:t> </w:t>
      </w:r>
      <w:r>
        <w:rPr>
          <w:color w:val="231F20"/>
        </w:rPr>
        <w:t>age. This can complicate evaluating the effectiveness</w:t>
      </w:r>
      <w:r>
        <w:rPr>
          <w:color w:val="231F20"/>
          <w:spacing w:val="1"/>
        </w:rPr>
        <w:t> </w:t>
      </w:r>
      <w:r>
        <w:rPr>
          <w:color w:val="231F20"/>
        </w:rPr>
        <w:t>of services, treatments, and supports. Despite these</w:t>
      </w:r>
      <w:r>
        <w:rPr>
          <w:color w:val="231F20"/>
          <w:spacing w:val="1"/>
        </w:rPr>
        <w:t> </w:t>
      </w:r>
      <w:r>
        <w:rPr>
          <w:color w:val="231F20"/>
        </w:rPr>
        <w:t>variations, however, there is substantial evidence to</w:t>
      </w:r>
      <w:r>
        <w:rPr>
          <w:color w:val="231F20"/>
          <w:spacing w:val="1"/>
        </w:rPr>
        <w:t> </w:t>
      </w:r>
      <w:r>
        <w:rPr>
          <w:color w:val="231F20"/>
        </w:rPr>
        <w:t>inform the types of resources that can help reduce</w:t>
      </w:r>
      <w:r>
        <w:rPr>
          <w:color w:val="231F20"/>
          <w:spacing w:val="1"/>
        </w:rPr>
        <w:t> </w:t>
      </w:r>
      <w:r>
        <w:rPr>
          <w:color w:val="231F20"/>
        </w:rPr>
        <w:t>substance use, lessen symptoms of mental illness, and</w:t>
      </w:r>
      <w:r>
        <w:rPr>
          <w:color w:val="231F20"/>
          <w:spacing w:val="-52"/>
        </w:rPr>
        <w:t> </w:t>
      </w:r>
      <w:r>
        <w:rPr>
          <w:color w:val="231F20"/>
        </w:rPr>
        <w:t>improve quality of life.</w:t>
      </w:r>
    </w:p>
    <w:p>
      <w:pPr>
        <w:pStyle w:val="BodyText"/>
        <w:spacing w:line="266" w:lineRule="auto" w:before="173"/>
        <w:ind w:left="120" w:right="40"/>
      </w:pPr>
      <w:r>
        <w:rPr>
          <w:color w:val="231F20"/>
        </w:rPr>
        <w:t>The Evidence-Based Resource Guide Series is a</w:t>
      </w:r>
      <w:r>
        <w:rPr>
          <w:color w:val="231F20"/>
          <w:spacing w:val="1"/>
        </w:rPr>
        <w:t> </w:t>
      </w:r>
      <w:r>
        <w:rPr>
          <w:color w:val="231F20"/>
        </w:rPr>
        <w:t>comprehensive set of modules with resources to improve</w:t>
      </w:r>
      <w:r>
        <w:rPr>
          <w:color w:val="231F20"/>
          <w:spacing w:val="-52"/>
        </w:rPr>
        <w:t> </w:t>
      </w:r>
      <w:r>
        <w:rPr>
          <w:color w:val="231F20"/>
        </w:rPr>
        <w:t>health</w:t>
      </w:r>
      <w:r>
        <w:rPr>
          <w:color w:val="231F20"/>
          <w:spacing w:val="-1"/>
        </w:rPr>
        <w:t> </w:t>
      </w:r>
      <w:r>
        <w:rPr>
          <w:color w:val="231F20"/>
        </w:rPr>
        <w:t>outcomes</w:t>
      </w:r>
      <w:r>
        <w:rPr>
          <w:color w:val="231F20"/>
          <w:spacing w:val="-1"/>
        </w:rPr>
        <w:t> </w:t>
      </w:r>
      <w:r>
        <w:rPr>
          <w:color w:val="231F20"/>
        </w:rPr>
        <w:t>for</w:t>
      </w:r>
      <w:r>
        <w:rPr>
          <w:color w:val="231F20"/>
          <w:spacing w:val="-1"/>
        </w:rPr>
        <w:t> </w:t>
      </w:r>
      <w:r>
        <w:rPr>
          <w:color w:val="231F20"/>
        </w:rPr>
        <w:t>people at</w:t>
      </w:r>
      <w:r>
        <w:rPr>
          <w:color w:val="231F20"/>
          <w:spacing w:val="-1"/>
        </w:rPr>
        <w:t> </w:t>
      </w:r>
      <w:r>
        <w:rPr>
          <w:color w:val="231F20"/>
        </w:rPr>
        <w:t>risk</w:t>
      </w:r>
      <w:r>
        <w:rPr>
          <w:color w:val="231F20"/>
          <w:spacing w:val="-1"/>
        </w:rPr>
        <w:t> </w:t>
      </w:r>
      <w:r>
        <w:rPr>
          <w:color w:val="231F20"/>
        </w:rPr>
        <w:t>for, experiencing,</w:t>
      </w:r>
    </w:p>
    <w:p>
      <w:pPr>
        <w:pStyle w:val="BodyText"/>
        <w:spacing w:line="266" w:lineRule="auto"/>
        <w:ind w:left="120" w:right="151"/>
      </w:pPr>
      <w:r>
        <w:rPr>
          <w:color w:val="231F20"/>
        </w:rPr>
        <w:t>or recovering from SMI and/or SUD. It is designed for</w:t>
      </w:r>
      <w:r>
        <w:rPr>
          <w:color w:val="231F20"/>
          <w:spacing w:val="1"/>
        </w:rPr>
        <w:t> </w:t>
      </w:r>
      <w:r>
        <w:rPr>
          <w:color w:val="231F20"/>
        </w:rPr>
        <w:t>practitioners, administrators, community leaders, and</w:t>
      </w:r>
      <w:r>
        <w:rPr>
          <w:color w:val="231F20"/>
          <w:spacing w:val="1"/>
        </w:rPr>
        <w:t> </w:t>
      </w:r>
      <w:r>
        <w:rPr>
          <w:color w:val="231F20"/>
        </w:rPr>
        <w:t>others</w:t>
      </w:r>
      <w:r>
        <w:rPr>
          <w:color w:val="231F20"/>
          <w:spacing w:val="-4"/>
        </w:rPr>
        <w:t> </w:t>
      </w:r>
      <w:r>
        <w:rPr>
          <w:color w:val="231F20"/>
        </w:rPr>
        <w:t>considering</w:t>
      </w:r>
      <w:r>
        <w:rPr>
          <w:color w:val="231F20"/>
          <w:spacing w:val="-3"/>
        </w:rPr>
        <w:t> </w:t>
      </w:r>
      <w:r>
        <w:rPr>
          <w:color w:val="231F20"/>
        </w:rPr>
        <w:t>an</w:t>
      </w:r>
      <w:r>
        <w:rPr>
          <w:color w:val="231F20"/>
          <w:spacing w:val="-3"/>
        </w:rPr>
        <w:t> </w:t>
      </w:r>
      <w:r>
        <w:rPr>
          <w:color w:val="231F20"/>
        </w:rPr>
        <w:t>intervention</w:t>
      </w:r>
      <w:r>
        <w:rPr>
          <w:color w:val="231F20"/>
          <w:spacing w:val="-3"/>
        </w:rPr>
        <w:t> </w:t>
      </w:r>
      <w:r>
        <w:rPr>
          <w:color w:val="231F20"/>
        </w:rPr>
        <w:t>for</w:t>
      </w:r>
      <w:r>
        <w:rPr>
          <w:color w:val="231F20"/>
          <w:spacing w:val="-3"/>
        </w:rPr>
        <w:t> </w:t>
      </w:r>
      <w:r>
        <w:rPr>
          <w:color w:val="231F20"/>
        </w:rPr>
        <w:t>their</w:t>
      </w:r>
      <w:r>
        <w:rPr>
          <w:color w:val="231F20"/>
          <w:spacing w:val="-3"/>
        </w:rPr>
        <w:t> </w:t>
      </w:r>
      <w:r>
        <w:rPr>
          <w:color w:val="231F20"/>
        </w:rPr>
        <w:t>organization</w:t>
      </w:r>
      <w:r>
        <w:rPr>
          <w:color w:val="231F20"/>
          <w:spacing w:val="-52"/>
        </w:rPr>
        <w:t> </w:t>
      </w:r>
      <w:r>
        <w:rPr>
          <w:color w:val="231F20"/>
        </w:rPr>
        <w:t>or</w:t>
      </w:r>
      <w:r>
        <w:rPr>
          <w:color w:val="231F20"/>
          <w:spacing w:val="-1"/>
        </w:rPr>
        <w:t> </w:t>
      </w:r>
      <w:r>
        <w:rPr>
          <w:color w:val="231F20"/>
        </w:rPr>
        <w:t>community.</w:t>
      </w:r>
    </w:p>
    <w:p>
      <w:pPr>
        <w:pStyle w:val="BodyText"/>
        <w:spacing w:line="266" w:lineRule="auto" w:before="91"/>
        <w:ind w:left="120" w:right="805"/>
      </w:pPr>
      <w:r>
        <w:rPr/>
        <w:br w:type="column"/>
      </w:r>
      <w:r>
        <w:rPr>
          <w:color w:val="231F20"/>
        </w:rPr>
        <w:t>A priority topic for SAMHSA is increasing access to</w:t>
      </w:r>
      <w:r>
        <w:rPr>
          <w:color w:val="231F20"/>
          <w:spacing w:val="1"/>
        </w:rPr>
        <w:t> </w:t>
      </w:r>
      <w:r>
        <w:rPr>
          <w:color w:val="231F20"/>
        </w:rPr>
        <w:t>treatment for SMI and SUD using telehealth modalities.</w:t>
      </w:r>
      <w:r>
        <w:rPr>
          <w:color w:val="231F20"/>
          <w:spacing w:val="-52"/>
        </w:rPr>
        <w:t> </w:t>
      </w:r>
      <w:r>
        <w:rPr>
          <w:color w:val="231F20"/>
        </w:rPr>
        <w:t>This guide reviews literature and research findings</w:t>
      </w:r>
      <w:r>
        <w:rPr>
          <w:color w:val="231F20"/>
          <w:spacing w:val="1"/>
        </w:rPr>
        <w:t> </w:t>
      </w:r>
      <w:r>
        <w:rPr>
          <w:color w:val="231F20"/>
        </w:rPr>
        <w:t>related to this issue, examines emerging and best</w:t>
      </w:r>
      <w:r>
        <w:rPr>
          <w:color w:val="231F20"/>
          <w:spacing w:val="1"/>
        </w:rPr>
        <w:t> </w:t>
      </w:r>
      <w:r>
        <w:rPr>
          <w:color w:val="231F20"/>
        </w:rPr>
        <w:t>practices, discusses gaps in knowledge, and identifies</w:t>
      </w:r>
      <w:r>
        <w:rPr>
          <w:color w:val="231F20"/>
          <w:spacing w:val="1"/>
        </w:rPr>
        <w:t> </w:t>
      </w:r>
      <w:r>
        <w:rPr>
          <w:color w:val="231F20"/>
        </w:rPr>
        <w:t>challenges</w:t>
      </w:r>
      <w:r>
        <w:rPr>
          <w:color w:val="231F20"/>
          <w:spacing w:val="-3"/>
        </w:rPr>
        <w:t> </w:t>
      </w:r>
      <w:r>
        <w:rPr>
          <w:color w:val="231F20"/>
        </w:rPr>
        <w:t>and</w:t>
      </w:r>
      <w:r>
        <w:rPr>
          <w:color w:val="231F20"/>
          <w:spacing w:val="-2"/>
        </w:rPr>
        <w:t> </w:t>
      </w:r>
      <w:r>
        <w:rPr>
          <w:color w:val="231F20"/>
        </w:rPr>
        <w:t>strategies</w:t>
      </w:r>
      <w:r>
        <w:rPr>
          <w:color w:val="231F20"/>
          <w:spacing w:val="-3"/>
        </w:rPr>
        <w:t> </w:t>
      </w:r>
      <w:r>
        <w:rPr>
          <w:color w:val="231F20"/>
        </w:rPr>
        <w:t>for</w:t>
      </w:r>
      <w:r>
        <w:rPr>
          <w:color w:val="231F20"/>
          <w:spacing w:val="-2"/>
        </w:rPr>
        <w:t> </w:t>
      </w:r>
      <w:r>
        <w:rPr>
          <w:color w:val="231F20"/>
        </w:rPr>
        <w:t>implementation.</w:t>
      </w:r>
      <w:r>
        <w:rPr>
          <w:color w:val="231F20"/>
          <w:spacing w:val="-8"/>
        </w:rPr>
        <w:t> </w:t>
      </w:r>
      <w:r>
        <w:rPr>
          <w:color w:val="231F20"/>
        </w:rPr>
        <w:t>While</w:t>
      </w:r>
      <w:r>
        <w:rPr>
          <w:color w:val="231F20"/>
          <w:spacing w:val="-2"/>
        </w:rPr>
        <w:t> </w:t>
      </w:r>
      <w:r>
        <w:rPr>
          <w:color w:val="231F20"/>
        </w:rPr>
        <w:t>this</w:t>
      </w:r>
      <w:r>
        <w:rPr>
          <w:color w:val="231F20"/>
          <w:spacing w:val="-52"/>
        </w:rPr>
        <w:t> </w:t>
      </w:r>
      <w:r>
        <w:rPr>
          <w:color w:val="231F20"/>
        </w:rPr>
        <w:t>guide is focused on the needs of people experiencing</w:t>
      </w:r>
      <w:r>
        <w:rPr>
          <w:color w:val="231F20"/>
          <w:spacing w:val="1"/>
        </w:rPr>
        <w:t> </w:t>
      </w:r>
      <w:r>
        <w:rPr>
          <w:color w:val="231F20"/>
        </w:rPr>
        <w:t>SMI and SUD, readers can broadly apply its resources</w:t>
      </w:r>
      <w:r>
        <w:rPr>
          <w:color w:val="231F20"/>
          <w:spacing w:val="1"/>
        </w:rPr>
        <w:t> </w:t>
      </w:r>
      <w:r>
        <w:rPr>
          <w:color w:val="231F20"/>
        </w:rPr>
        <w:t>and lessons from the field for the treatment of any</w:t>
      </w:r>
      <w:r>
        <w:rPr>
          <w:color w:val="231F20"/>
          <w:spacing w:val="1"/>
        </w:rPr>
        <w:t> </w:t>
      </w:r>
      <w:r>
        <w:rPr>
          <w:color w:val="231F20"/>
        </w:rPr>
        <w:t>mental illness.</w:t>
      </w:r>
    </w:p>
    <w:p>
      <w:pPr>
        <w:pStyle w:val="BodyText"/>
        <w:spacing w:line="266" w:lineRule="auto" w:before="173"/>
        <w:ind w:left="120" w:right="712"/>
      </w:pPr>
      <w:r>
        <w:rPr>
          <w:color w:val="231F20"/>
        </w:rPr>
        <w:t>Expert panels of federal, state, and non-governmental</w:t>
      </w:r>
      <w:r>
        <w:rPr>
          <w:color w:val="231F20"/>
          <w:spacing w:val="1"/>
        </w:rPr>
        <w:t> </w:t>
      </w:r>
      <w:r>
        <w:rPr>
          <w:color w:val="231F20"/>
        </w:rPr>
        <w:t>participants provided input for each guide in this series.</w:t>
      </w:r>
      <w:r>
        <w:rPr>
          <w:color w:val="231F20"/>
          <w:spacing w:val="1"/>
        </w:rPr>
        <w:t> </w:t>
      </w:r>
      <w:r>
        <w:rPr>
          <w:color w:val="231F20"/>
        </w:rPr>
        <w:t>The</w:t>
      </w:r>
      <w:r>
        <w:rPr>
          <w:color w:val="231F20"/>
          <w:spacing w:val="-6"/>
        </w:rPr>
        <w:t> </w:t>
      </w:r>
      <w:r>
        <w:rPr>
          <w:color w:val="231F20"/>
        </w:rPr>
        <w:t>panels</w:t>
      </w:r>
      <w:r>
        <w:rPr>
          <w:color w:val="231F20"/>
          <w:spacing w:val="-6"/>
        </w:rPr>
        <w:t> </w:t>
      </w:r>
      <w:r>
        <w:rPr>
          <w:color w:val="231F20"/>
        </w:rPr>
        <w:t>included</w:t>
      </w:r>
      <w:r>
        <w:rPr>
          <w:color w:val="231F20"/>
          <w:spacing w:val="-6"/>
        </w:rPr>
        <w:t> </w:t>
      </w:r>
      <w:r>
        <w:rPr>
          <w:color w:val="231F20"/>
        </w:rPr>
        <w:t>accomplished</w:t>
      </w:r>
      <w:r>
        <w:rPr>
          <w:color w:val="231F20"/>
          <w:spacing w:val="-6"/>
        </w:rPr>
        <w:t> </w:t>
      </w:r>
      <w:r>
        <w:rPr>
          <w:color w:val="231F20"/>
        </w:rPr>
        <w:t>scientists,</w:t>
      </w:r>
      <w:r>
        <w:rPr>
          <w:color w:val="231F20"/>
          <w:spacing w:val="-5"/>
        </w:rPr>
        <w:t> </w:t>
      </w:r>
      <w:r>
        <w:rPr>
          <w:color w:val="231F20"/>
        </w:rPr>
        <w:t>researchers,</w:t>
      </w:r>
      <w:r>
        <w:rPr>
          <w:color w:val="231F20"/>
          <w:spacing w:val="-52"/>
        </w:rPr>
        <w:t> </w:t>
      </w:r>
      <w:r>
        <w:rPr>
          <w:color w:val="231F20"/>
        </w:rPr>
        <w:t>service providers, community administrators, federal and</w:t>
      </w:r>
      <w:r>
        <w:rPr>
          <w:color w:val="231F20"/>
          <w:spacing w:val="-52"/>
        </w:rPr>
        <w:t> </w:t>
      </w:r>
      <w:r>
        <w:rPr>
          <w:color w:val="231F20"/>
        </w:rPr>
        <w:t>state policy makers, and people with lived experience.</w:t>
      </w:r>
    </w:p>
    <w:p>
      <w:pPr>
        <w:pStyle w:val="BodyText"/>
        <w:spacing w:line="266" w:lineRule="auto"/>
        <w:ind w:left="120" w:right="742"/>
      </w:pPr>
      <w:r>
        <w:rPr>
          <w:color w:val="231F20"/>
        </w:rPr>
        <w:t>Members provided input based on their knowledge of</w:t>
      </w:r>
      <w:r>
        <w:rPr>
          <w:color w:val="231F20"/>
          <w:spacing w:val="1"/>
        </w:rPr>
        <w:t> </w:t>
      </w:r>
      <w:r>
        <w:rPr>
          <w:color w:val="231F20"/>
        </w:rPr>
        <w:t>healthcare systems, implementation strategies, evidence-</w:t>
      </w:r>
      <w:r>
        <w:rPr>
          <w:color w:val="231F20"/>
          <w:spacing w:val="-53"/>
        </w:rPr>
        <w:t> </w:t>
      </w:r>
      <w:r>
        <w:rPr>
          <w:color w:val="231F20"/>
        </w:rPr>
        <w:t>based practices, provision of services, and policies that</w:t>
      </w:r>
      <w:r>
        <w:rPr>
          <w:color w:val="231F20"/>
          <w:spacing w:val="1"/>
        </w:rPr>
        <w:t> </w:t>
      </w:r>
      <w:r>
        <w:rPr>
          <w:color w:val="231F20"/>
        </w:rPr>
        <w:t>foster change.</w:t>
      </w:r>
    </w:p>
    <w:p>
      <w:pPr>
        <w:pStyle w:val="BodyText"/>
        <w:spacing w:line="266" w:lineRule="auto" w:before="173"/>
        <w:ind w:left="120" w:right="826"/>
      </w:pPr>
      <w:r>
        <w:rPr>
          <w:color w:val="231F20"/>
        </w:rPr>
        <w:t>Research shows that implementing evidence-based</w:t>
      </w:r>
      <w:r>
        <w:rPr>
          <w:color w:val="231F20"/>
          <w:spacing w:val="1"/>
        </w:rPr>
        <w:t> </w:t>
      </w:r>
      <w:r>
        <w:rPr>
          <w:color w:val="231F20"/>
        </w:rPr>
        <w:t>practices requires a comprehensive, multi-pronged</w:t>
      </w:r>
      <w:r>
        <w:rPr>
          <w:color w:val="231F20"/>
          <w:spacing w:val="1"/>
        </w:rPr>
        <w:t> </w:t>
      </w:r>
      <w:r>
        <w:rPr>
          <w:color w:val="231F20"/>
        </w:rPr>
        <w:t>approach.</w:t>
      </w:r>
      <w:r>
        <w:rPr>
          <w:color w:val="231F20"/>
          <w:spacing w:val="-3"/>
        </w:rPr>
        <w:t> </w:t>
      </w:r>
      <w:r>
        <w:rPr>
          <w:color w:val="231F20"/>
        </w:rPr>
        <w:t>This</w:t>
      </w:r>
      <w:r>
        <w:rPr>
          <w:color w:val="231F20"/>
          <w:spacing w:val="3"/>
        </w:rPr>
        <w:t> </w:t>
      </w:r>
      <w:r>
        <w:rPr>
          <w:color w:val="231F20"/>
        </w:rPr>
        <w:t>guide</w:t>
      </w:r>
      <w:r>
        <w:rPr>
          <w:color w:val="231F20"/>
          <w:spacing w:val="3"/>
        </w:rPr>
        <w:t> </w:t>
      </w:r>
      <w:r>
        <w:rPr>
          <w:color w:val="231F20"/>
        </w:rPr>
        <w:t>is</w:t>
      </w:r>
      <w:r>
        <w:rPr>
          <w:color w:val="231F20"/>
          <w:spacing w:val="2"/>
        </w:rPr>
        <w:t> </w:t>
      </w:r>
      <w:r>
        <w:rPr>
          <w:color w:val="231F20"/>
        </w:rPr>
        <w:t>one</w:t>
      </w:r>
      <w:r>
        <w:rPr>
          <w:color w:val="231F20"/>
          <w:spacing w:val="3"/>
        </w:rPr>
        <w:t> </w:t>
      </w:r>
      <w:r>
        <w:rPr>
          <w:color w:val="231F20"/>
        </w:rPr>
        <w:t>piece</w:t>
      </w:r>
      <w:r>
        <w:rPr>
          <w:color w:val="231F20"/>
          <w:spacing w:val="3"/>
        </w:rPr>
        <w:t> </w:t>
      </w:r>
      <w:r>
        <w:rPr>
          <w:color w:val="231F20"/>
        </w:rPr>
        <w:t>of</w:t>
      </w:r>
      <w:r>
        <w:rPr>
          <w:color w:val="231F20"/>
          <w:spacing w:val="2"/>
        </w:rPr>
        <w:t> </w:t>
      </w:r>
      <w:r>
        <w:rPr>
          <w:color w:val="231F20"/>
        </w:rPr>
        <w:t>an</w:t>
      </w:r>
      <w:r>
        <w:rPr>
          <w:color w:val="231F20"/>
          <w:spacing w:val="3"/>
        </w:rPr>
        <w:t> </w:t>
      </w:r>
      <w:r>
        <w:rPr>
          <w:color w:val="231F20"/>
        </w:rPr>
        <w:t>overall</w:t>
      </w:r>
      <w:r>
        <w:rPr>
          <w:color w:val="231F20"/>
          <w:spacing w:val="1"/>
        </w:rPr>
        <w:t> </w:t>
      </w:r>
      <w:r>
        <w:rPr>
          <w:color w:val="231F20"/>
        </w:rPr>
        <w:t>approach to implement and sustain change. Readers are</w:t>
      </w:r>
      <w:r>
        <w:rPr>
          <w:color w:val="231F20"/>
          <w:spacing w:val="-52"/>
        </w:rPr>
        <w:t> </w:t>
      </w:r>
      <w:r>
        <w:rPr>
          <w:color w:val="231F20"/>
          <w:spacing w:val="-1"/>
        </w:rPr>
        <w:t>encouraged </w:t>
      </w:r>
      <w:r>
        <w:rPr>
          <w:color w:val="231F20"/>
        </w:rPr>
        <w:t>to</w:t>
      </w:r>
      <w:r>
        <w:rPr>
          <w:color w:val="231F20"/>
          <w:spacing w:val="-1"/>
        </w:rPr>
        <w:t> </w:t>
      </w:r>
      <w:r>
        <w:rPr>
          <w:color w:val="231F20"/>
        </w:rPr>
        <w:t>visit</w:t>
      </w:r>
      <w:r>
        <w:rPr>
          <w:color w:val="231F20"/>
          <w:spacing w:val="-1"/>
        </w:rPr>
        <w:t> </w:t>
      </w:r>
      <w:r>
        <w:rPr>
          <w:color w:val="231F20"/>
        </w:rPr>
        <w:t>the</w:t>
      </w:r>
      <w:r>
        <w:rPr>
          <w:color w:val="231F20"/>
          <w:spacing w:val="-2"/>
        </w:rPr>
        <w:t> </w:t>
      </w:r>
      <w:hyperlink r:id="rId9">
        <w:r>
          <w:rPr>
            <w:color w:val="3953A4"/>
            <w:u w:val="single" w:color="3953A4"/>
          </w:rPr>
          <w:t>SAMHSA</w:t>
        </w:r>
        <w:r>
          <w:rPr>
            <w:color w:val="3953A4"/>
            <w:spacing w:val="-13"/>
            <w:u w:val="single" w:color="3953A4"/>
          </w:rPr>
          <w:t> </w:t>
        </w:r>
        <w:r>
          <w:rPr>
            <w:color w:val="3953A4"/>
            <w:u w:val="single" w:color="3953A4"/>
          </w:rPr>
          <w:t>website</w:t>
        </w:r>
      </w:hyperlink>
      <w:r>
        <w:rPr>
          <w:color w:val="3953A4"/>
        </w:rPr>
        <w:t> </w:t>
      </w:r>
      <w:r>
        <w:rPr>
          <w:color w:val="231F20"/>
        </w:rPr>
        <w:t>for</w:t>
      </w:r>
      <w:r>
        <w:rPr>
          <w:color w:val="231F20"/>
          <w:spacing w:val="-1"/>
        </w:rPr>
        <w:t> </w:t>
      </w:r>
      <w:r>
        <w:rPr>
          <w:color w:val="231F20"/>
        </w:rPr>
        <w:t>additional</w:t>
      </w:r>
      <w:r>
        <w:rPr>
          <w:color w:val="231F20"/>
          <w:spacing w:val="-52"/>
        </w:rPr>
        <w:t> </w:t>
      </w:r>
      <w:r>
        <w:rPr>
          <w:color w:val="231F20"/>
        </w:rPr>
        <w:t>tools and technical</w:t>
      </w:r>
      <w:r>
        <w:rPr>
          <w:color w:val="231F20"/>
          <w:spacing w:val="-1"/>
        </w:rPr>
        <w:t> </w:t>
      </w:r>
      <w:r>
        <w:rPr>
          <w:color w:val="231F20"/>
        </w:rPr>
        <w:t>assistance opportunities.</w:t>
      </w:r>
    </w:p>
    <w:p>
      <w:pPr>
        <w:spacing w:after="0" w:line="266" w:lineRule="auto"/>
        <w:sectPr>
          <w:type w:val="continuous"/>
          <w:pgSz w:w="12240" w:h="15840"/>
          <w:pgMar w:header="0" w:footer="666" w:top="1500" w:bottom="0" w:left="600" w:right="0"/>
          <w:cols w:num="2" w:equalWidth="0">
            <w:col w:w="5196" w:space="564"/>
            <w:col w:w="5880"/>
          </w:cols>
        </w:sectPr>
      </w:pPr>
    </w:p>
    <w:p>
      <w:pPr>
        <w:pStyle w:val="Heading2"/>
        <w:spacing w:before="85"/>
      </w:pPr>
      <w:r>
        <w:rPr/>
        <w:pict>
          <v:group style="position:absolute;margin-left:0pt;margin-top:0pt;width:612pt;height:745.7pt;mso-position-horizontal-relative:page;mso-position-vertical-relative:page;z-index:-17887744" id="docshapegroup22" coordorigin="0,0" coordsize="12240,14914">
            <v:rect style="position:absolute;left:0;top:0;width:8000;height:394" id="docshape23" filled="true" fillcolor="#1d384a" stroked="false">
              <v:fill type="solid"/>
            </v:rect>
            <v:rect style="position:absolute;left:0;top:14894;width:12240;height:20" id="docshape24" filled="true" fillcolor="#1d384a" stroked="false">
              <v:fill type="solid"/>
            </v:rect>
            <v:rect style="position:absolute;left:7999;top:393;width:4241;height:14501" id="docshape25" filled="true" fillcolor="#f7e0e0" stroked="false">
              <v:fill type="solid"/>
            </v:rect>
            <v:rect style="position:absolute;left:7999;top:0;width:4241;height:394" id="docshape26" filled="true" fillcolor="#ce372e" stroked="false">
              <v:fill type="solid"/>
            </v:rect>
            <w10:wrap type="none"/>
          </v:group>
        </w:pict>
      </w:r>
      <w:bookmarkStart w:name="Content" w:id="11"/>
      <w:bookmarkEnd w:id="11"/>
      <w:r>
        <w:rPr/>
      </w:r>
      <w:r>
        <w:rPr>
          <w:color w:val="1C384B"/>
        </w:rPr>
        <w:t>Content</w:t>
      </w:r>
      <w:r>
        <w:rPr>
          <w:color w:val="1C384B"/>
          <w:spacing w:val="-2"/>
        </w:rPr>
        <w:t> </w:t>
      </w:r>
      <w:r>
        <w:rPr>
          <w:color w:val="1C384B"/>
        </w:rPr>
        <w:t>of</w:t>
      </w:r>
      <w:r>
        <w:rPr>
          <w:color w:val="1C384B"/>
          <w:spacing w:val="20"/>
        </w:rPr>
        <w:t> </w:t>
      </w:r>
      <w:r>
        <w:rPr>
          <w:color w:val="1C384B"/>
        </w:rPr>
        <w:t>the</w:t>
      </w:r>
      <w:r>
        <w:rPr>
          <w:color w:val="1C384B"/>
          <w:spacing w:val="-1"/>
        </w:rPr>
        <w:t> </w:t>
      </w:r>
      <w:r>
        <w:rPr>
          <w:color w:val="1C384B"/>
        </w:rPr>
        <w:t>Guide</w:t>
      </w:r>
    </w:p>
    <w:p>
      <w:pPr>
        <w:pStyle w:val="BodyText"/>
        <w:spacing w:line="266" w:lineRule="auto" w:before="86"/>
        <w:ind w:left="120" w:right="411"/>
      </w:pPr>
      <w:r>
        <w:rPr>
          <w:color w:val="231F20"/>
        </w:rPr>
        <w:t>This</w:t>
      </w:r>
      <w:r>
        <w:rPr>
          <w:color w:val="231F20"/>
          <w:spacing w:val="-7"/>
        </w:rPr>
        <w:t> </w:t>
      </w:r>
      <w:r>
        <w:rPr>
          <w:color w:val="231F20"/>
        </w:rPr>
        <w:t>guide</w:t>
      </w:r>
      <w:r>
        <w:rPr>
          <w:color w:val="231F20"/>
          <w:spacing w:val="-7"/>
        </w:rPr>
        <w:t> </w:t>
      </w:r>
      <w:r>
        <w:rPr>
          <w:color w:val="231F20"/>
        </w:rPr>
        <w:t>contains</w:t>
      </w:r>
      <w:r>
        <w:rPr>
          <w:color w:val="231F20"/>
          <w:spacing w:val="-6"/>
        </w:rPr>
        <w:t> </w:t>
      </w:r>
      <w:r>
        <w:rPr>
          <w:color w:val="231F20"/>
        </w:rPr>
        <w:t>a</w:t>
      </w:r>
      <w:r>
        <w:rPr>
          <w:color w:val="231F20"/>
          <w:spacing w:val="-7"/>
        </w:rPr>
        <w:t> </w:t>
      </w:r>
      <w:r>
        <w:rPr>
          <w:color w:val="231F20"/>
        </w:rPr>
        <w:t>foreword</w:t>
      </w:r>
      <w:r>
        <w:rPr>
          <w:color w:val="231F20"/>
          <w:spacing w:val="-6"/>
        </w:rPr>
        <w:t> </w:t>
      </w:r>
      <w:r>
        <w:rPr>
          <w:color w:val="231F20"/>
        </w:rPr>
        <w:t>and</w:t>
      </w:r>
      <w:r>
        <w:rPr>
          <w:color w:val="231F20"/>
          <w:spacing w:val="-7"/>
        </w:rPr>
        <w:t> </w:t>
      </w:r>
      <w:r>
        <w:rPr>
          <w:color w:val="231F20"/>
        </w:rPr>
        <w:t>five</w:t>
      </w:r>
      <w:r>
        <w:rPr>
          <w:color w:val="231F20"/>
          <w:spacing w:val="-6"/>
        </w:rPr>
        <w:t> </w:t>
      </w:r>
      <w:r>
        <w:rPr>
          <w:color w:val="231F20"/>
        </w:rPr>
        <w:t>chapters.</w:t>
      </w:r>
      <w:r>
        <w:rPr>
          <w:color w:val="231F20"/>
          <w:spacing w:val="-10"/>
        </w:rPr>
        <w:t> </w:t>
      </w:r>
      <w:r>
        <w:rPr>
          <w:color w:val="231F20"/>
        </w:rPr>
        <w:t>The</w:t>
      </w:r>
      <w:r>
        <w:rPr>
          <w:color w:val="231F20"/>
          <w:spacing w:val="-7"/>
        </w:rPr>
        <w:t> </w:t>
      </w:r>
      <w:r>
        <w:rPr>
          <w:color w:val="231F20"/>
        </w:rPr>
        <w:t>chapters</w:t>
      </w:r>
      <w:r>
        <w:rPr>
          <w:color w:val="231F20"/>
          <w:spacing w:val="-6"/>
        </w:rPr>
        <w:t> </w:t>
      </w:r>
      <w:r>
        <w:rPr>
          <w:color w:val="231F20"/>
        </w:rPr>
        <w:t>stand</w:t>
      </w:r>
      <w:r>
        <w:rPr>
          <w:color w:val="231F20"/>
          <w:spacing w:val="-7"/>
        </w:rPr>
        <w:t> </w:t>
      </w:r>
      <w:r>
        <w:rPr>
          <w:color w:val="231F20"/>
        </w:rPr>
        <w:t>alone</w:t>
      </w:r>
      <w:r>
        <w:rPr>
          <w:color w:val="231F20"/>
          <w:spacing w:val="-52"/>
        </w:rPr>
        <w:t> </w:t>
      </w:r>
      <w:r>
        <w:rPr>
          <w:color w:val="231F20"/>
        </w:rPr>
        <w:t>and do not need to be read in order. Each chapter is designed to be brief</w:t>
      </w:r>
      <w:r>
        <w:rPr>
          <w:color w:val="231F20"/>
          <w:spacing w:val="1"/>
        </w:rPr>
        <w:t> </w:t>
      </w:r>
      <w:r>
        <w:rPr>
          <w:color w:val="231F20"/>
        </w:rPr>
        <w:t>and</w:t>
      </w:r>
      <w:r>
        <w:rPr>
          <w:color w:val="231F20"/>
          <w:spacing w:val="-7"/>
        </w:rPr>
        <w:t> </w:t>
      </w:r>
      <w:r>
        <w:rPr>
          <w:color w:val="231F20"/>
        </w:rPr>
        <w:t>accessible</w:t>
      </w:r>
      <w:r>
        <w:rPr>
          <w:color w:val="231F20"/>
          <w:spacing w:val="-6"/>
        </w:rPr>
        <w:t> </w:t>
      </w:r>
      <w:r>
        <w:rPr>
          <w:color w:val="231F20"/>
        </w:rPr>
        <w:t>to</w:t>
      </w:r>
      <w:r>
        <w:rPr>
          <w:color w:val="231F20"/>
          <w:spacing w:val="-6"/>
        </w:rPr>
        <w:t> </w:t>
      </w:r>
      <w:r>
        <w:rPr>
          <w:color w:val="231F20"/>
        </w:rPr>
        <w:t>healthcare</w:t>
      </w:r>
      <w:r>
        <w:rPr>
          <w:color w:val="231F20"/>
          <w:spacing w:val="-7"/>
        </w:rPr>
        <w:t> </w:t>
      </w:r>
      <w:r>
        <w:rPr>
          <w:color w:val="231F20"/>
        </w:rPr>
        <w:t>providers,</w:t>
      </w:r>
      <w:r>
        <w:rPr>
          <w:color w:val="231F20"/>
          <w:spacing w:val="-6"/>
        </w:rPr>
        <w:t> </w:t>
      </w:r>
      <w:r>
        <w:rPr>
          <w:color w:val="231F20"/>
        </w:rPr>
        <w:t>healthcare</w:t>
      </w:r>
      <w:r>
        <w:rPr>
          <w:color w:val="231F20"/>
          <w:spacing w:val="-6"/>
        </w:rPr>
        <w:t> </w:t>
      </w:r>
      <w:r>
        <w:rPr>
          <w:color w:val="231F20"/>
        </w:rPr>
        <w:t>system</w:t>
      </w:r>
      <w:r>
        <w:rPr>
          <w:color w:val="231F20"/>
          <w:spacing w:val="-7"/>
        </w:rPr>
        <w:t> </w:t>
      </w:r>
      <w:r>
        <w:rPr>
          <w:color w:val="231F20"/>
        </w:rPr>
        <w:t>administrators,</w:t>
      </w:r>
    </w:p>
    <w:p>
      <w:pPr>
        <w:pStyle w:val="BodyText"/>
        <w:spacing w:line="266" w:lineRule="auto"/>
        <w:ind w:left="120"/>
      </w:pPr>
      <w:r>
        <w:rPr>
          <w:color w:val="231F20"/>
        </w:rPr>
        <w:t>community</w:t>
      </w:r>
      <w:r>
        <w:rPr>
          <w:color w:val="231F20"/>
          <w:spacing w:val="-6"/>
        </w:rPr>
        <w:t> </w:t>
      </w:r>
      <w:r>
        <w:rPr>
          <w:color w:val="231F20"/>
        </w:rPr>
        <w:t>members,</w:t>
      </w:r>
      <w:r>
        <w:rPr>
          <w:color w:val="231F20"/>
          <w:spacing w:val="-5"/>
        </w:rPr>
        <w:t> </w:t>
      </w:r>
      <w:r>
        <w:rPr>
          <w:color w:val="231F20"/>
        </w:rPr>
        <w:t>policy</w:t>
      </w:r>
      <w:r>
        <w:rPr>
          <w:color w:val="231F20"/>
          <w:spacing w:val="-6"/>
        </w:rPr>
        <w:t> </w:t>
      </w:r>
      <w:r>
        <w:rPr>
          <w:color w:val="231F20"/>
        </w:rPr>
        <w:t>makers,</w:t>
      </w:r>
      <w:r>
        <w:rPr>
          <w:color w:val="231F20"/>
          <w:spacing w:val="-5"/>
        </w:rPr>
        <w:t> </w:t>
      </w:r>
      <w:r>
        <w:rPr>
          <w:color w:val="231F20"/>
        </w:rPr>
        <w:t>and</w:t>
      </w:r>
      <w:r>
        <w:rPr>
          <w:color w:val="231F20"/>
          <w:spacing w:val="-5"/>
        </w:rPr>
        <w:t> </w:t>
      </w:r>
      <w:r>
        <w:rPr>
          <w:color w:val="231F20"/>
        </w:rPr>
        <w:t>others</w:t>
      </w:r>
      <w:r>
        <w:rPr>
          <w:color w:val="231F20"/>
          <w:spacing w:val="-6"/>
        </w:rPr>
        <w:t> </w:t>
      </w:r>
      <w:r>
        <w:rPr>
          <w:color w:val="231F20"/>
        </w:rPr>
        <w:t>working</w:t>
      </w:r>
      <w:r>
        <w:rPr>
          <w:color w:val="231F20"/>
          <w:spacing w:val="-5"/>
        </w:rPr>
        <w:t> </w:t>
      </w:r>
      <w:r>
        <w:rPr>
          <w:color w:val="231F20"/>
        </w:rPr>
        <w:t>to</w:t>
      </w:r>
      <w:r>
        <w:rPr>
          <w:color w:val="231F20"/>
          <w:spacing w:val="-6"/>
        </w:rPr>
        <w:t> </w:t>
      </w:r>
      <w:r>
        <w:rPr>
          <w:color w:val="231F20"/>
        </w:rPr>
        <w:t>meet</w:t>
      </w:r>
      <w:r>
        <w:rPr>
          <w:color w:val="231F20"/>
          <w:spacing w:val="-5"/>
        </w:rPr>
        <w:t> </w:t>
      </w:r>
      <w:r>
        <w:rPr>
          <w:color w:val="231F20"/>
        </w:rPr>
        <w:t>the</w:t>
      </w:r>
      <w:r>
        <w:rPr>
          <w:color w:val="231F20"/>
          <w:spacing w:val="-5"/>
        </w:rPr>
        <w:t> </w:t>
      </w:r>
      <w:r>
        <w:rPr>
          <w:color w:val="231F20"/>
        </w:rPr>
        <w:t>needs</w:t>
      </w:r>
      <w:r>
        <w:rPr>
          <w:color w:val="231F20"/>
          <w:spacing w:val="-6"/>
        </w:rPr>
        <w:t> </w:t>
      </w:r>
      <w:r>
        <w:rPr>
          <w:color w:val="231F20"/>
        </w:rPr>
        <w:t>of</w:t>
      </w:r>
      <w:r>
        <w:rPr>
          <w:color w:val="231F20"/>
          <w:spacing w:val="-52"/>
        </w:rPr>
        <w:t> </w:t>
      </w:r>
      <w:r>
        <w:rPr>
          <w:color w:val="231F20"/>
        </w:rPr>
        <w:t>people</w:t>
      </w:r>
      <w:r>
        <w:rPr>
          <w:color w:val="231F20"/>
          <w:spacing w:val="-4"/>
        </w:rPr>
        <w:t> </w:t>
      </w:r>
      <w:r>
        <w:rPr>
          <w:color w:val="231F20"/>
        </w:rPr>
        <w:t>at</w:t>
      </w:r>
      <w:r>
        <w:rPr>
          <w:color w:val="231F20"/>
          <w:spacing w:val="-3"/>
        </w:rPr>
        <w:t> </w:t>
      </w:r>
      <w:r>
        <w:rPr>
          <w:color w:val="231F20"/>
        </w:rPr>
        <w:t>risk</w:t>
      </w:r>
      <w:r>
        <w:rPr>
          <w:color w:val="231F20"/>
          <w:spacing w:val="-4"/>
        </w:rPr>
        <w:t> </w:t>
      </w:r>
      <w:r>
        <w:rPr>
          <w:color w:val="231F20"/>
        </w:rPr>
        <w:t>for,</w:t>
      </w:r>
      <w:r>
        <w:rPr>
          <w:color w:val="231F20"/>
          <w:spacing w:val="-3"/>
        </w:rPr>
        <w:t> </w:t>
      </w:r>
      <w:r>
        <w:rPr>
          <w:color w:val="231F20"/>
        </w:rPr>
        <w:t>experiencing,</w:t>
      </w:r>
      <w:r>
        <w:rPr>
          <w:color w:val="231F20"/>
          <w:spacing w:val="-3"/>
        </w:rPr>
        <w:t> </w:t>
      </w:r>
      <w:r>
        <w:rPr>
          <w:color w:val="231F20"/>
        </w:rPr>
        <w:t>or</w:t>
      </w:r>
      <w:r>
        <w:rPr>
          <w:color w:val="231F20"/>
          <w:spacing w:val="-4"/>
        </w:rPr>
        <w:t> </w:t>
      </w:r>
      <w:r>
        <w:rPr>
          <w:color w:val="231F20"/>
        </w:rPr>
        <w:t>recovering</w:t>
      </w:r>
      <w:r>
        <w:rPr>
          <w:color w:val="231F20"/>
          <w:spacing w:val="-3"/>
        </w:rPr>
        <w:t> </w:t>
      </w:r>
      <w:r>
        <w:rPr>
          <w:color w:val="231F20"/>
        </w:rPr>
        <w:t>from</w:t>
      </w:r>
      <w:r>
        <w:rPr>
          <w:color w:val="231F20"/>
          <w:spacing w:val="-3"/>
        </w:rPr>
        <w:t> </w:t>
      </w:r>
      <w:r>
        <w:rPr>
          <w:color w:val="231F20"/>
        </w:rPr>
        <w:t>SMI</w:t>
      </w:r>
      <w:r>
        <w:rPr>
          <w:color w:val="231F20"/>
          <w:spacing w:val="-4"/>
        </w:rPr>
        <w:t> </w:t>
      </w:r>
      <w:r>
        <w:rPr>
          <w:color w:val="231F20"/>
        </w:rPr>
        <w:t>and/or</w:t>
      </w:r>
      <w:r>
        <w:rPr>
          <w:color w:val="231F20"/>
          <w:spacing w:val="-3"/>
        </w:rPr>
        <w:t> </w:t>
      </w:r>
      <w:r>
        <w:rPr>
          <w:color w:val="231F20"/>
        </w:rPr>
        <w:t>SUD.</w:t>
      </w:r>
    </w:p>
    <w:p>
      <w:pPr>
        <w:pStyle w:val="BodyText"/>
        <w:spacing w:line="266" w:lineRule="auto" w:before="177"/>
        <w:ind w:left="120"/>
      </w:pPr>
      <w:r>
        <w:rPr/>
        <w:pict>
          <v:shape style="position:absolute;margin-left:36pt;margin-top:80.379616pt;width:350.65pt;height:366.35pt;mso-position-horizontal-relative:page;mso-position-vertical-relative:paragraph;z-index:15733248" type="#_x0000_t202" id="docshape2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2"/>
                    <w:gridCol w:w="6371"/>
                  </w:tblGrid>
                  <w:tr>
                    <w:trPr>
                      <w:trHeight w:val="700"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0">
                          <w:r>
                            <w:rPr>
                              <w:b/>
                              <w:color w:val="CE372E"/>
                              <w:sz w:val="26"/>
                            </w:rPr>
                            <w:t>FW</w:t>
                          </w:r>
                        </w:hyperlink>
                      </w:p>
                    </w:tc>
                    <w:tc>
                      <w:tcPr>
                        <w:tcW w:w="6371" w:type="dxa"/>
                        <w:tcBorders>
                          <w:top w:val="single" w:sz="8" w:space="0" w:color="231F20"/>
                          <w:bottom w:val="single" w:sz="8" w:space="0" w:color="231F20"/>
                        </w:tcBorders>
                      </w:tcPr>
                      <w:p>
                        <w:pPr>
                          <w:pStyle w:val="TableParagraph"/>
                          <w:spacing w:before="15"/>
                          <w:ind w:left="157"/>
                          <w:rPr>
                            <w:b/>
                            <w:sz w:val="26"/>
                          </w:rPr>
                        </w:pPr>
                        <w:r>
                          <w:rPr>
                            <w:b/>
                            <w:color w:val="CE372D"/>
                            <w:spacing w:val="-6"/>
                            <w:sz w:val="26"/>
                          </w:rPr>
                          <w:t>Evidence-Based</w:t>
                        </w:r>
                        <w:r>
                          <w:rPr>
                            <w:b/>
                            <w:color w:val="CE372D"/>
                            <w:spacing w:val="-12"/>
                            <w:sz w:val="26"/>
                          </w:rPr>
                          <w:t> </w:t>
                        </w:r>
                        <w:r>
                          <w:rPr>
                            <w:b/>
                            <w:color w:val="CE372D"/>
                            <w:spacing w:val="-5"/>
                            <w:sz w:val="26"/>
                          </w:rPr>
                          <w:t>Resource</w:t>
                        </w:r>
                        <w:r>
                          <w:rPr>
                            <w:b/>
                            <w:color w:val="CE372D"/>
                            <w:spacing w:val="-12"/>
                            <w:sz w:val="26"/>
                          </w:rPr>
                          <w:t> </w:t>
                        </w:r>
                        <w:r>
                          <w:rPr>
                            <w:b/>
                            <w:color w:val="CE372D"/>
                            <w:spacing w:val="-5"/>
                            <w:sz w:val="26"/>
                          </w:rPr>
                          <w:t>Guide</w:t>
                        </w:r>
                        <w:r>
                          <w:rPr>
                            <w:b/>
                            <w:color w:val="CE372D"/>
                            <w:spacing w:val="-11"/>
                            <w:sz w:val="26"/>
                          </w:rPr>
                          <w:t> </w:t>
                        </w:r>
                        <w:r>
                          <w:rPr>
                            <w:b/>
                            <w:color w:val="CE372D"/>
                            <w:spacing w:val="-5"/>
                            <w:sz w:val="26"/>
                          </w:rPr>
                          <w:t>Series</w:t>
                        </w:r>
                        <w:r>
                          <w:rPr>
                            <w:b/>
                            <w:color w:val="CE372D"/>
                            <w:spacing w:val="-12"/>
                            <w:sz w:val="26"/>
                          </w:rPr>
                          <w:t> </w:t>
                        </w:r>
                        <w:r>
                          <w:rPr>
                            <w:b/>
                            <w:color w:val="CE372D"/>
                            <w:spacing w:val="-5"/>
                            <w:sz w:val="26"/>
                          </w:rPr>
                          <w:t>Overview</w:t>
                        </w:r>
                      </w:p>
                      <w:p>
                        <w:pPr>
                          <w:pStyle w:val="TableParagraph"/>
                          <w:spacing w:before="69"/>
                          <w:ind w:left="158"/>
                          <w:rPr>
                            <w:sz w:val="22"/>
                          </w:rPr>
                        </w:pPr>
                        <w:r>
                          <w:rPr>
                            <w:color w:val="231F20"/>
                            <w:sz w:val="22"/>
                          </w:rPr>
                          <w:t>Introduction</w:t>
                        </w:r>
                        <w:r>
                          <w:rPr>
                            <w:color w:val="231F20"/>
                            <w:spacing w:val="-1"/>
                            <w:sz w:val="22"/>
                          </w:rPr>
                          <w:t> </w:t>
                        </w:r>
                        <w:r>
                          <w:rPr>
                            <w:color w:val="231F20"/>
                            <w:sz w:val="22"/>
                          </w:rPr>
                          <w:t>to the series.</w:t>
                        </w:r>
                      </w:p>
                    </w:tc>
                  </w:tr>
                  <w:tr>
                    <w:trPr>
                      <w:trHeight w:val="1164"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1">
                          <w:r>
                            <w:rPr>
                              <w:b/>
                              <w:color w:val="CE372E"/>
                              <w:w w:val="99"/>
                              <w:sz w:val="26"/>
                            </w:rPr>
                            <w:t>1</w:t>
                          </w:r>
                        </w:hyperlink>
                      </w:p>
                    </w:tc>
                    <w:tc>
                      <w:tcPr>
                        <w:tcW w:w="6371" w:type="dxa"/>
                        <w:tcBorders>
                          <w:top w:val="single" w:sz="8" w:space="0" w:color="231F20"/>
                          <w:bottom w:val="single" w:sz="8" w:space="0" w:color="231F20"/>
                        </w:tcBorders>
                      </w:tcPr>
                      <w:p>
                        <w:pPr>
                          <w:pStyle w:val="TableParagraph"/>
                          <w:spacing w:before="15"/>
                          <w:ind w:left="157"/>
                          <w:rPr>
                            <w:b/>
                            <w:sz w:val="26"/>
                          </w:rPr>
                        </w:pPr>
                        <w:r>
                          <w:rPr>
                            <w:b/>
                            <w:color w:val="CE372E"/>
                            <w:sz w:val="26"/>
                          </w:rPr>
                          <w:t>Issue</w:t>
                        </w:r>
                        <w:r>
                          <w:rPr>
                            <w:b/>
                            <w:color w:val="CE372E"/>
                            <w:spacing w:val="-1"/>
                            <w:sz w:val="26"/>
                          </w:rPr>
                          <w:t> </w:t>
                        </w:r>
                        <w:r>
                          <w:rPr>
                            <w:b/>
                            <w:color w:val="CE372E"/>
                            <w:sz w:val="26"/>
                          </w:rPr>
                          <w:t>Brief</w:t>
                        </w:r>
                      </w:p>
                      <w:p>
                        <w:pPr>
                          <w:pStyle w:val="TableParagraph"/>
                          <w:spacing w:line="228" w:lineRule="auto" w:before="79"/>
                          <w:ind w:left="158" w:right="450"/>
                          <w:rPr>
                            <w:sz w:val="22"/>
                          </w:rPr>
                        </w:pPr>
                        <w:r>
                          <w:rPr>
                            <w:color w:val="231F20"/>
                            <w:spacing w:val="-2"/>
                            <w:sz w:val="22"/>
                          </w:rPr>
                          <w:t>Overview</w:t>
                        </w:r>
                        <w:r>
                          <w:rPr>
                            <w:color w:val="231F20"/>
                            <w:spacing w:val="-14"/>
                            <w:sz w:val="22"/>
                          </w:rPr>
                          <w:t> </w:t>
                        </w:r>
                        <w:r>
                          <w:rPr>
                            <w:color w:val="231F20"/>
                            <w:spacing w:val="-2"/>
                            <w:sz w:val="22"/>
                          </w:rPr>
                          <w:t>of</w:t>
                        </w:r>
                        <w:r>
                          <w:rPr>
                            <w:color w:val="231F20"/>
                            <w:spacing w:val="-13"/>
                            <w:sz w:val="22"/>
                          </w:rPr>
                          <w:t> </w:t>
                        </w:r>
                        <w:r>
                          <w:rPr>
                            <w:color w:val="231F20"/>
                            <w:spacing w:val="-2"/>
                            <w:sz w:val="22"/>
                          </w:rPr>
                          <w:t>the</w:t>
                        </w:r>
                        <w:r>
                          <w:rPr>
                            <w:color w:val="231F20"/>
                            <w:spacing w:val="-13"/>
                            <w:sz w:val="22"/>
                          </w:rPr>
                          <w:t> </w:t>
                        </w:r>
                        <w:r>
                          <w:rPr>
                            <w:color w:val="231F20"/>
                            <w:spacing w:val="-1"/>
                            <w:sz w:val="22"/>
                          </w:rPr>
                          <w:t>current</w:t>
                        </w:r>
                        <w:r>
                          <w:rPr>
                            <w:color w:val="231F20"/>
                            <w:spacing w:val="-13"/>
                            <w:sz w:val="22"/>
                          </w:rPr>
                          <w:t> </w:t>
                        </w:r>
                        <w:r>
                          <w:rPr>
                            <w:color w:val="231F20"/>
                            <w:spacing w:val="-1"/>
                            <w:sz w:val="22"/>
                          </w:rPr>
                          <w:t>landscape</w:t>
                        </w:r>
                        <w:r>
                          <w:rPr>
                            <w:color w:val="231F20"/>
                            <w:spacing w:val="-13"/>
                            <w:sz w:val="22"/>
                          </w:rPr>
                          <w:t> </w:t>
                        </w:r>
                        <w:r>
                          <w:rPr>
                            <w:color w:val="231F20"/>
                            <w:spacing w:val="-1"/>
                            <w:sz w:val="22"/>
                          </w:rPr>
                          <w:t>of</w:t>
                        </w:r>
                        <w:r>
                          <w:rPr>
                            <w:color w:val="231F20"/>
                            <w:spacing w:val="-14"/>
                            <w:sz w:val="22"/>
                          </w:rPr>
                          <w:t> </w:t>
                        </w:r>
                        <w:r>
                          <w:rPr>
                            <w:color w:val="231F20"/>
                            <w:spacing w:val="-1"/>
                            <w:sz w:val="22"/>
                          </w:rPr>
                          <w:t>telehealth,</w:t>
                        </w:r>
                        <w:r>
                          <w:rPr>
                            <w:color w:val="231F20"/>
                            <w:spacing w:val="-13"/>
                            <w:sz w:val="22"/>
                          </w:rPr>
                          <w:t> </w:t>
                        </w:r>
                        <w:r>
                          <w:rPr>
                            <w:color w:val="231F20"/>
                            <w:spacing w:val="-1"/>
                            <w:sz w:val="22"/>
                          </w:rPr>
                          <w:t>including</w:t>
                        </w:r>
                        <w:r>
                          <w:rPr>
                            <w:color w:val="231F20"/>
                            <w:spacing w:val="-13"/>
                            <w:sz w:val="22"/>
                          </w:rPr>
                          <w:t> </w:t>
                        </w:r>
                        <w:r>
                          <w:rPr>
                            <w:color w:val="231F20"/>
                            <w:spacing w:val="-1"/>
                            <w:sz w:val="22"/>
                          </w:rPr>
                          <w:t>its</w:t>
                        </w:r>
                        <w:r>
                          <w:rPr>
                            <w:color w:val="231F20"/>
                            <w:spacing w:val="-58"/>
                            <w:sz w:val="22"/>
                          </w:rPr>
                          <w:t> </w:t>
                        </w:r>
                        <w:r>
                          <w:rPr>
                            <w:color w:val="231F20"/>
                            <w:spacing w:val="-1"/>
                            <w:sz w:val="22"/>
                          </w:rPr>
                          <w:t>need,</w:t>
                        </w:r>
                        <w:r>
                          <w:rPr>
                            <w:color w:val="231F20"/>
                            <w:spacing w:val="-14"/>
                            <w:sz w:val="22"/>
                          </w:rPr>
                          <w:t> </w:t>
                        </w:r>
                        <w:r>
                          <w:rPr>
                            <w:color w:val="231F20"/>
                            <w:spacing w:val="-1"/>
                            <w:sz w:val="22"/>
                          </w:rPr>
                          <w:t>benefits,</w:t>
                        </w:r>
                        <w:r>
                          <w:rPr>
                            <w:color w:val="231F20"/>
                            <w:spacing w:val="-13"/>
                            <w:sz w:val="22"/>
                          </w:rPr>
                          <w:t> </w:t>
                        </w:r>
                        <w:r>
                          <w:rPr>
                            <w:color w:val="231F20"/>
                            <w:spacing w:val="-1"/>
                            <w:sz w:val="22"/>
                          </w:rPr>
                          <w:t>and</w:t>
                        </w:r>
                        <w:r>
                          <w:rPr>
                            <w:color w:val="231F20"/>
                            <w:spacing w:val="-14"/>
                            <w:sz w:val="22"/>
                          </w:rPr>
                          <w:t> </w:t>
                        </w:r>
                        <w:r>
                          <w:rPr>
                            <w:color w:val="231F20"/>
                            <w:spacing w:val="-1"/>
                            <w:sz w:val="22"/>
                          </w:rPr>
                          <w:t>challenges</w:t>
                        </w:r>
                        <w:r>
                          <w:rPr>
                            <w:color w:val="231F20"/>
                            <w:spacing w:val="-13"/>
                            <w:sz w:val="22"/>
                          </w:rPr>
                          <w:t> </w:t>
                        </w:r>
                        <w:r>
                          <w:rPr>
                            <w:color w:val="231F20"/>
                            <w:sz w:val="22"/>
                          </w:rPr>
                          <w:t>for</w:t>
                        </w:r>
                        <w:r>
                          <w:rPr>
                            <w:color w:val="231F20"/>
                            <w:spacing w:val="-14"/>
                            <w:sz w:val="22"/>
                          </w:rPr>
                          <w:t> </w:t>
                        </w:r>
                        <w:r>
                          <w:rPr>
                            <w:color w:val="231F20"/>
                            <w:sz w:val="22"/>
                          </w:rPr>
                          <w:t>the</w:t>
                        </w:r>
                        <w:r>
                          <w:rPr>
                            <w:color w:val="231F20"/>
                            <w:spacing w:val="-13"/>
                            <w:sz w:val="22"/>
                          </w:rPr>
                          <w:t> </w:t>
                        </w:r>
                        <w:r>
                          <w:rPr>
                            <w:color w:val="231F20"/>
                            <w:sz w:val="22"/>
                          </w:rPr>
                          <w:t>treatment</w:t>
                        </w:r>
                        <w:r>
                          <w:rPr>
                            <w:color w:val="231F20"/>
                            <w:spacing w:val="-14"/>
                            <w:sz w:val="22"/>
                          </w:rPr>
                          <w:t> </w:t>
                        </w:r>
                        <w:r>
                          <w:rPr>
                            <w:color w:val="231F20"/>
                            <w:sz w:val="22"/>
                          </w:rPr>
                          <w:t>of</w:t>
                        </w:r>
                        <w:r>
                          <w:rPr>
                            <w:color w:val="231F20"/>
                            <w:spacing w:val="-13"/>
                            <w:sz w:val="22"/>
                          </w:rPr>
                          <w:t> </w:t>
                        </w:r>
                        <w:r>
                          <w:rPr>
                            <w:color w:val="231F20"/>
                            <w:sz w:val="22"/>
                          </w:rPr>
                          <w:t>SMI</w:t>
                        </w:r>
                        <w:r>
                          <w:rPr>
                            <w:color w:val="231F20"/>
                            <w:spacing w:val="-14"/>
                            <w:sz w:val="22"/>
                          </w:rPr>
                          <w:t> </w:t>
                        </w:r>
                        <w:r>
                          <w:rPr>
                            <w:color w:val="231F20"/>
                            <w:sz w:val="22"/>
                          </w:rPr>
                          <w:t>and</w:t>
                        </w:r>
                        <w:r>
                          <w:rPr>
                            <w:color w:val="231F20"/>
                            <w:spacing w:val="1"/>
                            <w:sz w:val="22"/>
                          </w:rPr>
                          <w:t> </w:t>
                        </w:r>
                        <w:r>
                          <w:rPr>
                            <w:color w:val="231F20"/>
                            <w:sz w:val="22"/>
                          </w:rPr>
                          <w:t>SUD</w:t>
                        </w:r>
                        <w:r>
                          <w:rPr>
                            <w:color w:val="231F20"/>
                            <w:spacing w:val="-6"/>
                            <w:sz w:val="22"/>
                          </w:rPr>
                          <w:t> </w:t>
                        </w:r>
                        <w:r>
                          <w:rPr>
                            <w:color w:val="231F20"/>
                            <w:sz w:val="22"/>
                          </w:rPr>
                          <w:t>among</w:t>
                        </w:r>
                        <w:r>
                          <w:rPr>
                            <w:color w:val="231F20"/>
                            <w:spacing w:val="-6"/>
                            <w:sz w:val="22"/>
                          </w:rPr>
                          <w:t> </w:t>
                        </w:r>
                        <w:r>
                          <w:rPr>
                            <w:color w:val="231F20"/>
                            <w:sz w:val="22"/>
                          </w:rPr>
                          <w:t>adults.</w:t>
                        </w:r>
                      </w:p>
                    </w:tc>
                  </w:tr>
                  <w:tr>
                    <w:trPr>
                      <w:trHeight w:val="1690"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2">
                          <w:r>
                            <w:rPr>
                              <w:b/>
                              <w:color w:val="CE372E"/>
                              <w:w w:val="99"/>
                              <w:sz w:val="26"/>
                            </w:rPr>
                            <w:t>2</w:t>
                          </w:r>
                        </w:hyperlink>
                      </w:p>
                    </w:tc>
                    <w:tc>
                      <w:tcPr>
                        <w:tcW w:w="6371" w:type="dxa"/>
                        <w:tcBorders>
                          <w:top w:val="single" w:sz="8" w:space="0" w:color="231F20"/>
                          <w:bottom w:val="single" w:sz="8" w:space="0" w:color="231F20"/>
                        </w:tcBorders>
                      </w:tcPr>
                      <w:p>
                        <w:pPr>
                          <w:pStyle w:val="TableParagraph"/>
                          <w:spacing w:before="15"/>
                          <w:ind w:left="157"/>
                          <w:rPr>
                            <w:b/>
                            <w:sz w:val="26"/>
                          </w:rPr>
                        </w:pPr>
                        <w:r>
                          <w:rPr>
                            <w:b/>
                            <w:color w:val="CE372E"/>
                            <w:sz w:val="26"/>
                          </w:rPr>
                          <w:t>What</w:t>
                        </w:r>
                        <w:r>
                          <w:rPr>
                            <w:b/>
                            <w:color w:val="CE372E"/>
                            <w:spacing w:val="-5"/>
                            <w:sz w:val="26"/>
                          </w:rPr>
                          <w:t> </w:t>
                        </w:r>
                        <w:r>
                          <w:rPr>
                            <w:b/>
                            <w:color w:val="CE372E"/>
                            <w:sz w:val="26"/>
                          </w:rPr>
                          <w:t>Research</w:t>
                        </w:r>
                        <w:r>
                          <w:rPr>
                            <w:b/>
                            <w:color w:val="CE372E"/>
                            <w:spacing w:val="-5"/>
                            <w:sz w:val="26"/>
                          </w:rPr>
                          <w:t> </w:t>
                        </w:r>
                        <w:r>
                          <w:rPr>
                            <w:b/>
                            <w:color w:val="CE372E"/>
                            <w:sz w:val="26"/>
                          </w:rPr>
                          <w:t>Tells</w:t>
                        </w:r>
                        <w:r>
                          <w:rPr>
                            <w:b/>
                            <w:color w:val="CE372E"/>
                            <w:spacing w:val="-5"/>
                            <w:sz w:val="26"/>
                          </w:rPr>
                          <w:t> </w:t>
                        </w:r>
                        <w:r>
                          <w:rPr>
                            <w:b/>
                            <w:color w:val="CE372E"/>
                            <w:sz w:val="26"/>
                          </w:rPr>
                          <w:t>Us</w:t>
                        </w:r>
                      </w:p>
                      <w:p>
                        <w:pPr>
                          <w:pStyle w:val="TableParagraph"/>
                          <w:spacing w:line="228" w:lineRule="auto" w:before="79"/>
                          <w:ind w:left="158" w:right="16"/>
                          <w:rPr>
                            <w:sz w:val="22"/>
                          </w:rPr>
                        </w:pPr>
                        <w:r>
                          <w:rPr>
                            <w:color w:val="231F20"/>
                            <w:spacing w:val="-4"/>
                            <w:sz w:val="22"/>
                          </w:rPr>
                          <w:t>Current evidence on effectiveness of </w:t>
                        </w:r>
                        <w:r>
                          <w:rPr>
                            <w:color w:val="231F20"/>
                            <w:spacing w:val="-3"/>
                            <w:sz w:val="22"/>
                          </w:rPr>
                          <w:t>integrating telehealth</w:t>
                        </w:r>
                        <w:r>
                          <w:rPr>
                            <w:color w:val="231F20"/>
                            <w:spacing w:val="-2"/>
                            <w:sz w:val="22"/>
                          </w:rPr>
                          <w:t> </w:t>
                        </w:r>
                        <w:r>
                          <w:rPr>
                            <w:color w:val="231F20"/>
                            <w:spacing w:val="-4"/>
                            <w:sz w:val="22"/>
                          </w:rPr>
                          <w:t>modalities</w:t>
                        </w:r>
                        <w:r>
                          <w:rPr>
                            <w:color w:val="231F20"/>
                            <w:spacing w:val="-10"/>
                            <w:sz w:val="22"/>
                          </w:rPr>
                          <w:t> </w:t>
                        </w:r>
                        <w:r>
                          <w:rPr>
                            <w:color w:val="231F20"/>
                            <w:spacing w:val="-4"/>
                            <w:sz w:val="22"/>
                          </w:rPr>
                          <w:t>for</w:t>
                        </w:r>
                        <w:r>
                          <w:rPr>
                            <w:color w:val="231F20"/>
                            <w:spacing w:val="-10"/>
                            <w:sz w:val="22"/>
                          </w:rPr>
                          <w:t> </w:t>
                        </w:r>
                        <w:r>
                          <w:rPr>
                            <w:color w:val="231F20"/>
                            <w:spacing w:val="-4"/>
                            <w:sz w:val="22"/>
                          </w:rPr>
                          <w:t>the</w:t>
                        </w:r>
                        <w:r>
                          <w:rPr>
                            <w:color w:val="231F20"/>
                            <w:spacing w:val="-10"/>
                            <w:sz w:val="22"/>
                          </w:rPr>
                          <w:t> </w:t>
                        </w:r>
                        <w:r>
                          <w:rPr>
                            <w:color w:val="231F20"/>
                            <w:spacing w:val="-4"/>
                            <w:sz w:val="22"/>
                          </w:rPr>
                          <w:t>treatment</w:t>
                        </w:r>
                        <w:r>
                          <w:rPr>
                            <w:color w:val="231F20"/>
                            <w:spacing w:val="-10"/>
                            <w:sz w:val="22"/>
                          </w:rPr>
                          <w:t> </w:t>
                        </w:r>
                        <w:r>
                          <w:rPr>
                            <w:color w:val="231F20"/>
                            <w:spacing w:val="-4"/>
                            <w:sz w:val="22"/>
                          </w:rPr>
                          <w:t>of</w:t>
                        </w:r>
                        <w:r>
                          <w:rPr>
                            <w:color w:val="231F20"/>
                            <w:spacing w:val="-11"/>
                            <w:sz w:val="22"/>
                          </w:rPr>
                          <w:t> </w:t>
                        </w:r>
                        <w:r>
                          <w:rPr>
                            <w:color w:val="231F20"/>
                            <w:spacing w:val="-4"/>
                            <w:sz w:val="22"/>
                          </w:rPr>
                          <w:t>SMI</w:t>
                        </w:r>
                        <w:r>
                          <w:rPr>
                            <w:color w:val="231F20"/>
                            <w:spacing w:val="-10"/>
                            <w:sz w:val="22"/>
                          </w:rPr>
                          <w:t> </w:t>
                        </w:r>
                        <w:r>
                          <w:rPr>
                            <w:color w:val="231F20"/>
                            <w:spacing w:val="-4"/>
                            <w:sz w:val="22"/>
                          </w:rPr>
                          <w:t>and</w:t>
                        </w:r>
                        <w:r>
                          <w:rPr>
                            <w:color w:val="231F20"/>
                            <w:spacing w:val="-10"/>
                            <w:sz w:val="22"/>
                          </w:rPr>
                          <w:t> </w:t>
                        </w:r>
                        <w:r>
                          <w:rPr>
                            <w:color w:val="231F20"/>
                            <w:spacing w:val="-4"/>
                            <w:sz w:val="22"/>
                          </w:rPr>
                          <w:t>SUD</w:t>
                        </w:r>
                        <w:r>
                          <w:rPr>
                            <w:color w:val="231F20"/>
                            <w:spacing w:val="-10"/>
                            <w:sz w:val="22"/>
                          </w:rPr>
                          <w:t> </w:t>
                        </w:r>
                        <w:r>
                          <w:rPr>
                            <w:color w:val="231F20"/>
                            <w:spacing w:val="-4"/>
                            <w:sz w:val="22"/>
                          </w:rPr>
                          <w:t>among</w:t>
                        </w:r>
                        <w:r>
                          <w:rPr>
                            <w:color w:val="231F20"/>
                            <w:spacing w:val="-11"/>
                            <w:sz w:val="22"/>
                          </w:rPr>
                          <w:t> </w:t>
                        </w:r>
                        <w:r>
                          <w:rPr>
                            <w:color w:val="231F20"/>
                            <w:spacing w:val="-4"/>
                            <w:sz w:val="22"/>
                          </w:rPr>
                          <w:t>adults</w:t>
                        </w:r>
                        <w:r>
                          <w:rPr>
                            <w:color w:val="231F20"/>
                            <w:spacing w:val="-11"/>
                            <w:sz w:val="22"/>
                          </w:rPr>
                          <w:t> </w:t>
                        </w:r>
                        <w:r>
                          <w:rPr>
                            <w:color w:val="231F20"/>
                            <w:spacing w:val="-3"/>
                            <w:sz w:val="22"/>
                          </w:rPr>
                          <w:t>across</w:t>
                        </w:r>
                        <w:r>
                          <w:rPr>
                            <w:color w:val="231F20"/>
                            <w:spacing w:val="-58"/>
                            <w:sz w:val="22"/>
                          </w:rPr>
                          <w:t> </w:t>
                        </w:r>
                        <w:r>
                          <w:rPr>
                            <w:color w:val="231F20"/>
                            <w:spacing w:val="-4"/>
                            <w:sz w:val="22"/>
                          </w:rPr>
                          <w:t>a continuum of services, including screening and </w:t>
                        </w:r>
                        <w:r>
                          <w:rPr>
                            <w:color w:val="231F20"/>
                            <w:spacing w:val="-3"/>
                            <w:sz w:val="22"/>
                          </w:rPr>
                          <w:t>assessment,</w:t>
                        </w:r>
                        <w:r>
                          <w:rPr>
                            <w:color w:val="231F20"/>
                            <w:spacing w:val="-2"/>
                            <w:sz w:val="22"/>
                          </w:rPr>
                          <w:t> </w:t>
                        </w:r>
                        <w:r>
                          <w:rPr>
                            <w:color w:val="231F20"/>
                            <w:spacing w:val="-5"/>
                            <w:sz w:val="22"/>
                          </w:rPr>
                          <w:t>treatment, medication management, </w:t>
                        </w:r>
                        <w:r>
                          <w:rPr>
                            <w:color w:val="231F20"/>
                            <w:spacing w:val="-4"/>
                            <w:sz w:val="22"/>
                          </w:rPr>
                          <w:t>case management, recovery</w:t>
                        </w:r>
                        <w:r>
                          <w:rPr>
                            <w:color w:val="231F20"/>
                            <w:spacing w:val="-59"/>
                            <w:sz w:val="22"/>
                          </w:rPr>
                          <w:t> </w:t>
                        </w:r>
                        <w:r>
                          <w:rPr>
                            <w:color w:val="231F20"/>
                            <w:sz w:val="22"/>
                          </w:rPr>
                          <w:t>support,</w:t>
                        </w:r>
                        <w:r>
                          <w:rPr>
                            <w:color w:val="231F20"/>
                            <w:spacing w:val="-11"/>
                            <w:sz w:val="22"/>
                          </w:rPr>
                          <w:t> </w:t>
                        </w:r>
                        <w:r>
                          <w:rPr>
                            <w:color w:val="231F20"/>
                            <w:sz w:val="22"/>
                          </w:rPr>
                          <w:t>and</w:t>
                        </w:r>
                        <w:r>
                          <w:rPr>
                            <w:color w:val="231F20"/>
                            <w:spacing w:val="-11"/>
                            <w:sz w:val="22"/>
                          </w:rPr>
                          <w:t> </w:t>
                        </w:r>
                        <w:r>
                          <w:rPr>
                            <w:color w:val="231F20"/>
                            <w:sz w:val="22"/>
                          </w:rPr>
                          <w:t>crisis</w:t>
                        </w:r>
                        <w:r>
                          <w:rPr>
                            <w:color w:val="231F20"/>
                            <w:spacing w:val="-10"/>
                            <w:sz w:val="22"/>
                          </w:rPr>
                          <w:t> </w:t>
                        </w:r>
                        <w:r>
                          <w:rPr>
                            <w:color w:val="231F20"/>
                            <w:sz w:val="22"/>
                          </w:rPr>
                          <w:t>services.</w:t>
                        </w:r>
                      </w:p>
                    </w:tc>
                  </w:tr>
                  <w:tr>
                    <w:trPr>
                      <w:trHeight w:val="1448"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3">
                          <w:r>
                            <w:rPr>
                              <w:b/>
                              <w:color w:val="CE372E"/>
                              <w:w w:val="99"/>
                              <w:sz w:val="26"/>
                            </w:rPr>
                            <w:t>3</w:t>
                          </w:r>
                        </w:hyperlink>
                      </w:p>
                    </w:tc>
                    <w:tc>
                      <w:tcPr>
                        <w:tcW w:w="6371" w:type="dxa"/>
                        <w:tcBorders>
                          <w:top w:val="single" w:sz="8" w:space="0" w:color="231F20"/>
                          <w:bottom w:val="single" w:sz="8" w:space="0" w:color="231F20"/>
                        </w:tcBorders>
                      </w:tcPr>
                      <w:p>
                        <w:pPr>
                          <w:pStyle w:val="TableParagraph"/>
                          <w:spacing w:line="225" w:lineRule="auto" w:before="30"/>
                          <w:ind w:left="157" w:right="776"/>
                          <w:rPr>
                            <w:b/>
                            <w:sz w:val="26"/>
                          </w:rPr>
                        </w:pPr>
                        <w:r>
                          <w:rPr>
                            <w:b/>
                            <w:color w:val="CE372E"/>
                            <w:sz w:val="26"/>
                          </w:rPr>
                          <w:t>Guidance for Implementing Evidence-based</w:t>
                        </w:r>
                        <w:r>
                          <w:rPr>
                            <w:b/>
                            <w:color w:val="CE372E"/>
                            <w:spacing w:val="-70"/>
                            <w:sz w:val="26"/>
                          </w:rPr>
                          <w:t> </w:t>
                        </w:r>
                        <w:r>
                          <w:rPr>
                            <w:b/>
                            <w:color w:val="CE372E"/>
                            <w:sz w:val="26"/>
                          </w:rPr>
                          <w:t>Practices</w:t>
                        </w:r>
                      </w:p>
                      <w:p>
                        <w:pPr>
                          <w:pStyle w:val="TableParagraph"/>
                          <w:spacing w:line="228" w:lineRule="auto" w:before="81"/>
                          <w:ind w:left="158" w:right="616"/>
                          <w:rPr>
                            <w:sz w:val="22"/>
                          </w:rPr>
                        </w:pPr>
                        <w:r>
                          <w:rPr>
                            <w:color w:val="231F20"/>
                            <w:spacing w:val="-6"/>
                            <w:sz w:val="22"/>
                          </w:rPr>
                          <w:t>Practical </w:t>
                        </w:r>
                        <w:r>
                          <w:rPr>
                            <w:color w:val="231F20"/>
                            <w:spacing w:val="-5"/>
                            <w:sz w:val="22"/>
                          </w:rPr>
                          <w:t>information to consider at the individual client and</w:t>
                        </w:r>
                        <w:r>
                          <w:rPr>
                            <w:color w:val="231F20"/>
                            <w:spacing w:val="-4"/>
                            <w:sz w:val="22"/>
                          </w:rPr>
                          <w:t> </w:t>
                        </w:r>
                        <w:r>
                          <w:rPr>
                            <w:color w:val="231F20"/>
                            <w:spacing w:val="-6"/>
                            <w:sz w:val="22"/>
                          </w:rPr>
                          <w:t>provider, provider-client, organizational, and </w:t>
                        </w:r>
                        <w:r>
                          <w:rPr>
                            <w:color w:val="231F20"/>
                            <w:spacing w:val="-5"/>
                            <w:sz w:val="22"/>
                          </w:rPr>
                          <w:t>regulatory levels</w:t>
                        </w:r>
                        <w:r>
                          <w:rPr>
                            <w:color w:val="231F20"/>
                            <w:spacing w:val="-59"/>
                            <w:sz w:val="22"/>
                          </w:rPr>
                          <w:t> </w:t>
                        </w:r>
                        <w:r>
                          <w:rPr>
                            <w:color w:val="231F20"/>
                            <w:spacing w:val="-6"/>
                            <w:sz w:val="22"/>
                          </w:rPr>
                          <w:t>when</w:t>
                        </w:r>
                        <w:r>
                          <w:rPr>
                            <w:color w:val="231F20"/>
                            <w:spacing w:val="-11"/>
                            <w:sz w:val="22"/>
                          </w:rPr>
                          <w:t> </w:t>
                        </w:r>
                        <w:r>
                          <w:rPr>
                            <w:color w:val="231F20"/>
                            <w:spacing w:val="-6"/>
                            <w:sz w:val="22"/>
                          </w:rPr>
                          <w:t>selecting</w:t>
                        </w:r>
                        <w:r>
                          <w:rPr>
                            <w:color w:val="231F20"/>
                            <w:spacing w:val="-10"/>
                            <w:sz w:val="22"/>
                          </w:rPr>
                          <w:t> </w:t>
                        </w:r>
                        <w:r>
                          <w:rPr>
                            <w:color w:val="231F20"/>
                            <w:spacing w:val="-6"/>
                            <w:sz w:val="22"/>
                          </w:rPr>
                          <w:t>and</w:t>
                        </w:r>
                        <w:r>
                          <w:rPr>
                            <w:color w:val="231F20"/>
                            <w:spacing w:val="-11"/>
                            <w:sz w:val="22"/>
                          </w:rPr>
                          <w:t> </w:t>
                        </w:r>
                        <w:r>
                          <w:rPr>
                            <w:color w:val="231F20"/>
                            <w:spacing w:val="-6"/>
                            <w:sz w:val="22"/>
                          </w:rPr>
                          <w:t>implementing</w:t>
                        </w:r>
                        <w:r>
                          <w:rPr>
                            <w:color w:val="231F20"/>
                            <w:spacing w:val="-10"/>
                            <w:sz w:val="22"/>
                          </w:rPr>
                          <w:t> </w:t>
                        </w:r>
                        <w:r>
                          <w:rPr>
                            <w:color w:val="231F20"/>
                            <w:spacing w:val="-5"/>
                            <w:sz w:val="22"/>
                          </w:rPr>
                          <w:t>telehealth</w:t>
                        </w:r>
                        <w:r>
                          <w:rPr>
                            <w:color w:val="231F20"/>
                            <w:spacing w:val="-11"/>
                            <w:sz w:val="22"/>
                          </w:rPr>
                          <w:t> </w:t>
                        </w:r>
                        <w:r>
                          <w:rPr>
                            <w:color w:val="231F20"/>
                            <w:spacing w:val="-5"/>
                            <w:sz w:val="22"/>
                          </w:rPr>
                          <w:t>modalities.</w:t>
                        </w:r>
                      </w:p>
                    </w:tc>
                  </w:tr>
                  <w:tr>
                    <w:trPr>
                      <w:trHeight w:val="1179"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4">
                          <w:r>
                            <w:rPr>
                              <w:b/>
                              <w:color w:val="CE372E"/>
                              <w:w w:val="99"/>
                              <w:sz w:val="26"/>
                            </w:rPr>
                            <w:t>4</w:t>
                          </w:r>
                        </w:hyperlink>
                      </w:p>
                    </w:tc>
                    <w:tc>
                      <w:tcPr>
                        <w:tcW w:w="6371" w:type="dxa"/>
                        <w:tcBorders>
                          <w:top w:val="single" w:sz="8" w:space="0" w:color="231F20"/>
                          <w:bottom w:val="single" w:sz="8" w:space="0" w:color="231F20"/>
                        </w:tcBorders>
                      </w:tcPr>
                      <w:p>
                        <w:pPr>
                          <w:pStyle w:val="TableParagraph"/>
                          <w:spacing w:line="225" w:lineRule="auto" w:before="30"/>
                          <w:ind w:left="157" w:right="1041"/>
                          <w:rPr>
                            <w:b/>
                            <w:sz w:val="26"/>
                          </w:rPr>
                        </w:pPr>
                        <w:r>
                          <w:rPr>
                            <w:b/>
                            <w:color w:val="CE372E"/>
                            <w:sz w:val="26"/>
                          </w:rPr>
                          <w:t>Examples</w:t>
                        </w:r>
                        <w:r>
                          <w:rPr>
                            <w:b/>
                            <w:color w:val="CE372E"/>
                            <w:spacing w:val="-9"/>
                            <w:sz w:val="26"/>
                          </w:rPr>
                          <w:t> </w:t>
                        </w:r>
                        <w:r>
                          <w:rPr>
                            <w:b/>
                            <w:color w:val="CE372E"/>
                            <w:sz w:val="26"/>
                          </w:rPr>
                          <w:t>of</w:t>
                        </w:r>
                        <w:r>
                          <w:rPr>
                            <w:b/>
                            <w:color w:val="CE372E"/>
                            <w:spacing w:val="-8"/>
                            <w:sz w:val="26"/>
                          </w:rPr>
                          <w:t> </w:t>
                        </w:r>
                        <w:r>
                          <w:rPr>
                            <w:b/>
                            <w:color w:val="CE372E"/>
                            <w:sz w:val="26"/>
                          </w:rPr>
                          <w:t>Telehealth</w:t>
                        </w:r>
                        <w:r>
                          <w:rPr>
                            <w:b/>
                            <w:color w:val="CE372E"/>
                            <w:spacing w:val="-9"/>
                            <w:sz w:val="26"/>
                          </w:rPr>
                          <w:t> </w:t>
                        </w:r>
                        <w:r>
                          <w:rPr>
                            <w:b/>
                            <w:color w:val="CE372E"/>
                            <w:sz w:val="26"/>
                          </w:rPr>
                          <w:t>Implementation</w:t>
                        </w:r>
                        <w:r>
                          <w:rPr>
                            <w:b/>
                            <w:color w:val="CE372E"/>
                            <w:spacing w:val="-8"/>
                            <w:sz w:val="26"/>
                          </w:rPr>
                          <w:t> </w:t>
                        </w:r>
                        <w:r>
                          <w:rPr>
                            <w:b/>
                            <w:color w:val="CE372E"/>
                            <w:sz w:val="26"/>
                          </w:rPr>
                          <w:t>in</w:t>
                        </w:r>
                        <w:r>
                          <w:rPr>
                            <w:b/>
                            <w:color w:val="CE372E"/>
                            <w:spacing w:val="-69"/>
                            <w:sz w:val="26"/>
                          </w:rPr>
                          <w:t> </w:t>
                        </w:r>
                        <w:r>
                          <w:rPr>
                            <w:b/>
                            <w:color w:val="CE372E"/>
                            <w:sz w:val="26"/>
                          </w:rPr>
                          <w:t>Treatment</w:t>
                        </w:r>
                        <w:r>
                          <w:rPr>
                            <w:b/>
                            <w:color w:val="CE372E"/>
                            <w:spacing w:val="-1"/>
                            <w:sz w:val="26"/>
                          </w:rPr>
                          <w:t> </w:t>
                        </w:r>
                        <w:r>
                          <w:rPr>
                            <w:b/>
                            <w:color w:val="CE372E"/>
                            <w:sz w:val="26"/>
                          </w:rPr>
                          <w:t>Programs</w:t>
                        </w:r>
                      </w:p>
                      <w:p>
                        <w:pPr>
                          <w:pStyle w:val="TableParagraph"/>
                          <w:spacing w:line="246" w:lineRule="exact" w:before="71"/>
                          <w:ind w:left="158"/>
                          <w:rPr>
                            <w:sz w:val="22"/>
                          </w:rPr>
                        </w:pPr>
                        <w:r>
                          <w:rPr>
                            <w:color w:val="231F20"/>
                            <w:sz w:val="22"/>
                          </w:rPr>
                          <w:t>Examples</w:t>
                        </w:r>
                        <w:r>
                          <w:rPr>
                            <w:color w:val="231F20"/>
                            <w:spacing w:val="-1"/>
                            <w:sz w:val="22"/>
                          </w:rPr>
                          <w:t> </w:t>
                        </w:r>
                        <w:r>
                          <w:rPr>
                            <w:color w:val="231F20"/>
                            <w:sz w:val="22"/>
                          </w:rPr>
                          <w:t>of programs that have implemented telehealth</w:t>
                        </w:r>
                      </w:p>
                      <w:p>
                        <w:pPr>
                          <w:pStyle w:val="TableParagraph"/>
                          <w:spacing w:line="246" w:lineRule="exact"/>
                          <w:ind w:left="158"/>
                          <w:rPr>
                            <w:sz w:val="22"/>
                          </w:rPr>
                        </w:pPr>
                        <w:r>
                          <w:rPr>
                            <w:color w:val="231F20"/>
                            <w:sz w:val="22"/>
                          </w:rPr>
                          <w:t>modalities</w:t>
                        </w:r>
                        <w:r>
                          <w:rPr>
                            <w:color w:val="231F20"/>
                            <w:spacing w:val="-2"/>
                            <w:sz w:val="22"/>
                          </w:rPr>
                          <w:t> </w:t>
                        </w:r>
                        <w:r>
                          <w:rPr>
                            <w:color w:val="231F20"/>
                            <w:sz w:val="22"/>
                          </w:rPr>
                          <w:t>for</w:t>
                        </w:r>
                        <w:r>
                          <w:rPr>
                            <w:color w:val="231F20"/>
                            <w:spacing w:val="-1"/>
                            <w:sz w:val="22"/>
                          </w:rPr>
                          <w:t> </w:t>
                        </w:r>
                        <w:r>
                          <w:rPr>
                            <w:color w:val="231F20"/>
                            <w:sz w:val="22"/>
                          </w:rPr>
                          <w:t>the</w:t>
                        </w:r>
                        <w:r>
                          <w:rPr>
                            <w:color w:val="231F20"/>
                            <w:spacing w:val="-2"/>
                            <w:sz w:val="22"/>
                          </w:rPr>
                          <w:t> </w:t>
                        </w:r>
                        <w:r>
                          <w:rPr>
                            <w:color w:val="231F20"/>
                            <w:sz w:val="22"/>
                          </w:rPr>
                          <w:t>treatment</w:t>
                        </w:r>
                        <w:r>
                          <w:rPr>
                            <w:color w:val="231F20"/>
                            <w:spacing w:val="-1"/>
                            <w:sz w:val="22"/>
                          </w:rPr>
                          <w:t> </w:t>
                        </w:r>
                        <w:r>
                          <w:rPr>
                            <w:color w:val="231F20"/>
                            <w:sz w:val="22"/>
                          </w:rPr>
                          <w:t>of</w:t>
                        </w:r>
                        <w:r>
                          <w:rPr>
                            <w:color w:val="231F20"/>
                            <w:spacing w:val="-2"/>
                            <w:sz w:val="22"/>
                          </w:rPr>
                          <w:t> </w:t>
                        </w:r>
                        <w:r>
                          <w:rPr>
                            <w:color w:val="231F20"/>
                            <w:sz w:val="22"/>
                          </w:rPr>
                          <w:t>SMI</w:t>
                        </w:r>
                        <w:r>
                          <w:rPr>
                            <w:color w:val="231F20"/>
                            <w:spacing w:val="-2"/>
                            <w:sz w:val="22"/>
                          </w:rPr>
                          <w:t> </w:t>
                        </w:r>
                        <w:r>
                          <w:rPr>
                            <w:color w:val="231F20"/>
                            <w:sz w:val="22"/>
                          </w:rPr>
                          <w:t>and</w:t>
                        </w:r>
                        <w:r>
                          <w:rPr>
                            <w:color w:val="231F20"/>
                            <w:spacing w:val="-2"/>
                            <w:sz w:val="22"/>
                          </w:rPr>
                          <w:t> </w:t>
                        </w:r>
                        <w:r>
                          <w:rPr>
                            <w:color w:val="231F20"/>
                            <w:sz w:val="22"/>
                          </w:rPr>
                          <w:t>SUD</w:t>
                        </w:r>
                        <w:r>
                          <w:rPr>
                            <w:color w:val="231F20"/>
                            <w:spacing w:val="-1"/>
                            <w:sz w:val="22"/>
                          </w:rPr>
                          <w:t> </w:t>
                        </w:r>
                        <w:r>
                          <w:rPr>
                            <w:color w:val="231F20"/>
                            <w:sz w:val="22"/>
                          </w:rPr>
                          <w:t>among</w:t>
                        </w:r>
                        <w:r>
                          <w:rPr>
                            <w:color w:val="231F20"/>
                            <w:spacing w:val="-3"/>
                            <w:sz w:val="22"/>
                          </w:rPr>
                          <w:t> </w:t>
                        </w:r>
                        <w:r>
                          <w:rPr>
                            <w:color w:val="231F20"/>
                            <w:sz w:val="22"/>
                          </w:rPr>
                          <w:t>adults.</w:t>
                        </w:r>
                      </w:p>
                    </w:tc>
                  </w:tr>
                  <w:tr>
                    <w:trPr>
                      <w:trHeight w:val="1006"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5">
                          <w:r>
                            <w:rPr>
                              <w:b/>
                              <w:color w:val="CE372E"/>
                              <w:w w:val="99"/>
                              <w:sz w:val="26"/>
                            </w:rPr>
                            <w:t>5</w:t>
                          </w:r>
                        </w:hyperlink>
                      </w:p>
                    </w:tc>
                    <w:tc>
                      <w:tcPr>
                        <w:tcW w:w="6371" w:type="dxa"/>
                        <w:tcBorders>
                          <w:top w:val="single" w:sz="8" w:space="0" w:color="231F20"/>
                          <w:bottom w:val="single" w:sz="8" w:space="0" w:color="231F20"/>
                        </w:tcBorders>
                      </w:tcPr>
                      <w:p>
                        <w:pPr>
                          <w:pStyle w:val="TableParagraph"/>
                          <w:spacing w:before="15"/>
                          <w:ind w:left="157"/>
                          <w:rPr>
                            <w:b/>
                            <w:sz w:val="26"/>
                          </w:rPr>
                        </w:pPr>
                        <w:r>
                          <w:rPr>
                            <w:b/>
                            <w:color w:val="CE372E"/>
                            <w:spacing w:val="-5"/>
                            <w:sz w:val="26"/>
                          </w:rPr>
                          <w:t>Resources</w:t>
                        </w:r>
                        <w:r>
                          <w:rPr>
                            <w:b/>
                            <w:color w:val="CE372E"/>
                            <w:spacing w:val="-14"/>
                            <w:sz w:val="26"/>
                          </w:rPr>
                          <w:t> </w:t>
                        </w:r>
                        <w:r>
                          <w:rPr>
                            <w:b/>
                            <w:color w:val="CE372E"/>
                            <w:spacing w:val="-5"/>
                            <w:sz w:val="26"/>
                          </w:rPr>
                          <w:t>for</w:t>
                        </w:r>
                        <w:r>
                          <w:rPr>
                            <w:b/>
                            <w:color w:val="CE372E"/>
                            <w:spacing w:val="-13"/>
                            <w:sz w:val="26"/>
                          </w:rPr>
                          <w:t> </w:t>
                        </w:r>
                        <w:r>
                          <w:rPr>
                            <w:b/>
                            <w:color w:val="CE372E"/>
                            <w:spacing w:val="-5"/>
                            <w:sz w:val="26"/>
                          </w:rPr>
                          <w:t>Evaluation</w:t>
                        </w:r>
                        <w:r>
                          <w:rPr>
                            <w:b/>
                            <w:color w:val="CE372E"/>
                            <w:spacing w:val="-13"/>
                            <w:sz w:val="26"/>
                          </w:rPr>
                          <w:t> </w:t>
                        </w:r>
                        <w:r>
                          <w:rPr>
                            <w:b/>
                            <w:color w:val="CE372E"/>
                            <w:spacing w:val="-5"/>
                            <w:sz w:val="26"/>
                          </w:rPr>
                          <w:t>and</w:t>
                        </w:r>
                        <w:r>
                          <w:rPr>
                            <w:b/>
                            <w:color w:val="CE372E"/>
                            <w:spacing w:val="-13"/>
                            <w:sz w:val="26"/>
                          </w:rPr>
                          <w:t> </w:t>
                        </w:r>
                        <w:r>
                          <w:rPr>
                            <w:b/>
                            <w:color w:val="CE372E"/>
                            <w:spacing w:val="-5"/>
                            <w:sz w:val="26"/>
                          </w:rPr>
                          <w:t>Quality</w:t>
                        </w:r>
                        <w:r>
                          <w:rPr>
                            <w:b/>
                            <w:color w:val="CE372E"/>
                            <w:spacing w:val="-13"/>
                            <w:sz w:val="26"/>
                          </w:rPr>
                          <w:t> </w:t>
                        </w:r>
                        <w:r>
                          <w:rPr>
                            <w:b/>
                            <w:color w:val="CE372E"/>
                            <w:spacing w:val="-5"/>
                            <w:sz w:val="26"/>
                          </w:rPr>
                          <w:t>Improvement</w:t>
                        </w:r>
                      </w:p>
                      <w:p>
                        <w:pPr>
                          <w:pStyle w:val="TableParagraph"/>
                          <w:spacing w:line="228" w:lineRule="auto" w:before="79"/>
                          <w:ind w:left="158" w:right="450"/>
                          <w:rPr>
                            <w:sz w:val="22"/>
                          </w:rPr>
                        </w:pPr>
                        <w:r>
                          <w:rPr>
                            <w:color w:val="231F20"/>
                            <w:sz w:val="22"/>
                          </w:rPr>
                          <w:t>Guidance</w:t>
                        </w:r>
                        <w:r>
                          <w:rPr>
                            <w:color w:val="231F20"/>
                            <w:spacing w:val="-4"/>
                            <w:sz w:val="22"/>
                          </w:rPr>
                          <w:t> </w:t>
                        </w:r>
                        <w:r>
                          <w:rPr>
                            <w:color w:val="231F20"/>
                            <w:sz w:val="22"/>
                          </w:rPr>
                          <w:t>and</w:t>
                        </w:r>
                        <w:r>
                          <w:rPr>
                            <w:color w:val="231F20"/>
                            <w:spacing w:val="-3"/>
                            <w:sz w:val="22"/>
                          </w:rPr>
                          <w:t> </w:t>
                        </w:r>
                        <w:r>
                          <w:rPr>
                            <w:color w:val="231F20"/>
                            <w:sz w:val="22"/>
                          </w:rPr>
                          <w:t>resources</w:t>
                        </w:r>
                        <w:r>
                          <w:rPr>
                            <w:color w:val="231F20"/>
                            <w:spacing w:val="-4"/>
                            <w:sz w:val="22"/>
                          </w:rPr>
                          <w:t> </w:t>
                        </w:r>
                        <w:r>
                          <w:rPr>
                            <w:color w:val="231F20"/>
                            <w:sz w:val="22"/>
                          </w:rPr>
                          <w:t>for</w:t>
                        </w:r>
                        <w:r>
                          <w:rPr>
                            <w:color w:val="231F20"/>
                            <w:spacing w:val="-3"/>
                            <w:sz w:val="22"/>
                          </w:rPr>
                          <w:t> </w:t>
                        </w:r>
                        <w:r>
                          <w:rPr>
                            <w:color w:val="231F20"/>
                            <w:sz w:val="22"/>
                          </w:rPr>
                          <w:t>evaluating</w:t>
                        </w:r>
                        <w:r>
                          <w:rPr>
                            <w:color w:val="231F20"/>
                            <w:spacing w:val="-4"/>
                            <w:sz w:val="22"/>
                          </w:rPr>
                          <w:t> </w:t>
                        </w:r>
                        <w:r>
                          <w:rPr>
                            <w:color w:val="231F20"/>
                            <w:sz w:val="22"/>
                          </w:rPr>
                          <w:t>telehealth-delivered</w:t>
                        </w:r>
                        <w:r>
                          <w:rPr>
                            <w:color w:val="231F20"/>
                            <w:spacing w:val="-58"/>
                            <w:sz w:val="22"/>
                          </w:rPr>
                          <w:t> </w:t>
                        </w:r>
                        <w:r>
                          <w:rPr>
                            <w:color w:val="231F20"/>
                            <w:sz w:val="22"/>
                          </w:rPr>
                          <w:t>practices,</w:t>
                        </w:r>
                        <w:r>
                          <w:rPr>
                            <w:color w:val="231F20"/>
                            <w:spacing w:val="-2"/>
                            <w:sz w:val="22"/>
                          </w:rPr>
                          <w:t> </w:t>
                        </w:r>
                        <w:r>
                          <w:rPr>
                            <w:color w:val="231F20"/>
                            <w:sz w:val="22"/>
                          </w:rPr>
                          <w:t>monitoring</w:t>
                        </w:r>
                        <w:r>
                          <w:rPr>
                            <w:color w:val="231F20"/>
                            <w:spacing w:val="-1"/>
                            <w:sz w:val="22"/>
                          </w:rPr>
                          <w:t> </w:t>
                        </w:r>
                        <w:r>
                          <w:rPr>
                            <w:color w:val="231F20"/>
                            <w:sz w:val="22"/>
                          </w:rPr>
                          <w:t>outcomes,</w:t>
                        </w:r>
                        <w:r>
                          <w:rPr>
                            <w:color w:val="231F20"/>
                            <w:spacing w:val="-1"/>
                            <w:sz w:val="22"/>
                          </w:rPr>
                          <w:t> </w:t>
                        </w:r>
                        <w:r>
                          <w:rPr>
                            <w:color w:val="231F20"/>
                            <w:sz w:val="22"/>
                          </w:rPr>
                          <w:t>and</w:t>
                        </w:r>
                        <w:r>
                          <w:rPr>
                            <w:color w:val="231F20"/>
                            <w:spacing w:val="-2"/>
                            <w:sz w:val="22"/>
                          </w:rPr>
                          <w:t> </w:t>
                        </w:r>
                        <w:r>
                          <w:rPr>
                            <w:color w:val="231F20"/>
                            <w:sz w:val="22"/>
                          </w:rPr>
                          <w:t>improving</w:t>
                        </w:r>
                        <w:r>
                          <w:rPr>
                            <w:color w:val="231F20"/>
                            <w:spacing w:val="-1"/>
                            <w:sz w:val="22"/>
                          </w:rPr>
                          <w:t> </w:t>
                        </w:r>
                        <w:r>
                          <w:rPr>
                            <w:color w:val="231F20"/>
                            <w:sz w:val="22"/>
                          </w:rPr>
                          <w:t>quality.</w:t>
                        </w:r>
                      </w:p>
                    </w:tc>
                  </w:tr>
                </w:tbl>
                <w:p>
                  <w:pPr>
                    <w:pStyle w:val="BodyText"/>
                  </w:pPr>
                </w:p>
              </w:txbxContent>
            </v:textbox>
            <w10:wrap type="none"/>
          </v:shape>
        </w:pict>
      </w:r>
      <w:r>
        <w:rPr>
          <w:color w:val="231F20"/>
        </w:rPr>
        <w:t>The goal of this guide is to review the literature on the effectiveness of</w:t>
      </w:r>
      <w:r>
        <w:rPr>
          <w:color w:val="231F20"/>
          <w:spacing w:val="1"/>
        </w:rPr>
        <w:t> </w:t>
      </w:r>
      <w:r>
        <w:rPr>
          <w:color w:val="231F20"/>
        </w:rPr>
        <w:t>telehealth</w:t>
      </w:r>
      <w:r>
        <w:rPr>
          <w:color w:val="231F20"/>
          <w:spacing w:val="-6"/>
        </w:rPr>
        <w:t> </w:t>
      </w:r>
      <w:r>
        <w:rPr>
          <w:color w:val="231F20"/>
        </w:rPr>
        <w:t>modalities</w:t>
      </w:r>
      <w:r>
        <w:rPr>
          <w:color w:val="231F20"/>
          <w:spacing w:val="-6"/>
        </w:rPr>
        <w:t> </w:t>
      </w:r>
      <w:r>
        <w:rPr>
          <w:color w:val="231F20"/>
        </w:rPr>
        <w:t>for</w:t>
      </w:r>
      <w:r>
        <w:rPr>
          <w:color w:val="231F20"/>
          <w:spacing w:val="-5"/>
        </w:rPr>
        <w:t> </w:t>
      </w:r>
      <w:r>
        <w:rPr>
          <w:color w:val="231F20"/>
        </w:rPr>
        <w:t>the</w:t>
      </w:r>
      <w:r>
        <w:rPr>
          <w:color w:val="231F20"/>
          <w:spacing w:val="-6"/>
        </w:rPr>
        <w:t> </w:t>
      </w:r>
      <w:r>
        <w:rPr>
          <w:color w:val="231F20"/>
        </w:rPr>
        <w:t>treatment</w:t>
      </w:r>
      <w:r>
        <w:rPr>
          <w:color w:val="231F20"/>
          <w:spacing w:val="-5"/>
        </w:rPr>
        <w:t> </w:t>
      </w:r>
      <w:r>
        <w:rPr>
          <w:color w:val="231F20"/>
        </w:rPr>
        <w:t>of</w:t>
      </w:r>
      <w:r>
        <w:rPr>
          <w:color w:val="231F20"/>
          <w:spacing w:val="-6"/>
        </w:rPr>
        <w:t> </w:t>
      </w:r>
      <w:r>
        <w:rPr>
          <w:color w:val="231F20"/>
        </w:rPr>
        <w:t>SMI</w:t>
      </w:r>
      <w:r>
        <w:rPr>
          <w:color w:val="231F20"/>
          <w:spacing w:val="-5"/>
        </w:rPr>
        <w:t> </w:t>
      </w:r>
      <w:r>
        <w:rPr>
          <w:color w:val="231F20"/>
        </w:rPr>
        <w:t>and</w:t>
      </w:r>
      <w:r>
        <w:rPr>
          <w:color w:val="231F20"/>
          <w:spacing w:val="-6"/>
        </w:rPr>
        <w:t> </w:t>
      </w:r>
      <w:r>
        <w:rPr>
          <w:color w:val="231F20"/>
        </w:rPr>
        <w:t>SUD,</w:t>
      </w:r>
      <w:r>
        <w:rPr>
          <w:color w:val="231F20"/>
          <w:spacing w:val="-5"/>
        </w:rPr>
        <w:t> </w:t>
      </w:r>
      <w:r>
        <w:rPr>
          <w:color w:val="231F20"/>
        </w:rPr>
        <w:t>distill</w:t>
      </w:r>
      <w:r>
        <w:rPr>
          <w:color w:val="231F20"/>
          <w:spacing w:val="-6"/>
        </w:rPr>
        <w:t> </w:t>
      </w:r>
      <w:r>
        <w:rPr>
          <w:color w:val="231F20"/>
        </w:rPr>
        <w:t>the</w:t>
      </w:r>
      <w:r>
        <w:rPr>
          <w:color w:val="231F20"/>
          <w:spacing w:val="-5"/>
        </w:rPr>
        <w:t> </w:t>
      </w:r>
      <w:r>
        <w:rPr>
          <w:color w:val="231F20"/>
        </w:rPr>
        <w:t>research</w:t>
      </w:r>
      <w:r>
        <w:rPr>
          <w:color w:val="231F20"/>
          <w:spacing w:val="-6"/>
        </w:rPr>
        <w:t> </w:t>
      </w:r>
      <w:r>
        <w:rPr>
          <w:color w:val="231F20"/>
        </w:rPr>
        <w:t>into</w:t>
      </w:r>
      <w:r>
        <w:rPr>
          <w:color w:val="231F20"/>
          <w:spacing w:val="-52"/>
        </w:rPr>
        <w:t> </w:t>
      </w:r>
      <w:r>
        <w:rPr>
          <w:color w:val="231F20"/>
        </w:rPr>
        <w:t>recommendations for practice, and provide examples of how practitioners use</w:t>
      </w:r>
      <w:r>
        <w:rPr>
          <w:color w:val="231F20"/>
          <w:spacing w:val="1"/>
        </w:rPr>
        <w:t> </w:t>
      </w:r>
      <w:r>
        <w:rPr>
          <w:color w:val="231F20"/>
        </w:rPr>
        <w:t>these</w:t>
      </w:r>
      <w:r>
        <w:rPr>
          <w:color w:val="231F20"/>
          <w:spacing w:val="-2"/>
        </w:rPr>
        <w:t> </w:t>
      </w:r>
      <w:r>
        <w:rPr>
          <w:color w:val="231F20"/>
        </w:rPr>
        <w:t>practices</w:t>
      </w:r>
      <w:r>
        <w:rPr>
          <w:color w:val="231F20"/>
          <w:spacing w:val="-1"/>
        </w:rPr>
        <w:t> </w:t>
      </w:r>
      <w:r>
        <w:rPr>
          <w:color w:val="231F20"/>
        </w:rPr>
        <w:t>in</w:t>
      </w:r>
      <w:r>
        <w:rPr>
          <w:color w:val="231F20"/>
          <w:spacing w:val="-1"/>
        </w:rPr>
        <w:t> </w:t>
      </w:r>
      <w:r>
        <w:rPr>
          <w:color w:val="231F20"/>
        </w:rPr>
        <w:t>their</w:t>
      </w:r>
      <w:r>
        <w:rPr>
          <w:color w:val="231F20"/>
          <w:spacing w:val="-2"/>
        </w:rPr>
        <w:t> </w:t>
      </w:r>
      <w:r>
        <w:rPr>
          <w:color w:val="231F20"/>
        </w:rPr>
        <w:t>programs.</w:t>
      </w:r>
    </w:p>
    <w:p>
      <w:pPr>
        <w:pStyle w:val="Heading3"/>
        <w:spacing w:before="127"/>
      </w:pPr>
      <w:r>
        <w:rPr/>
        <w:br w:type="column"/>
      </w:r>
      <w:r>
        <w:rPr>
          <w:color w:val="CE384B"/>
        </w:rPr>
        <w:t>FOCUS</w:t>
      </w:r>
      <w:r>
        <w:rPr>
          <w:color w:val="CE384B"/>
          <w:spacing w:val="-2"/>
        </w:rPr>
        <w:t> </w:t>
      </w:r>
      <w:r>
        <w:rPr>
          <w:color w:val="CE384B"/>
        </w:rPr>
        <w:t>OF</w:t>
      </w:r>
      <w:r>
        <w:rPr>
          <w:color w:val="CE384B"/>
          <w:spacing w:val="-1"/>
        </w:rPr>
        <w:t> </w:t>
      </w:r>
      <w:r>
        <w:rPr>
          <w:color w:val="CE384B"/>
        </w:rPr>
        <w:t>THE</w:t>
      </w:r>
      <w:r>
        <w:rPr>
          <w:color w:val="CE384B"/>
          <w:spacing w:val="-1"/>
        </w:rPr>
        <w:t> </w:t>
      </w:r>
      <w:r>
        <w:rPr>
          <w:color w:val="CE384B"/>
        </w:rPr>
        <w:t>GUIDE</w:t>
      </w:r>
    </w:p>
    <w:p>
      <w:pPr>
        <w:spacing w:line="259" w:lineRule="auto" w:before="109"/>
        <w:ind w:left="120" w:right="729" w:firstLine="0"/>
        <w:jc w:val="left"/>
        <w:rPr>
          <w:rFonts w:ascii="Arial"/>
          <w:sz w:val="21"/>
        </w:rPr>
      </w:pPr>
      <w:r>
        <w:rPr>
          <w:rFonts w:ascii="Arial"/>
          <w:color w:val="010202"/>
          <w:sz w:val="21"/>
        </w:rPr>
        <w:t>SMI and SUD impact millions of</w:t>
      </w:r>
      <w:r>
        <w:rPr>
          <w:rFonts w:ascii="Arial"/>
          <w:color w:val="010202"/>
          <w:spacing w:val="1"/>
          <w:sz w:val="21"/>
        </w:rPr>
        <w:t> </w:t>
      </w:r>
      <w:r>
        <w:rPr>
          <w:rFonts w:ascii="Arial"/>
          <w:color w:val="010202"/>
          <w:sz w:val="21"/>
        </w:rPr>
        <w:t>Americans. Barriers to accessing</w:t>
      </w:r>
      <w:r>
        <w:rPr>
          <w:rFonts w:ascii="Arial"/>
          <w:color w:val="010202"/>
          <w:spacing w:val="1"/>
          <w:sz w:val="21"/>
        </w:rPr>
        <w:t> </w:t>
      </w:r>
      <w:r>
        <w:rPr>
          <w:rFonts w:ascii="Arial"/>
          <w:color w:val="010202"/>
          <w:sz w:val="21"/>
        </w:rPr>
        <w:t>care</w:t>
      </w:r>
      <w:r>
        <w:rPr>
          <w:rFonts w:ascii="Arial"/>
          <w:color w:val="010202"/>
          <w:spacing w:val="-5"/>
          <w:sz w:val="21"/>
        </w:rPr>
        <w:t> </w:t>
      </w:r>
      <w:r>
        <w:rPr>
          <w:rFonts w:ascii="Arial"/>
          <w:color w:val="010202"/>
          <w:sz w:val="21"/>
        </w:rPr>
        <w:t>include</w:t>
      </w:r>
      <w:r>
        <w:rPr>
          <w:rFonts w:ascii="Arial"/>
          <w:color w:val="010202"/>
          <w:spacing w:val="-4"/>
          <w:sz w:val="21"/>
        </w:rPr>
        <w:t> </w:t>
      </w:r>
      <w:r>
        <w:rPr>
          <w:rFonts w:ascii="Arial"/>
          <w:color w:val="010202"/>
          <w:sz w:val="21"/>
        </w:rPr>
        <w:t>access</w:t>
      </w:r>
      <w:r>
        <w:rPr>
          <w:rFonts w:ascii="Arial"/>
          <w:color w:val="010202"/>
          <w:spacing w:val="-4"/>
          <w:sz w:val="21"/>
        </w:rPr>
        <w:t> </w:t>
      </w:r>
      <w:r>
        <w:rPr>
          <w:rFonts w:ascii="Arial"/>
          <w:color w:val="010202"/>
          <w:sz w:val="21"/>
        </w:rPr>
        <w:t>to</w:t>
      </w:r>
      <w:r>
        <w:rPr>
          <w:rFonts w:ascii="Arial"/>
          <w:color w:val="010202"/>
          <w:spacing w:val="-4"/>
          <w:sz w:val="21"/>
        </w:rPr>
        <w:t> </w:t>
      </w:r>
      <w:r>
        <w:rPr>
          <w:rFonts w:ascii="Arial"/>
          <w:color w:val="010202"/>
          <w:sz w:val="21"/>
        </w:rPr>
        <w:t>appropriate</w:t>
      </w:r>
      <w:r>
        <w:rPr>
          <w:rFonts w:ascii="Arial"/>
          <w:color w:val="010202"/>
          <w:spacing w:val="-56"/>
          <w:sz w:val="21"/>
        </w:rPr>
        <w:t> </w:t>
      </w:r>
      <w:r>
        <w:rPr>
          <w:rFonts w:ascii="Arial"/>
          <w:color w:val="010202"/>
          <w:sz w:val="21"/>
        </w:rPr>
        <w:t>services and providers, stigma</w:t>
      </w:r>
      <w:r>
        <w:rPr>
          <w:rFonts w:ascii="Arial"/>
          <w:color w:val="010202"/>
          <w:spacing w:val="1"/>
          <w:sz w:val="21"/>
        </w:rPr>
        <w:t> </w:t>
      </w:r>
      <w:r>
        <w:rPr>
          <w:rFonts w:ascii="Arial"/>
          <w:color w:val="010202"/>
          <w:sz w:val="21"/>
        </w:rPr>
        <w:t>associated</w:t>
      </w:r>
      <w:r>
        <w:rPr>
          <w:rFonts w:ascii="Arial"/>
          <w:color w:val="010202"/>
          <w:spacing w:val="-2"/>
          <w:sz w:val="21"/>
        </w:rPr>
        <w:t> </w:t>
      </w:r>
      <w:r>
        <w:rPr>
          <w:rFonts w:ascii="Arial"/>
          <w:color w:val="010202"/>
          <w:sz w:val="21"/>
        </w:rPr>
        <w:t>with</w:t>
      </w:r>
      <w:r>
        <w:rPr>
          <w:rFonts w:ascii="Arial"/>
          <w:color w:val="010202"/>
          <w:spacing w:val="-2"/>
          <w:sz w:val="21"/>
        </w:rPr>
        <w:t> </w:t>
      </w:r>
      <w:r>
        <w:rPr>
          <w:rFonts w:ascii="Arial"/>
          <w:color w:val="010202"/>
          <w:sz w:val="21"/>
        </w:rPr>
        <w:t>SMI</w:t>
      </w:r>
      <w:r>
        <w:rPr>
          <w:rFonts w:ascii="Arial"/>
          <w:color w:val="010202"/>
          <w:spacing w:val="-1"/>
          <w:sz w:val="21"/>
        </w:rPr>
        <w:t> </w:t>
      </w:r>
      <w:r>
        <w:rPr>
          <w:rFonts w:ascii="Arial"/>
          <w:color w:val="010202"/>
          <w:sz w:val="21"/>
        </w:rPr>
        <w:t>or</w:t>
      </w:r>
      <w:r>
        <w:rPr>
          <w:rFonts w:ascii="Arial"/>
          <w:color w:val="010202"/>
          <w:spacing w:val="-2"/>
          <w:sz w:val="21"/>
        </w:rPr>
        <w:t> </w:t>
      </w:r>
      <w:r>
        <w:rPr>
          <w:rFonts w:ascii="Arial"/>
          <w:color w:val="010202"/>
          <w:sz w:val="21"/>
        </w:rPr>
        <w:t>SUD,</w:t>
      </w:r>
    </w:p>
    <w:p>
      <w:pPr>
        <w:spacing w:line="259" w:lineRule="auto" w:before="0"/>
        <w:ind w:left="120" w:right="1161" w:firstLine="0"/>
        <w:jc w:val="left"/>
        <w:rPr>
          <w:rFonts w:ascii="Arial"/>
          <w:sz w:val="21"/>
        </w:rPr>
      </w:pPr>
      <w:r>
        <w:rPr>
          <w:rFonts w:ascii="Arial"/>
          <w:color w:val="010202"/>
          <w:sz w:val="21"/>
        </w:rPr>
        <w:t>and</w:t>
      </w:r>
      <w:r>
        <w:rPr>
          <w:rFonts w:ascii="Arial"/>
          <w:color w:val="010202"/>
          <w:spacing w:val="-6"/>
          <w:sz w:val="21"/>
        </w:rPr>
        <w:t> </w:t>
      </w:r>
      <w:r>
        <w:rPr>
          <w:rFonts w:ascii="Arial"/>
          <w:color w:val="010202"/>
          <w:sz w:val="21"/>
        </w:rPr>
        <w:t>competing</w:t>
      </w:r>
      <w:r>
        <w:rPr>
          <w:rFonts w:ascii="Arial"/>
          <w:color w:val="010202"/>
          <w:spacing w:val="-5"/>
          <w:sz w:val="21"/>
        </w:rPr>
        <w:t> </w:t>
      </w:r>
      <w:r>
        <w:rPr>
          <w:rFonts w:ascii="Arial"/>
          <w:color w:val="010202"/>
          <w:sz w:val="21"/>
        </w:rPr>
        <w:t>priorities</w:t>
      </w:r>
      <w:r>
        <w:rPr>
          <w:rFonts w:ascii="Arial"/>
          <w:color w:val="010202"/>
          <w:spacing w:val="-6"/>
          <w:sz w:val="21"/>
        </w:rPr>
        <w:t> </w:t>
      </w:r>
      <w:r>
        <w:rPr>
          <w:rFonts w:ascii="Arial"/>
          <w:color w:val="010202"/>
          <w:sz w:val="21"/>
        </w:rPr>
        <w:t>(e.g.,</w:t>
      </w:r>
      <w:r>
        <w:rPr>
          <w:rFonts w:ascii="Arial"/>
          <w:color w:val="010202"/>
          <w:spacing w:val="-55"/>
          <w:sz w:val="21"/>
        </w:rPr>
        <w:t> </w:t>
      </w:r>
      <w:r>
        <w:rPr>
          <w:rFonts w:ascii="Arial"/>
          <w:color w:val="010202"/>
          <w:sz w:val="21"/>
        </w:rPr>
        <w:t>employment and caregiving</w:t>
      </w:r>
      <w:r>
        <w:rPr>
          <w:rFonts w:ascii="Arial"/>
          <w:color w:val="010202"/>
          <w:spacing w:val="1"/>
          <w:sz w:val="21"/>
        </w:rPr>
        <w:t> </w:t>
      </w:r>
      <w:r>
        <w:rPr>
          <w:rFonts w:ascii="Arial"/>
          <w:color w:val="010202"/>
          <w:sz w:val="21"/>
        </w:rPr>
        <w:t>responsibilities).</w:t>
      </w:r>
    </w:p>
    <w:p>
      <w:pPr>
        <w:spacing w:line="259" w:lineRule="auto" w:before="174"/>
        <w:ind w:left="120" w:right="899" w:firstLine="0"/>
        <w:jc w:val="left"/>
        <w:rPr>
          <w:rFonts w:ascii="Arial"/>
          <w:sz w:val="21"/>
        </w:rPr>
      </w:pPr>
      <w:r>
        <w:rPr>
          <w:rFonts w:ascii="Arial"/>
          <w:color w:val="010202"/>
          <w:sz w:val="21"/>
        </w:rPr>
        <w:t>Telehealth</w:t>
      </w:r>
      <w:r>
        <w:rPr>
          <w:rFonts w:ascii="Arial"/>
          <w:color w:val="010202"/>
          <w:spacing w:val="-11"/>
          <w:sz w:val="21"/>
        </w:rPr>
        <w:t> </w:t>
      </w:r>
      <w:r>
        <w:rPr>
          <w:rFonts w:ascii="Arial"/>
          <w:color w:val="010202"/>
          <w:sz w:val="21"/>
        </w:rPr>
        <w:t>is</w:t>
      </w:r>
      <w:r>
        <w:rPr>
          <w:rFonts w:ascii="Arial"/>
          <w:color w:val="010202"/>
          <w:spacing w:val="-10"/>
          <w:sz w:val="21"/>
        </w:rPr>
        <w:t> </w:t>
      </w:r>
      <w:r>
        <w:rPr>
          <w:rFonts w:ascii="Arial"/>
          <w:color w:val="010202"/>
          <w:sz w:val="21"/>
        </w:rPr>
        <w:t>the</w:t>
      </w:r>
      <w:r>
        <w:rPr>
          <w:rFonts w:ascii="Arial"/>
          <w:color w:val="010202"/>
          <w:spacing w:val="-11"/>
          <w:sz w:val="21"/>
        </w:rPr>
        <w:t> </w:t>
      </w:r>
      <w:r>
        <w:rPr>
          <w:rFonts w:ascii="Arial"/>
          <w:color w:val="010202"/>
          <w:sz w:val="21"/>
        </w:rPr>
        <w:t>use</w:t>
      </w:r>
      <w:r>
        <w:rPr>
          <w:rFonts w:ascii="Arial"/>
          <w:color w:val="010202"/>
          <w:spacing w:val="-10"/>
          <w:sz w:val="21"/>
        </w:rPr>
        <w:t> </w:t>
      </w:r>
      <w:r>
        <w:rPr>
          <w:rFonts w:ascii="Arial"/>
          <w:color w:val="010202"/>
          <w:sz w:val="21"/>
        </w:rPr>
        <w:t>of</w:t>
      </w:r>
      <w:r>
        <w:rPr>
          <w:rFonts w:ascii="Arial"/>
          <w:color w:val="010202"/>
          <w:spacing w:val="-11"/>
          <w:sz w:val="21"/>
        </w:rPr>
        <w:t> </w:t>
      </w:r>
      <w:r>
        <w:rPr>
          <w:rFonts w:ascii="Arial"/>
          <w:color w:val="010202"/>
          <w:sz w:val="21"/>
        </w:rPr>
        <w:t>two-way,</w:t>
      </w:r>
      <w:r>
        <w:rPr>
          <w:rFonts w:ascii="Arial"/>
          <w:color w:val="010202"/>
          <w:spacing w:val="-55"/>
          <w:sz w:val="21"/>
        </w:rPr>
        <w:t> </w:t>
      </w:r>
      <w:r>
        <w:rPr>
          <w:rFonts w:ascii="Arial"/>
          <w:color w:val="010202"/>
          <w:sz w:val="21"/>
        </w:rPr>
        <w:t>interactive technology to provide</w:t>
      </w:r>
      <w:r>
        <w:rPr>
          <w:rFonts w:ascii="Arial"/>
          <w:color w:val="010202"/>
          <w:spacing w:val="-56"/>
          <w:sz w:val="21"/>
        </w:rPr>
        <w:t> </w:t>
      </w:r>
      <w:r>
        <w:rPr>
          <w:rFonts w:ascii="Arial"/>
          <w:color w:val="010202"/>
          <w:sz w:val="21"/>
        </w:rPr>
        <w:t>health care and facilitate client-</w:t>
      </w:r>
      <w:r>
        <w:rPr>
          <w:rFonts w:ascii="Arial"/>
          <w:color w:val="010202"/>
          <w:spacing w:val="1"/>
          <w:sz w:val="21"/>
        </w:rPr>
        <w:t> </w:t>
      </w:r>
      <w:r>
        <w:rPr>
          <w:rFonts w:ascii="Arial"/>
          <w:color w:val="010202"/>
          <w:sz w:val="21"/>
        </w:rPr>
        <w:t>provider interactions. Telehealth</w:t>
      </w:r>
      <w:r>
        <w:rPr>
          <w:rFonts w:ascii="Arial"/>
          <w:color w:val="010202"/>
          <w:spacing w:val="-56"/>
          <w:sz w:val="21"/>
        </w:rPr>
        <w:t> </w:t>
      </w:r>
      <w:r>
        <w:rPr>
          <w:rFonts w:ascii="Arial"/>
          <w:color w:val="010202"/>
          <w:sz w:val="21"/>
        </w:rPr>
        <w:t>modalities for SMI or SUD may</w:t>
      </w:r>
      <w:r>
        <w:rPr>
          <w:rFonts w:ascii="Arial"/>
          <w:color w:val="010202"/>
          <w:spacing w:val="1"/>
          <w:sz w:val="21"/>
        </w:rPr>
        <w:t> </w:t>
      </w:r>
      <w:r>
        <w:rPr>
          <w:rFonts w:ascii="Arial"/>
          <w:color w:val="010202"/>
          <w:sz w:val="21"/>
        </w:rPr>
        <w:t>be synchronous (live or real</w:t>
      </w:r>
      <w:r>
        <w:rPr>
          <w:rFonts w:ascii="Arial"/>
          <w:color w:val="010202"/>
          <w:spacing w:val="1"/>
          <w:sz w:val="21"/>
        </w:rPr>
        <w:t> </w:t>
      </w:r>
      <w:r>
        <w:rPr>
          <w:rFonts w:ascii="Arial"/>
          <w:color w:val="010202"/>
          <w:sz w:val="21"/>
        </w:rPr>
        <w:t>time) or asynchronous (delayed</w:t>
      </w:r>
      <w:r>
        <w:rPr>
          <w:rFonts w:ascii="Arial"/>
          <w:color w:val="010202"/>
          <w:spacing w:val="1"/>
          <w:sz w:val="21"/>
        </w:rPr>
        <w:t> </w:t>
      </w:r>
      <w:r>
        <w:rPr>
          <w:rFonts w:ascii="Arial"/>
          <w:color w:val="010202"/>
          <w:sz w:val="21"/>
        </w:rPr>
        <w:t>communication between clients</w:t>
      </w:r>
      <w:r>
        <w:rPr>
          <w:rFonts w:ascii="Arial"/>
          <w:color w:val="010202"/>
          <w:spacing w:val="1"/>
          <w:sz w:val="21"/>
        </w:rPr>
        <w:t> </w:t>
      </w:r>
      <w:r>
        <w:rPr>
          <w:rFonts w:ascii="Arial"/>
          <w:color w:val="010202"/>
          <w:sz w:val="21"/>
        </w:rPr>
        <w:t>and providers).</w:t>
      </w:r>
    </w:p>
    <w:p>
      <w:pPr>
        <w:spacing w:line="259" w:lineRule="auto" w:before="172"/>
        <w:ind w:left="120" w:right="1183" w:firstLine="0"/>
        <w:jc w:val="left"/>
        <w:rPr>
          <w:rFonts w:ascii="Arial"/>
          <w:sz w:val="21"/>
        </w:rPr>
      </w:pPr>
      <w:r>
        <w:rPr>
          <w:rFonts w:ascii="Arial"/>
          <w:color w:val="010202"/>
          <w:sz w:val="21"/>
        </w:rPr>
        <w:t>Telehealth has the potential</w:t>
      </w:r>
      <w:r>
        <w:rPr>
          <w:rFonts w:ascii="Arial"/>
          <w:color w:val="010202"/>
          <w:spacing w:val="1"/>
          <w:sz w:val="21"/>
        </w:rPr>
        <w:t> </w:t>
      </w:r>
      <w:r>
        <w:rPr>
          <w:rFonts w:ascii="Arial"/>
          <w:color w:val="010202"/>
          <w:sz w:val="21"/>
        </w:rPr>
        <w:t>to</w:t>
      </w:r>
      <w:r>
        <w:rPr>
          <w:rFonts w:ascii="Arial"/>
          <w:color w:val="010202"/>
          <w:spacing w:val="-4"/>
          <w:sz w:val="21"/>
        </w:rPr>
        <w:t> </w:t>
      </w:r>
      <w:r>
        <w:rPr>
          <w:rFonts w:ascii="Arial"/>
          <w:color w:val="010202"/>
          <w:sz w:val="21"/>
        </w:rPr>
        <w:t>address</w:t>
      </w:r>
      <w:r>
        <w:rPr>
          <w:rFonts w:ascii="Arial"/>
          <w:color w:val="010202"/>
          <w:spacing w:val="-4"/>
          <w:sz w:val="21"/>
        </w:rPr>
        <w:t> </w:t>
      </w:r>
      <w:r>
        <w:rPr>
          <w:rFonts w:ascii="Arial"/>
          <w:color w:val="010202"/>
          <w:sz w:val="21"/>
        </w:rPr>
        <w:t>the</w:t>
      </w:r>
      <w:r>
        <w:rPr>
          <w:rFonts w:ascii="Arial"/>
          <w:color w:val="010202"/>
          <w:spacing w:val="-4"/>
          <w:sz w:val="21"/>
        </w:rPr>
        <w:t> </w:t>
      </w:r>
      <w:r>
        <w:rPr>
          <w:rFonts w:ascii="Arial"/>
          <w:color w:val="010202"/>
          <w:sz w:val="21"/>
        </w:rPr>
        <w:t>treatment</w:t>
      </w:r>
      <w:r>
        <w:rPr>
          <w:rFonts w:ascii="Arial"/>
          <w:color w:val="010202"/>
          <w:spacing w:val="-4"/>
          <w:sz w:val="21"/>
        </w:rPr>
        <w:t> </w:t>
      </w:r>
      <w:r>
        <w:rPr>
          <w:rFonts w:ascii="Arial"/>
          <w:color w:val="010202"/>
          <w:sz w:val="21"/>
        </w:rPr>
        <w:t>gap,</w:t>
      </w:r>
    </w:p>
    <w:p>
      <w:pPr>
        <w:spacing w:line="259" w:lineRule="auto" w:before="0"/>
        <w:ind w:left="120" w:right="923" w:firstLine="0"/>
        <w:jc w:val="left"/>
        <w:rPr>
          <w:rFonts w:ascii="Arial"/>
          <w:sz w:val="21"/>
        </w:rPr>
      </w:pPr>
      <w:r>
        <w:rPr>
          <w:rFonts w:ascii="Arial"/>
          <w:color w:val="010202"/>
          <w:sz w:val="21"/>
        </w:rPr>
        <w:t>making treatment services more</w:t>
      </w:r>
      <w:r>
        <w:rPr>
          <w:rFonts w:ascii="Arial"/>
          <w:color w:val="010202"/>
          <w:spacing w:val="-57"/>
          <w:sz w:val="21"/>
        </w:rPr>
        <w:t> </w:t>
      </w:r>
      <w:r>
        <w:rPr>
          <w:rFonts w:ascii="Arial"/>
          <w:color w:val="010202"/>
          <w:sz w:val="21"/>
        </w:rPr>
        <w:t>accessible and convenient,</w:t>
      </w:r>
      <w:r>
        <w:rPr>
          <w:rFonts w:ascii="Arial"/>
          <w:color w:val="010202"/>
          <w:spacing w:val="1"/>
          <w:sz w:val="21"/>
        </w:rPr>
        <w:t> </w:t>
      </w:r>
      <w:r>
        <w:rPr>
          <w:rFonts w:ascii="Arial"/>
          <w:color w:val="010202"/>
          <w:sz w:val="21"/>
        </w:rPr>
        <w:t>improving health outcomes, and</w:t>
      </w:r>
      <w:r>
        <w:rPr>
          <w:rFonts w:ascii="Arial"/>
          <w:color w:val="010202"/>
          <w:spacing w:val="-56"/>
          <w:sz w:val="21"/>
        </w:rPr>
        <w:t> </w:t>
      </w:r>
      <w:r>
        <w:rPr>
          <w:rFonts w:ascii="Arial"/>
          <w:color w:val="010202"/>
          <w:sz w:val="21"/>
        </w:rPr>
        <w:t>reducing</w:t>
      </w:r>
      <w:r>
        <w:rPr>
          <w:rFonts w:ascii="Arial"/>
          <w:color w:val="010202"/>
          <w:spacing w:val="-1"/>
          <w:sz w:val="21"/>
        </w:rPr>
        <w:t> </w:t>
      </w:r>
      <w:r>
        <w:rPr>
          <w:rFonts w:ascii="Arial"/>
          <w:color w:val="010202"/>
          <w:sz w:val="21"/>
        </w:rPr>
        <w:t>health disparities.</w:t>
      </w:r>
    </w:p>
    <w:p>
      <w:pPr>
        <w:spacing w:after="0" w:line="259" w:lineRule="auto"/>
        <w:jc w:val="left"/>
        <w:rPr>
          <w:rFonts w:ascii="Arial"/>
          <w:sz w:val="21"/>
        </w:rPr>
        <w:sectPr>
          <w:footerReference w:type="default" r:id="rId10"/>
          <w:pgSz w:w="12240" w:h="15840"/>
          <w:pgMar w:footer="667" w:header="0" w:top="860" w:bottom="860" w:left="600" w:right="0"/>
          <w:cols w:num="2" w:equalWidth="0">
            <w:col w:w="7146" w:space="443"/>
            <w:col w:w="4051"/>
          </w:cols>
        </w:sectPr>
      </w:pPr>
    </w:p>
    <w:p>
      <w:pPr>
        <w:pStyle w:val="BodyText"/>
        <w:rPr>
          <w:rFonts w:ascii="Arial"/>
          <w:sz w:val="20"/>
        </w:rPr>
      </w:pPr>
      <w:r>
        <w:rPr/>
        <w:pict>
          <v:rect style="position:absolute;margin-left:0pt;margin-top:0pt;width:612pt;height:19.68pt;mso-position-horizontal-relative:page;mso-position-vertical-relative:page;z-index:-17886208" id="docshape31" filled="true" fillcolor="#1d384a" stroked="false">
            <v:fill type="solid"/>
            <w10:wrap type="none"/>
          </v:rect>
        </w:pict>
      </w:r>
    </w:p>
    <w:p>
      <w:pPr>
        <w:pStyle w:val="BodyText"/>
        <w:rPr>
          <w:rFonts w:ascii="Arial"/>
          <w:sz w:val="20"/>
        </w:rPr>
      </w:pPr>
    </w:p>
    <w:p>
      <w:pPr>
        <w:pStyle w:val="BodyText"/>
        <w:rPr>
          <w:rFonts w:ascii="Arial"/>
          <w:sz w:val="20"/>
        </w:rPr>
      </w:pPr>
    </w:p>
    <w:p>
      <w:pPr>
        <w:pStyle w:val="BodyText"/>
        <w:spacing w:before="10"/>
        <w:rPr>
          <w:rFonts w:ascii="Arial"/>
        </w:rPr>
      </w:pPr>
    </w:p>
    <w:p>
      <w:pPr>
        <w:pStyle w:val="BodyText"/>
        <w:spacing w:line="266" w:lineRule="auto" w:before="91"/>
        <w:ind w:left="120" w:right="976"/>
        <w:jc w:val="both"/>
      </w:pPr>
      <w:r>
        <w:rPr>
          <w:color w:val="231F20"/>
        </w:rPr>
        <w:t>The</w:t>
      </w:r>
      <w:r>
        <w:rPr>
          <w:color w:val="231F20"/>
          <w:spacing w:val="-1"/>
        </w:rPr>
        <w:t> </w:t>
      </w:r>
      <w:r>
        <w:rPr>
          <w:color w:val="231F20"/>
        </w:rPr>
        <w:t>framework</w:t>
      </w:r>
      <w:r>
        <w:rPr>
          <w:color w:val="231F20"/>
          <w:spacing w:val="-1"/>
        </w:rPr>
        <w:t> </w:t>
      </w:r>
      <w:r>
        <w:rPr>
          <w:color w:val="231F20"/>
        </w:rPr>
        <w:t>below</w:t>
      </w:r>
      <w:r>
        <w:rPr>
          <w:color w:val="231F20"/>
          <w:spacing w:val="-1"/>
        </w:rPr>
        <w:t> </w:t>
      </w:r>
      <w:r>
        <w:rPr>
          <w:color w:val="231F20"/>
        </w:rPr>
        <w:t>provides</w:t>
      </w:r>
      <w:r>
        <w:rPr>
          <w:color w:val="231F20"/>
          <w:spacing w:val="-1"/>
        </w:rPr>
        <w:t> </w:t>
      </w:r>
      <w:r>
        <w:rPr>
          <w:color w:val="231F20"/>
        </w:rPr>
        <w:t>an</w:t>
      </w:r>
      <w:r>
        <w:rPr>
          <w:color w:val="231F20"/>
          <w:spacing w:val="-1"/>
        </w:rPr>
        <w:t> </w:t>
      </w:r>
      <w:r>
        <w:rPr>
          <w:color w:val="231F20"/>
        </w:rPr>
        <w:t>overview of</w:t>
      </w:r>
      <w:r>
        <w:rPr>
          <w:color w:val="231F20"/>
          <w:spacing w:val="-1"/>
        </w:rPr>
        <w:t> </w:t>
      </w:r>
      <w:r>
        <w:rPr>
          <w:color w:val="231F20"/>
        </w:rPr>
        <w:t>this</w:t>
      </w:r>
      <w:r>
        <w:rPr>
          <w:color w:val="231F20"/>
          <w:spacing w:val="-1"/>
        </w:rPr>
        <w:t> </w:t>
      </w:r>
      <w:r>
        <w:rPr>
          <w:color w:val="231F20"/>
        </w:rPr>
        <w:t>guide.</w:t>
      </w:r>
      <w:r>
        <w:rPr>
          <w:color w:val="231F20"/>
          <w:spacing w:val="-6"/>
        </w:rPr>
        <w:t> </w:t>
      </w:r>
      <w:r>
        <w:rPr>
          <w:color w:val="231F20"/>
        </w:rPr>
        <w:t>The</w:t>
      </w:r>
      <w:r>
        <w:rPr>
          <w:color w:val="231F20"/>
          <w:spacing w:val="-1"/>
        </w:rPr>
        <w:t> </w:t>
      </w:r>
      <w:r>
        <w:rPr>
          <w:color w:val="231F20"/>
        </w:rPr>
        <w:t>guide addresses</w:t>
      </w:r>
      <w:r>
        <w:rPr>
          <w:color w:val="231F20"/>
          <w:spacing w:val="-1"/>
        </w:rPr>
        <w:t> </w:t>
      </w:r>
      <w:r>
        <w:rPr>
          <w:color w:val="231F20"/>
        </w:rPr>
        <w:t>the</w:t>
      </w:r>
      <w:r>
        <w:rPr>
          <w:color w:val="231F20"/>
          <w:spacing w:val="-1"/>
        </w:rPr>
        <w:t> </w:t>
      </w:r>
      <w:r>
        <w:rPr>
          <w:color w:val="231F20"/>
        </w:rPr>
        <w:t>use</w:t>
      </w:r>
      <w:r>
        <w:rPr>
          <w:color w:val="231F20"/>
          <w:spacing w:val="-1"/>
        </w:rPr>
        <w:t> </w:t>
      </w:r>
      <w:r>
        <w:rPr>
          <w:color w:val="231F20"/>
        </w:rPr>
        <w:t>of</w:t>
      </w:r>
      <w:r>
        <w:rPr>
          <w:color w:val="231F20"/>
          <w:spacing w:val="-1"/>
        </w:rPr>
        <w:t> </w:t>
      </w:r>
      <w:r>
        <w:rPr>
          <w:color w:val="231F20"/>
        </w:rPr>
        <w:t>telehealth to</w:t>
      </w:r>
      <w:r>
        <w:rPr>
          <w:color w:val="231F20"/>
          <w:spacing w:val="-1"/>
        </w:rPr>
        <w:t> </w:t>
      </w:r>
      <w:r>
        <w:rPr>
          <w:color w:val="231F20"/>
        </w:rPr>
        <w:t>provide</w:t>
      </w:r>
      <w:r>
        <w:rPr>
          <w:color w:val="231F20"/>
          <w:spacing w:val="-1"/>
        </w:rPr>
        <w:t> </w:t>
      </w:r>
      <w:r>
        <w:rPr>
          <w:color w:val="231F20"/>
        </w:rPr>
        <w:t>SMI</w:t>
      </w:r>
      <w:r>
        <w:rPr>
          <w:color w:val="231F20"/>
          <w:spacing w:val="-1"/>
        </w:rPr>
        <w:t> </w:t>
      </w:r>
      <w:r>
        <w:rPr>
          <w:color w:val="231F20"/>
        </w:rPr>
        <w:t>and</w:t>
      </w:r>
      <w:r>
        <w:rPr>
          <w:color w:val="231F20"/>
          <w:spacing w:val="-53"/>
        </w:rPr>
        <w:t> </w:t>
      </w:r>
      <w:r>
        <w:rPr>
          <w:color w:val="231F20"/>
        </w:rPr>
        <w:t>SUD treatment. The review of these treatments in Chapter 2 of the guide includes specific outcomes, practitioner types,</w:t>
      </w:r>
      <w:r>
        <w:rPr>
          <w:color w:val="231F20"/>
          <w:spacing w:val="-52"/>
        </w:rPr>
        <w:t> </w:t>
      </w:r>
      <w:r>
        <w:rPr>
          <w:color w:val="231F20"/>
        </w:rPr>
        <w:t>and</w:t>
      </w:r>
      <w:r>
        <w:rPr>
          <w:color w:val="231F20"/>
          <w:spacing w:val="-1"/>
        </w:rPr>
        <w:t> </w:t>
      </w:r>
      <w:r>
        <w:rPr>
          <w:color w:val="231F20"/>
        </w:rPr>
        <w:t>modes of delivery.</w:t>
      </w:r>
    </w:p>
    <w:p>
      <w:pPr>
        <w:pStyle w:val="BodyText"/>
        <w:spacing w:before="1"/>
      </w:pPr>
      <w:r>
        <w:rPr/>
        <w:drawing>
          <wp:anchor distT="0" distB="0" distL="0" distR="0" allowOverlap="1" layoutInCell="1" locked="0" behindDoc="0" simplePos="0" relativeHeight="10">
            <wp:simplePos x="0" y="0"/>
            <wp:positionH relativeFrom="page">
              <wp:posOffset>800100</wp:posOffset>
            </wp:positionH>
            <wp:positionV relativeFrom="paragraph">
              <wp:posOffset>176516</wp:posOffset>
            </wp:positionV>
            <wp:extent cx="6283012" cy="7565135"/>
            <wp:effectExtent l="0" t="0" r="0" b="0"/>
            <wp:wrapTopAndBottom/>
            <wp:docPr id="3" name="image3.jpeg" descr="The framework graphic displays the Guides organization. The first section is titled &quot;Scope,&quot; and includes the problems and interventions discussed in the Guide, namely using telehealth modalities to provide treatment services for individuals with SMI and SUD.     It identifies the population of focus as adults experiencing SMI or SUD. It notes that the guide covers the screening and assessment, treatment, case management, SUD recovery support, and crisis services stages of the care continuum.     The second section is titled &quot;Interventions&quot; and lists the different interventions discussed in the Guide including Behavioral Activation Therapy, Cognitive Behavioral Therapy, Cognitive Processing Therapy, Prolonged Exposure Therapy, and Medication-Assisted Treatment.    The third section is titled &quot;Evidence Review,&quot; and shows that the guide will discuss the outcomes achieved through use of the interventions, the types of practitioners who deliver these interventions, and the modes through which the interventions are delivered. "/>
            <wp:cNvGraphicFramePr>
              <a:graphicFrameLocks noChangeAspect="1"/>
            </wp:cNvGraphicFramePr>
            <a:graphic>
              <a:graphicData uri="http://schemas.openxmlformats.org/drawingml/2006/picture">
                <pic:pic>
                  <pic:nvPicPr>
                    <pic:cNvPr id="4" name="image3.jpeg"/>
                    <pic:cNvPicPr/>
                  </pic:nvPicPr>
                  <pic:blipFill>
                    <a:blip r:embed="rId12" cstate="print"/>
                    <a:stretch>
                      <a:fillRect/>
                    </a:stretch>
                  </pic:blipFill>
                  <pic:spPr>
                    <a:xfrm>
                      <a:off x="0" y="0"/>
                      <a:ext cx="6283012" cy="7565135"/>
                    </a:xfrm>
                    <a:prstGeom prst="rect">
                      <a:avLst/>
                    </a:prstGeom>
                  </pic:spPr>
                </pic:pic>
              </a:graphicData>
            </a:graphic>
          </wp:anchor>
        </w:drawing>
      </w:r>
    </w:p>
    <w:p>
      <w:pPr>
        <w:spacing w:after="0"/>
        <w:sectPr>
          <w:footerReference w:type="default" r:id="rId11"/>
          <w:pgSz w:w="12240" w:h="15840"/>
          <w:pgMar w:footer="666" w:header="0" w:top="0" w:bottom="860" w:left="600" w:right="0"/>
          <w:pgNumType w:start="4"/>
        </w:sectPr>
      </w:pPr>
    </w:p>
    <w:p>
      <w:pPr>
        <w:pStyle w:val="BodyText"/>
        <w:ind w:left="-600"/>
        <w:rPr>
          <w:sz w:val="20"/>
        </w:rPr>
      </w:pPr>
      <w:bookmarkStart w:name="_bookmark1" w:id="12"/>
      <w:bookmarkEnd w:id="12"/>
      <w:r>
        <w:rPr/>
      </w:r>
      <w:r>
        <w:rPr>
          <w:sz w:val="20"/>
        </w:rPr>
        <w:pict>
          <v:group style="width:119.55pt;height:111.25pt;mso-position-horizontal-relative:char;mso-position-vertical-relative:line" id="docshapegroup35" coordorigin="0,0" coordsize="2391,2225">
            <v:rect style="position:absolute;left:0;top:0;width:720;height:394" id="docshape36" filled="true" fillcolor="#1d384a" stroked="false">
              <v:fill type="solid"/>
            </v:rect>
            <v:shape style="position:absolute;left:720;top:0;width:1671;height:2225" type="#_x0000_t202" id="docshape37" filled="true" fillcolor="#cf382d" stroked="false">
              <v:textbox inset="0,0,0,0">
                <w:txbxContent>
                  <w:p>
                    <w:pPr>
                      <w:spacing w:line="1560" w:lineRule="exact" w:before="664"/>
                      <w:ind w:left="354" w:right="0" w:firstLine="0"/>
                      <w:jc w:val="left"/>
                      <w:rPr>
                        <w:rFonts w:ascii="Arial"/>
                        <w:color w:val="000000"/>
                        <w:sz w:val="16"/>
                      </w:rPr>
                    </w:pPr>
                    <w:bookmarkStart w:name="1 Issue Brief" w:id="13"/>
                    <w:bookmarkEnd w:id="13"/>
                    <w:r>
                      <w:rPr>
                        <w:color w:val="000000"/>
                      </w:rPr>
                    </w:r>
                    <w:r>
                      <w:rPr>
                        <w:rFonts w:ascii="Arial Black"/>
                        <w:color w:val="FFFFFF"/>
                        <w:spacing w:val="-911"/>
                        <w:position w:val="-121"/>
                        <w:sz w:val="144"/>
                      </w:rPr>
                      <w:t>1</w:t>
                    </w:r>
                    <w:r>
                      <w:rPr>
                        <w:rFonts w:ascii="Arial"/>
                        <w:color w:val="FFFFFF"/>
                        <w:spacing w:val="16"/>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p>
    <w:p>
      <w:pPr>
        <w:pStyle w:val="Heading1"/>
      </w:pPr>
      <w:r>
        <w:rPr>
          <w:color w:val="1C384B"/>
        </w:rPr>
        <w:t>Issue</w:t>
      </w:r>
      <w:r>
        <w:rPr>
          <w:color w:val="1C384B"/>
          <w:spacing w:val="-27"/>
        </w:rPr>
        <w:t> </w:t>
      </w:r>
      <w:r>
        <w:rPr>
          <w:color w:val="1C384B"/>
        </w:rPr>
        <w:t>Brief</w:t>
      </w:r>
    </w:p>
    <w:p>
      <w:pPr>
        <w:pStyle w:val="BodyText"/>
        <w:spacing w:before="2"/>
        <w:rPr>
          <w:rFonts w:ascii="Arial Black"/>
          <w:sz w:val="23"/>
        </w:rPr>
      </w:pPr>
      <w:r>
        <w:rPr/>
        <w:pict>
          <v:shape style="position:absolute;margin-left:35.5pt;margin-top:17.531982pt;width:252.5pt;height:.1pt;mso-position-horizontal-relative:page;mso-position-vertical-relative:paragraph;z-index:-15721984;mso-wrap-distance-left:0;mso-wrap-distance-right:0" id="docshape38" coordorigin="710,351" coordsize="5050,0" path="m710,351l5760,351e" filled="false" stroked="true" strokeweight="1pt" strokecolor="#ce372e">
            <v:path arrowok="t"/>
            <v:stroke dashstyle="solid"/>
            <w10:wrap type="topAndBottom"/>
          </v:shape>
        </w:pict>
      </w:r>
    </w:p>
    <w:p>
      <w:pPr>
        <w:pStyle w:val="BodyText"/>
        <w:spacing w:before="10"/>
        <w:rPr>
          <w:rFonts w:ascii="Arial Black"/>
          <w:sz w:val="24"/>
        </w:rPr>
      </w:pPr>
    </w:p>
    <w:p>
      <w:pPr>
        <w:spacing w:after="0"/>
        <w:rPr>
          <w:rFonts w:ascii="Arial Black"/>
          <w:sz w:val="24"/>
        </w:rPr>
        <w:sectPr>
          <w:footerReference w:type="default" r:id="rId13"/>
          <w:pgSz w:w="12240" w:h="15840"/>
          <w:pgMar w:footer="666" w:header="0" w:top="0" w:bottom="860" w:left="600" w:right="0"/>
          <w:pgNumType w:start="1"/>
        </w:sectPr>
      </w:pPr>
    </w:p>
    <w:p>
      <w:pPr>
        <w:spacing w:line="259" w:lineRule="auto" w:before="93"/>
        <w:ind w:left="300" w:right="75" w:firstLine="0"/>
        <w:jc w:val="left"/>
        <w:rPr>
          <w:rFonts w:ascii="Arial"/>
          <w:sz w:val="21"/>
        </w:rPr>
      </w:pPr>
      <w:r>
        <w:rPr/>
        <w:pict>
          <v:group style="position:absolute;margin-left:36pt;margin-top:0pt;width:576pt;height:677.55pt;mso-position-horizontal-relative:page;mso-position-vertical-relative:page;z-index:-17884672" id="docshapegroup39" coordorigin="720,0" coordsize="11520,13551">
            <v:rect style="position:absolute;left:2390;top:0;width:4090;height:394" id="docshape40" filled="true" fillcolor="#1d384a" stroked="false">
              <v:fill type="solid"/>
            </v:rect>
            <v:rect style="position:absolute;left:6480;top:393;width:5760;height:10220" id="docshape41" filled="true" fillcolor="#f7e0e0" stroked="false">
              <v:fill type="solid"/>
            </v:rect>
            <v:rect style="position:absolute;left:6480;top:0;width:5760;height:394" id="docshape42" filled="true" fillcolor="#ce372e" stroked="false">
              <v:fill type="solid"/>
            </v:rect>
            <v:shape style="position:absolute;left:720;top:5976;width:5040;height:7575" id="docshape43" coordorigin="720,5976" coordsize="5040,7575" path="m5670,5976l810,5976,775,5983,746,6002,727,6031,720,6066,720,13460,727,13495,746,13524,775,13543,810,13550,5670,13550,5705,13543,5734,13524,5753,13495,5760,13460,5760,6066,5753,6031,5734,6002,5705,5983,5670,5976xe" filled="true" fillcolor="#f7e0e0" stroked="false">
              <v:path arrowok="t"/>
              <v:fill type="solid"/>
            </v:shape>
            <v:shape style="position:absolute;left:6480;top:310;width:5760;height:10303" type="#_x0000_t75" id="docshape44" alt="Picture of a physician waving at an electronic device.  " stroked="false">
              <v:imagedata r:id="rId14" o:title=""/>
            </v:shape>
            <w10:wrap type="none"/>
          </v:group>
        </w:pict>
      </w:r>
      <w:r>
        <w:rPr>
          <w:rFonts w:ascii="Arial"/>
          <w:b/>
          <w:color w:val="CE372E"/>
          <w:sz w:val="21"/>
        </w:rPr>
        <w:t>Telehealth </w:t>
      </w:r>
      <w:r>
        <w:rPr>
          <w:rFonts w:ascii="Arial"/>
          <w:color w:val="010202"/>
          <w:sz w:val="21"/>
        </w:rPr>
        <w:t>is the use of telecommunication</w:t>
      </w:r>
      <w:r>
        <w:rPr>
          <w:rFonts w:ascii="Arial"/>
          <w:color w:val="010202"/>
          <w:spacing w:val="1"/>
          <w:sz w:val="21"/>
        </w:rPr>
        <w:t> </w:t>
      </w:r>
      <w:r>
        <w:rPr>
          <w:rFonts w:ascii="Arial"/>
          <w:color w:val="010202"/>
          <w:sz w:val="21"/>
        </w:rPr>
        <w:t>technologies and electronic information to provide</w:t>
      </w:r>
      <w:r>
        <w:rPr>
          <w:rFonts w:ascii="Arial"/>
          <w:color w:val="010202"/>
          <w:spacing w:val="-57"/>
          <w:sz w:val="21"/>
        </w:rPr>
        <w:t> </w:t>
      </w:r>
      <w:r>
        <w:rPr>
          <w:rFonts w:ascii="Arial"/>
          <w:color w:val="010202"/>
          <w:sz w:val="21"/>
        </w:rPr>
        <w:t>care and facilitate client-provider interactions. It is</w:t>
      </w:r>
      <w:r>
        <w:rPr>
          <w:rFonts w:ascii="Arial"/>
          <w:color w:val="010202"/>
          <w:spacing w:val="-56"/>
          <w:sz w:val="21"/>
        </w:rPr>
        <w:t> </w:t>
      </w:r>
      <w:r>
        <w:rPr>
          <w:rFonts w:ascii="Arial"/>
          <w:color w:val="010202"/>
          <w:sz w:val="21"/>
        </w:rPr>
        <w:t>comprised of</w:t>
      </w:r>
      <w:r>
        <w:rPr>
          <w:rFonts w:ascii="Arial"/>
          <w:color w:val="010202"/>
          <w:spacing w:val="-1"/>
          <w:sz w:val="21"/>
        </w:rPr>
        <w:t> </w:t>
      </w:r>
      <w:r>
        <w:rPr>
          <w:rFonts w:ascii="Arial"/>
          <w:color w:val="010202"/>
          <w:sz w:val="21"/>
        </w:rPr>
        <w:t>two forms:</w:t>
      </w:r>
    </w:p>
    <w:p>
      <w:pPr>
        <w:pStyle w:val="ListParagraph"/>
        <w:numPr>
          <w:ilvl w:val="0"/>
          <w:numId w:val="1"/>
        </w:numPr>
        <w:tabs>
          <w:tab w:pos="1021" w:val="left" w:leader="none"/>
        </w:tabs>
        <w:spacing w:line="259" w:lineRule="auto" w:before="177" w:after="0"/>
        <w:ind w:left="1020" w:right="182" w:hanging="360"/>
        <w:jc w:val="left"/>
        <w:rPr>
          <w:rFonts w:ascii="Arial"/>
          <w:sz w:val="21"/>
        </w:rPr>
      </w:pPr>
      <w:r>
        <w:rPr>
          <w:rFonts w:ascii="Arial"/>
          <w:color w:val="010202"/>
          <w:sz w:val="21"/>
        </w:rPr>
        <w:t>Two-way,</w:t>
      </w:r>
      <w:r>
        <w:rPr>
          <w:rFonts w:ascii="Arial"/>
          <w:color w:val="010202"/>
          <w:spacing w:val="-14"/>
          <w:sz w:val="21"/>
        </w:rPr>
        <w:t> </w:t>
      </w:r>
      <w:r>
        <w:rPr>
          <w:rFonts w:ascii="Arial"/>
          <w:color w:val="010202"/>
          <w:sz w:val="21"/>
        </w:rPr>
        <w:t>synchronous,</w:t>
      </w:r>
      <w:r>
        <w:rPr>
          <w:rFonts w:ascii="Arial"/>
          <w:color w:val="010202"/>
          <w:spacing w:val="-13"/>
          <w:sz w:val="21"/>
        </w:rPr>
        <w:t> </w:t>
      </w:r>
      <w:r>
        <w:rPr>
          <w:rFonts w:ascii="Arial"/>
          <w:color w:val="010202"/>
          <w:sz w:val="21"/>
        </w:rPr>
        <w:t>interactive</w:t>
      </w:r>
      <w:r>
        <w:rPr>
          <w:rFonts w:ascii="Arial"/>
          <w:color w:val="010202"/>
          <w:spacing w:val="-13"/>
          <w:sz w:val="21"/>
        </w:rPr>
        <w:t> </w:t>
      </w:r>
      <w:r>
        <w:rPr>
          <w:rFonts w:ascii="Arial"/>
          <w:color w:val="010202"/>
          <w:sz w:val="21"/>
        </w:rPr>
        <w:t>client-</w:t>
      </w:r>
      <w:r>
        <w:rPr>
          <w:rFonts w:ascii="Arial"/>
          <w:color w:val="010202"/>
          <w:spacing w:val="-55"/>
          <w:sz w:val="21"/>
        </w:rPr>
        <w:t> </w:t>
      </w:r>
      <w:r>
        <w:rPr>
          <w:rFonts w:ascii="Arial"/>
          <w:color w:val="010202"/>
          <w:sz w:val="21"/>
        </w:rPr>
        <w:t>provider communication through audio</w:t>
      </w:r>
      <w:r>
        <w:rPr>
          <w:rFonts w:ascii="Arial"/>
          <w:color w:val="010202"/>
          <w:spacing w:val="1"/>
          <w:sz w:val="21"/>
        </w:rPr>
        <w:t> </w:t>
      </w:r>
      <w:r>
        <w:rPr>
          <w:rFonts w:ascii="Arial"/>
          <w:color w:val="010202"/>
          <w:sz w:val="21"/>
        </w:rPr>
        <w:t>and video equipment (also referred to as</w:t>
      </w:r>
      <w:r>
        <w:rPr>
          <w:rFonts w:ascii="Arial"/>
          <w:color w:val="010202"/>
          <w:spacing w:val="-56"/>
          <w:sz w:val="21"/>
        </w:rPr>
        <w:t> </w:t>
      </w:r>
      <w:r>
        <w:rPr>
          <w:rFonts w:ascii="Arial"/>
          <w:color w:val="010202"/>
          <w:sz w:val="21"/>
        </w:rPr>
        <w:t>telemedicine)</w:t>
      </w:r>
    </w:p>
    <w:p>
      <w:pPr>
        <w:pStyle w:val="ListParagraph"/>
        <w:numPr>
          <w:ilvl w:val="0"/>
          <w:numId w:val="1"/>
        </w:numPr>
        <w:tabs>
          <w:tab w:pos="1021" w:val="left" w:leader="none"/>
        </w:tabs>
        <w:spacing w:line="259" w:lineRule="auto" w:before="44" w:after="0"/>
        <w:ind w:left="1020" w:right="131" w:hanging="360"/>
        <w:jc w:val="both"/>
        <w:rPr>
          <w:rFonts w:ascii="Arial"/>
          <w:sz w:val="12"/>
        </w:rPr>
      </w:pPr>
      <w:r>
        <w:rPr>
          <w:rFonts w:ascii="Arial"/>
          <w:color w:val="010202"/>
          <w:sz w:val="21"/>
        </w:rPr>
        <w:t>Asynchronous client-provider interactions</w:t>
      </w:r>
      <w:r>
        <w:rPr>
          <w:rFonts w:ascii="Arial"/>
          <w:color w:val="010202"/>
          <w:spacing w:val="-56"/>
          <w:sz w:val="21"/>
        </w:rPr>
        <w:t> </w:t>
      </w:r>
      <w:r>
        <w:rPr>
          <w:rFonts w:ascii="Arial"/>
          <w:color w:val="010202"/>
          <w:sz w:val="21"/>
        </w:rPr>
        <w:t>using various forms of technology (further</w:t>
      </w:r>
      <w:r>
        <w:rPr>
          <w:rFonts w:ascii="Arial"/>
          <w:color w:val="010202"/>
          <w:spacing w:val="-56"/>
          <w:sz w:val="21"/>
        </w:rPr>
        <w:t> </w:t>
      </w:r>
      <w:r>
        <w:rPr>
          <w:rFonts w:ascii="Arial"/>
          <w:color w:val="010202"/>
          <w:sz w:val="21"/>
        </w:rPr>
        <w:t>described in the chart below)</w:t>
      </w:r>
      <w:r>
        <w:rPr>
          <w:rFonts w:ascii="Arial"/>
          <w:color w:val="010202"/>
          <w:position w:val="7"/>
          <w:sz w:val="12"/>
        </w:rPr>
        <w:t>1, 2</w:t>
      </w:r>
    </w:p>
    <w:p>
      <w:pPr>
        <w:spacing w:line="259" w:lineRule="auto" w:before="177"/>
        <w:ind w:left="300" w:right="29" w:firstLine="0"/>
        <w:jc w:val="left"/>
        <w:rPr>
          <w:rFonts w:ascii="Arial"/>
          <w:sz w:val="12"/>
        </w:rPr>
      </w:pPr>
      <w:r>
        <w:rPr>
          <w:rFonts w:ascii="Arial"/>
          <w:b/>
          <w:color w:val="CE372E"/>
          <w:sz w:val="21"/>
        </w:rPr>
        <w:t>Serious mental illness (SMI) </w:t>
      </w:r>
      <w:r>
        <w:rPr>
          <w:rFonts w:ascii="Arial"/>
          <w:color w:val="010202"/>
          <w:sz w:val="21"/>
        </w:rPr>
        <w:t>is defined as a</w:t>
      </w:r>
      <w:r>
        <w:rPr>
          <w:rFonts w:ascii="Arial"/>
          <w:color w:val="010202"/>
          <w:spacing w:val="1"/>
          <w:sz w:val="21"/>
        </w:rPr>
        <w:t> </w:t>
      </w:r>
      <w:r>
        <w:rPr>
          <w:rFonts w:ascii="Arial"/>
          <w:color w:val="010202"/>
          <w:spacing w:val="-1"/>
          <w:sz w:val="21"/>
        </w:rPr>
        <w:t>mental, behavioral, or </w:t>
      </w:r>
      <w:r>
        <w:rPr>
          <w:rFonts w:ascii="Arial"/>
          <w:color w:val="010202"/>
          <w:sz w:val="21"/>
        </w:rPr>
        <w:t>emotional disorder among</w:t>
      </w:r>
      <w:r>
        <w:rPr>
          <w:rFonts w:ascii="Arial"/>
          <w:color w:val="010202"/>
          <w:spacing w:val="1"/>
          <w:sz w:val="21"/>
        </w:rPr>
        <w:t> </w:t>
      </w:r>
      <w:r>
        <w:rPr>
          <w:rFonts w:ascii="Arial"/>
          <w:color w:val="010202"/>
          <w:sz w:val="21"/>
        </w:rPr>
        <w:t>adults aged 18 and older resulting in serious</w:t>
      </w:r>
      <w:r>
        <w:rPr>
          <w:rFonts w:ascii="Arial"/>
          <w:color w:val="010202"/>
          <w:spacing w:val="1"/>
          <w:sz w:val="21"/>
        </w:rPr>
        <w:t> </w:t>
      </w:r>
      <w:r>
        <w:rPr>
          <w:rFonts w:ascii="Arial"/>
          <w:color w:val="010202"/>
          <w:spacing w:val="-3"/>
          <w:sz w:val="21"/>
        </w:rPr>
        <w:t>functional impairment, </w:t>
      </w:r>
      <w:r>
        <w:rPr>
          <w:rFonts w:ascii="Arial"/>
          <w:color w:val="010202"/>
          <w:spacing w:val="-2"/>
          <w:sz w:val="21"/>
        </w:rPr>
        <w:t>which substantially interferes</w:t>
      </w:r>
      <w:r>
        <w:rPr>
          <w:rFonts w:ascii="Arial"/>
          <w:color w:val="010202"/>
          <w:spacing w:val="-56"/>
          <w:sz w:val="21"/>
        </w:rPr>
        <w:t> </w:t>
      </w:r>
      <w:r>
        <w:rPr>
          <w:rFonts w:ascii="Arial"/>
          <w:color w:val="010202"/>
          <w:sz w:val="21"/>
        </w:rPr>
        <w:t>with</w:t>
      </w:r>
      <w:r>
        <w:rPr>
          <w:rFonts w:ascii="Arial"/>
          <w:color w:val="010202"/>
          <w:spacing w:val="-11"/>
          <w:sz w:val="21"/>
        </w:rPr>
        <w:t> </w:t>
      </w:r>
      <w:r>
        <w:rPr>
          <w:rFonts w:ascii="Arial"/>
          <w:color w:val="010202"/>
          <w:sz w:val="21"/>
        </w:rPr>
        <w:t>or</w:t>
      </w:r>
      <w:r>
        <w:rPr>
          <w:rFonts w:ascii="Arial"/>
          <w:color w:val="010202"/>
          <w:spacing w:val="-10"/>
          <w:sz w:val="21"/>
        </w:rPr>
        <w:t> </w:t>
      </w:r>
      <w:r>
        <w:rPr>
          <w:rFonts w:ascii="Arial"/>
          <w:color w:val="010202"/>
          <w:sz w:val="21"/>
        </w:rPr>
        <w:t>limits</w:t>
      </w:r>
      <w:r>
        <w:rPr>
          <w:rFonts w:ascii="Arial"/>
          <w:color w:val="010202"/>
          <w:spacing w:val="-10"/>
          <w:sz w:val="21"/>
        </w:rPr>
        <w:t> </w:t>
      </w:r>
      <w:r>
        <w:rPr>
          <w:rFonts w:ascii="Arial"/>
          <w:color w:val="010202"/>
          <w:sz w:val="21"/>
        </w:rPr>
        <w:t>one</w:t>
      </w:r>
      <w:r>
        <w:rPr>
          <w:rFonts w:ascii="Arial"/>
          <w:color w:val="010202"/>
          <w:spacing w:val="-10"/>
          <w:sz w:val="21"/>
        </w:rPr>
        <w:t> </w:t>
      </w:r>
      <w:r>
        <w:rPr>
          <w:rFonts w:ascii="Arial"/>
          <w:color w:val="010202"/>
          <w:sz w:val="21"/>
        </w:rPr>
        <w:t>or</w:t>
      </w:r>
      <w:r>
        <w:rPr>
          <w:rFonts w:ascii="Arial"/>
          <w:color w:val="010202"/>
          <w:spacing w:val="-10"/>
          <w:sz w:val="21"/>
        </w:rPr>
        <w:t> </w:t>
      </w:r>
      <w:r>
        <w:rPr>
          <w:rFonts w:ascii="Arial"/>
          <w:color w:val="010202"/>
          <w:sz w:val="21"/>
        </w:rPr>
        <w:t>more</w:t>
      </w:r>
      <w:r>
        <w:rPr>
          <w:rFonts w:ascii="Arial"/>
          <w:color w:val="010202"/>
          <w:spacing w:val="-11"/>
          <w:sz w:val="21"/>
        </w:rPr>
        <w:t> </w:t>
      </w:r>
      <w:r>
        <w:rPr>
          <w:rFonts w:ascii="Arial"/>
          <w:color w:val="010202"/>
          <w:sz w:val="21"/>
        </w:rPr>
        <w:t>major</w:t>
      </w:r>
      <w:r>
        <w:rPr>
          <w:rFonts w:ascii="Arial"/>
          <w:color w:val="010202"/>
          <w:spacing w:val="-10"/>
          <w:sz w:val="21"/>
        </w:rPr>
        <w:t> </w:t>
      </w:r>
      <w:r>
        <w:rPr>
          <w:rFonts w:ascii="Arial"/>
          <w:color w:val="010202"/>
          <w:sz w:val="21"/>
        </w:rPr>
        <w:t>life</w:t>
      </w:r>
      <w:r>
        <w:rPr>
          <w:rFonts w:ascii="Arial"/>
          <w:color w:val="010202"/>
          <w:spacing w:val="-10"/>
          <w:sz w:val="21"/>
        </w:rPr>
        <w:t> </w:t>
      </w:r>
      <w:r>
        <w:rPr>
          <w:rFonts w:ascii="Arial"/>
          <w:color w:val="010202"/>
          <w:sz w:val="21"/>
        </w:rPr>
        <w:t>activities.</w:t>
      </w:r>
      <w:r>
        <w:rPr>
          <w:rFonts w:ascii="Arial"/>
          <w:color w:val="010202"/>
          <w:position w:val="7"/>
          <w:sz w:val="12"/>
        </w:rPr>
        <w:t>3</w:t>
      </w:r>
    </w:p>
    <w:p>
      <w:pPr>
        <w:spacing w:line="259" w:lineRule="auto" w:before="176"/>
        <w:ind w:left="300" w:right="40" w:firstLine="0"/>
        <w:jc w:val="left"/>
        <w:rPr>
          <w:rFonts w:ascii="Arial"/>
          <w:sz w:val="12"/>
        </w:rPr>
      </w:pPr>
      <w:r>
        <w:rPr>
          <w:rFonts w:ascii="Arial"/>
          <w:b/>
          <w:color w:val="CE372E"/>
          <w:spacing w:val="-1"/>
          <w:sz w:val="21"/>
        </w:rPr>
        <w:t>Substance</w:t>
      </w:r>
      <w:r>
        <w:rPr>
          <w:rFonts w:ascii="Arial"/>
          <w:b/>
          <w:color w:val="CE372E"/>
          <w:spacing w:val="-14"/>
          <w:sz w:val="21"/>
        </w:rPr>
        <w:t> </w:t>
      </w:r>
      <w:r>
        <w:rPr>
          <w:rFonts w:ascii="Arial"/>
          <w:b/>
          <w:color w:val="CE372E"/>
          <w:spacing w:val="-1"/>
          <w:sz w:val="21"/>
        </w:rPr>
        <w:t>use</w:t>
      </w:r>
      <w:r>
        <w:rPr>
          <w:rFonts w:ascii="Arial"/>
          <w:b/>
          <w:color w:val="CE372E"/>
          <w:spacing w:val="-13"/>
          <w:sz w:val="21"/>
        </w:rPr>
        <w:t> </w:t>
      </w:r>
      <w:r>
        <w:rPr>
          <w:rFonts w:ascii="Arial"/>
          <w:b/>
          <w:color w:val="CE372E"/>
          <w:spacing w:val="-1"/>
          <w:sz w:val="21"/>
        </w:rPr>
        <w:t>disorder</w:t>
      </w:r>
      <w:r>
        <w:rPr>
          <w:rFonts w:ascii="Arial"/>
          <w:b/>
          <w:color w:val="CE372E"/>
          <w:spacing w:val="-14"/>
          <w:sz w:val="21"/>
        </w:rPr>
        <w:t> </w:t>
      </w:r>
      <w:r>
        <w:rPr>
          <w:rFonts w:ascii="Arial"/>
          <w:b/>
          <w:color w:val="CE372E"/>
          <w:spacing w:val="-1"/>
          <w:sz w:val="21"/>
        </w:rPr>
        <w:t>(SUD)</w:t>
      </w:r>
      <w:r>
        <w:rPr>
          <w:rFonts w:ascii="Arial"/>
          <w:b/>
          <w:color w:val="CE372E"/>
          <w:spacing w:val="-13"/>
          <w:sz w:val="21"/>
        </w:rPr>
        <w:t> </w:t>
      </w:r>
      <w:r>
        <w:rPr>
          <w:rFonts w:ascii="Arial"/>
          <w:color w:val="010202"/>
          <w:spacing w:val="-1"/>
          <w:sz w:val="21"/>
        </w:rPr>
        <w:t>is</w:t>
      </w:r>
      <w:r>
        <w:rPr>
          <w:rFonts w:ascii="Arial"/>
          <w:color w:val="010202"/>
          <w:spacing w:val="-14"/>
          <w:sz w:val="21"/>
        </w:rPr>
        <w:t> </w:t>
      </w:r>
      <w:r>
        <w:rPr>
          <w:rFonts w:ascii="Arial"/>
          <w:color w:val="010202"/>
          <w:spacing w:val="-1"/>
          <w:sz w:val="21"/>
        </w:rPr>
        <w:t>a</w:t>
      </w:r>
      <w:r>
        <w:rPr>
          <w:rFonts w:ascii="Arial"/>
          <w:color w:val="010202"/>
          <w:spacing w:val="-13"/>
          <w:sz w:val="21"/>
        </w:rPr>
        <w:t> </w:t>
      </w:r>
      <w:r>
        <w:rPr>
          <w:rFonts w:ascii="Arial"/>
          <w:color w:val="010202"/>
          <w:spacing w:val="-1"/>
          <w:sz w:val="21"/>
        </w:rPr>
        <w:t>diagnosis</w:t>
      </w:r>
      <w:r>
        <w:rPr>
          <w:rFonts w:ascii="Arial"/>
          <w:color w:val="010202"/>
          <w:spacing w:val="-14"/>
          <w:sz w:val="21"/>
        </w:rPr>
        <w:t> </w:t>
      </w:r>
      <w:r>
        <w:rPr>
          <w:rFonts w:ascii="Arial"/>
          <w:color w:val="010202"/>
          <w:sz w:val="21"/>
        </w:rPr>
        <w:t>that</w:t>
      </w:r>
      <w:r>
        <w:rPr>
          <w:rFonts w:ascii="Arial"/>
          <w:color w:val="010202"/>
          <w:spacing w:val="-55"/>
          <w:sz w:val="21"/>
        </w:rPr>
        <w:t> </w:t>
      </w:r>
      <w:r>
        <w:rPr>
          <w:rFonts w:ascii="Arial"/>
          <w:color w:val="010202"/>
          <w:sz w:val="21"/>
        </w:rPr>
        <w:t>applies when the recurrent use of alcohol or drugs</w:t>
      </w:r>
      <w:r>
        <w:rPr>
          <w:rFonts w:ascii="Arial"/>
          <w:color w:val="010202"/>
          <w:spacing w:val="-56"/>
          <w:sz w:val="21"/>
        </w:rPr>
        <w:t> </w:t>
      </w:r>
      <w:r>
        <w:rPr>
          <w:rFonts w:ascii="Arial"/>
          <w:color w:val="010202"/>
          <w:spacing w:val="-2"/>
          <w:sz w:val="21"/>
        </w:rPr>
        <w:t>causes clinically </w:t>
      </w:r>
      <w:r>
        <w:rPr>
          <w:rFonts w:ascii="Arial"/>
          <w:color w:val="010202"/>
          <w:spacing w:val="-1"/>
          <w:sz w:val="21"/>
        </w:rPr>
        <w:t>significant impairment, including</w:t>
      </w:r>
      <w:r>
        <w:rPr>
          <w:rFonts w:ascii="Arial"/>
          <w:color w:val="010202"/>
          <w:sz w:val="21"/>
        </w:rPr>
        <w:t> health problems, disability, and failure to meet</w:t>
      </w:r>
      <w:r>
        <w:rPr>
          <w:rFonts w:ascii="Arial"/>
          <w:color w:val="010202"/>
          <w:spacing w:val="1"/>
          <w:sz w:val="21"/>
        </w:rPr>
        <w:t> </w:t>
      </w:r>
      <w:r>
        <w:rPr>
          <w:rFonts w:ascii="Arial"/>
          <w:color w:val="010202"/>
          <w:sz w:val="21"/>
        </w:rPr>
        <w:t>major</w:t>
      </w:r>
      <w:r>
        <w:rPr>
          <w:rFonts w:ascii="Arial"/>
          <w:color w:val="010202"/>
          <w:spacing w:val="-14"/>
          <w:sz w:val="21"/>
        </w:rPr>
        <w:t> </w:t>
      </w:r>
      <w:r>
        <w:rPr>
          <w:rFonts w:ascii="Arial"/>
          <w:color w:val="010202"/>
          <w:sz w:val="21"/>
        </w:rPr>
        <w:t>responsibilities</w:t>
      </w:r>
      <w:r>
        <w:rPr>
          <w:rFonts w:ascii="Arial"/>
          <w:color w:val="010202"/>
          <w:spacing w:val="-13"/>
          <w:sz w:val="21"/>
        </w:rPr>
        <w:t> </w:t>
      </w:r>
      <w:r>
        <w:rPr>
          <w:rFonts w:ascii="Arial"/>
          <w:color w:val="010202"/>
          <w:sz w:val="21"/>
        </w:rPr>
        <w:t>at</w:t>
      </w:r>
      <w:r>
        <w:rPr>
          <w:rFonts w:ascii="Arial"/>
          <w:color w:val="010202"/>
          <w:spacing w:val="-13"/>
          <w:sz w:val="21"/>
        </w:rPr>
        <w:t> </w:t>
      </w:r>
      <w:r>
        <w:rPr>
          <w:rFonts w:ascii="Arial"/>
          <w:color w:val="010202"/>
          <w:sz w:val="21"/>
        </w:rPr>
        <w:t>work,</w:t>
      </w:r>
      <w:r>
        <w:rPr>
          <w:rFonts w:ascii="Arial"/>
          <w:color w:val="010202"/>
          <w:spacing w:val="-13"/>
          <w:sz w:val="21"/>
        </w:rPr>
        <w:t> </w:t>
      </w:r>
      <w:r>
        <w:rPr>
          <w:rFonts w:ascii="Arial"/>
          <w:color w:val="010202"/>
          <w:sz w:val="21"/>
        </w:rPr>
        <w:t>school,</w:t>
      </w:r>
      <w:r>
        <w:rPr>
          <w:rFonts w:ascii="Arial"/>
          <w:color w:val="010202"/>
          <w:spacing w:val="-14"/>
          <w:sz w:val="21"/>
        </w:rPr>
        <w:t> </w:t>
      </w:r>
      <w:r>
        <w:rPr>
          <w:rFonts w:ascii="Arial"/>
          <w:color w:val="010202"/>
          <w:sz w:val="21"/>
        </w:rPr>
        <w:t>or</w:t>
      </w:r>
      <w:r>
        <w:rPr>
          <w:rFonts w:ascii="Arial"/>
          <w:color w:val="010202"/>
          <w:spacing w:val="-13"/>
          <w:sz w:val="21"/>
        </w:rPr>
        <w:t> </w:t>
      </w:r>
      <w:r>
        <w:rPr>
          <w:rFonts w:ascii="Arial"/>
          <w:color w:val="010202"/>
          <w:sz w:val="21"/>
        </w:rPr>
        <w:t>home.</w:t>
      </w:r>
      <w:r>
        <w:rPr>
          <w:rFonts w:ascii="Arial"/>
          <w:color w:val="010202"/>
          <w:position w:val="7"/>
          <w:sz w:val="12"/>
        </w:rPr>
        <w:t>4</w:t>
      </w:r>
    </w:p>
    <w:p>
      <w:pPr>
        <w:spacing w:line="259" w:lineRule="auto" w:before="176"/>
        <w:ind w:left="300" w:right="203" w:firstLine="0"/>
        <w:jc w:val="left"/>
        <w:rPr>
          <w:rFonts w:ascii="Arial"/>
          <w:sz w:val="12"/>
        </w:rPr>
      </w:pPr>
      <w:r>
        <w:rPr>
          <w:rFonts w:ascii="Arial"/>
          <w:b/>
          <w:color w:val="CE372E"/>
          <w:sz w:val="21"/>
        </w:rPr>
        <w:t>Co-occurring disorder (COD) </w:t>
      </w:r>
      <w:r>
        <w:rPr>
          <w:rFonts w:ascii="Arial"/>
          <w:color w:val="010202"/>
          <w:sz w:val="21"/>
        </w:rPr>
        <w:t>refers to the</w:t>
      </w:r>
      <w:r>
        <w:rPr>
          <w:rFonts w:ascii="Arial"/>
          <w:color w:val="010202"/>
          <w:spacing w:val="1"/>
          <w:sz w:val="21"/>
        </w:rPr>
        <w:t> </w:t>
      </w:r>
      <w:r>
        <w:rPr>
          <w:rFonts w:ascii="Arial"/>
          <w:color w:val="010202"/>
          <w:sz w:val="21"/>
        </w:rPr>
        <w:t>coexistence of both a substance use and mental</w:t>
      </w:r>
      <w:r>
        <w:rPr>
          <w:rFonts w:ascii="Arial"/>
          <w:color w:val="010202"/>
          <w:spacing w:val="-56"/>
          <w:sz w:val="21"/>
        </w:rPr>
        <w:t> </w:t>
      </w:r>
      <w:r>
        <w:rPr>
          <w:rFonts w:ascii="Arial"/>
          <w:color w:val="010202"/>
          <w:sz w:val="21"/>
        </w:rPr>
        <w:t>disorder.</w:t>
      </w:r>
      <w:r>
        <w:rPr>
          <w:rFonts w:ascii="Arial"/>
          <w:color w:val="010202"/>
          <w:position w:val="7"/>
          <w:sz w:val="12"/>
        </w:rPr>
        <w:t>4</w:t>
      </w:r>
    </w:p>
    <w:p>
      <w:pPr>
        <w:spacing w:line="240" w:lineRule="auto" w:before="0"/>
        <w:rPr>
          <w:rFonts w:ascii="Arial"/>
          <w:sz w:val="24"/>
        </w:rPr>
      </w:pPr>
      <w:r>
        <w:rPr/>
        <w:br w:type="column"/>
      </w:r>
      <w:r>
        <w:rPr>
          <w:rFonts w:ascii="Arial"/>
          <w:sz w:val="24"/>
        </w:rPr>
      </w: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rPr>
          <w:rFonts w:ascii="Arial"/>
          <w:sz w:val="24"/>
        </w:rPr>
      </w:pPr>
    </w:p>
    <w:p>
      <w:pPr>
        <w:pStyle w:val="BodyText"/>
        <w:spacing w:before="6"/>
        <w:rPr>
          <w:rFonts w:ascii="Arial"/>
          <w:sz w:val="33"/>
        </w:rPr>
      </w:pPr>
    </w:p>
    <w:p>
      <w:pPr>
        <w:pStyle w:val="BodyText"/>
        <w:spacing w:line="266" w:lineRule="auto"/>
        <w:ind w:left="300" w:right="699"/>
      </w:pPr>
      <w:r>
        <w:rPr>
          <w:color w:val="231F20"/>
        </w:rPr>
        <w:t>Telehealth is a mode of service delivery that has been</w:t>
      </w:r>
      <w:r>
        <w:rPr>
          <w:color w:val="231F20"/>
          <w:spacing w:val="1"/>
        </w:rPr>
        <w:t> </w:t>
      </w:r>
      <w:r>
        <w:rPr>
          <w:color w:val="231F20"/>
        </w:rPr>
        <w:t>used in clinical settings for over 60 years and empirically</w:t>
      </w:r>
      <w:r>
        <w:rPr>
          <w:color w:val="231F20"/>
          <w:spacing w:val="-53"/>
        </w:rPr>
        <w:t> </w:t>
      </w:r>
      <w:r>
        <w:rPr>
          <w:color w:val="231F20"/>
        </w:rPr>
        <w:t>studied for just over 20 years.</w:t>
      </w:r>
      <w:r>
        <w:rPr>
          <w:color w:val="231F20"/>
          <w:vertAlign w:val="superscript"/>
        </w:rPr>
        <w:t>5-7</w:t>
      </w:r>
      <w:r>
        <w:rPr>
          <w:color w:val="231F20"/>
          <w:vertAlign w:val="baseline"/>
        </w:rPr>
        <w:t> Telehealth is not an</w:t>
      </w:r>
      <w:r>
        <w:rPr>
          <w:color w:val="231F20"/>
          <w:spacing w:val="1"/>
          <w:vertAlign w:val="baseline"/>
        </w:rPr>
        <w:t> </w:t>
      </w:r>
      <w:r>
        <w:rPr>
          <w:color w:val="231F20"/>
          <w:vertAlign w:val="baseline"/>
        </w:rPr>
        <w:t>intervention itself, but rather a mode of delivering</w:t>
      </w:r>
      <w:r>
        <w:rPr>
          <w:color w:val="231F20"/>
          <w:spacing w:val="1"/>
          <w:vertAlign w:val="baseline"/>
        </w:rPr>
        <w:t> </w:t>
      </w:r>
      <w:r>
        <w:rPr>
          <w:color w:val="231F20"/>
          <w:vertAlign w:val="baseline"/>
        </w:rPr>
        <w:t>services. This mode of service delivery increases access</w:t>
      </w:r>
      <w:r>
        <w:rPr>
          <w:color w:val="231F20"/>
          <w:spacing w:val="1"/>
          <w:vertAlign w:val="baseline"/>
        </w:rPr>
        <w:t> </w:t>
      </w:r>
      <w:r>
        <w:rPr>
          <w:color w:val="231F20"/>
          <w:vertAlign w:val="baseline"/>
        </w:rPr>
        <w:t>to screening, assessment, treatment, recovery supports,</w:t>
      </w:r>
      <w:r>
        <w:rPr>
          <w:color w:val="231F20"/>
          <w:spacing w:val="1"/>
          <w:vertAlign w:val="baseline"/>
        </w:rPr>
        <w:t> </w:t>
      </w:r>
      <w:r>
        <w:rPr>
          <w:color w:val="231F20"/>
          <w:w w:val="95"/>
          <w:vertAlign w:val="baseline"/>
        </w:rPr>
        <w:t>crisis</w:t>
      </w:r>
      <w:r>
        <w:rPr>
          <w:color w:val="231F20"/>
          <w:spacing w:val="1"/>
          <w:w w:val="95"/>
          <w:vertAlign w:val="baseline"/>
        </w:rPr>
        <w:t> </w:t>
      </w:r>
      <w:r>
        <w:rPr>
          <w:color w:val="231F20"/>
          <w:w w:val="95"/>
          <w:vertAlign w:val="baseline"/>
        </w:rPr>
        <w:t>support,</w:t>
      </w:r>
      <w:r>
        <w:rPr>
          <w:color w:val="231F20"/>
          <w:spacing w:val="1"/>
          <w:w w:val="95"/>
          <w:vertAlign w:val="baseline"/>
        </w:rPr>
        <w:t> </w:t>
      </w:r>
      <w:r>
        <w:rPr>
          <w:color w:val="231F20"/>
          <w:w w:val="95"/>
          <w:vertAlign w:val="baseline"/>
        </w:rPr>
        <w:t>and</w:t>
      </w:r>
      <w:r>
        <w:rPr>
          <w:color w:val="231F20"/>
          <w:spacing w:val="1"/>
          <w:w w:val="95"/>
          <w:vertAlign w:val="baseline"/>
        </w:rPr>
        <w:t> </w:t>
      </w:r>
      <w:r>
        <w:rPr>
          <w:color w:val="231F20"/>
          <w:w w:val="95"/>
          <w:vertAlign w:val="baseline"/>
        </w:rPr>
        <w:t>medication</w:t>
      </w:r>
      <w:r>
        <w:rPr>
          <w:color w:val="231F20"/>
          <w:spacing w:val="1"/>
          <w:w w:val="95"/>
          <w:vertAlign w:val="baseline"/>
        </w:rPr>
        <w:t> </w:t>
      </w:r>
      <w:r>
        <w:rPr>
          <w:color w:val="231F20"/>
          <w:w w:val="95"/>
          <w:vertAlign w:val="baseline"/>
        </w:rPr>
        <w:t>management</w:t>
      </w:r>
      <w:r>
        <w:rPr>
          <w:color w:val="231F20"/>
          <w:w w:val="95"/>
          <w:vertAlign w:val="superscript"/>
        </w:rPr>
        <w:t>8,</w:t>
      </w:r>
      <w:r>
        <w:rPr>
          <w:color w:val="231F20"/>
          <w:w w:val="95"/>
          <w:vertAlign w:val="baseline"/>
        </w:rPr>
        <w:t> </w:t>
      </w:r>
      <w:r>
        <w:rPr>
          <w:color w:val="231F20"/>
          <w:w w:val="95"/>
          <w:vertAlign w:val="superscript"/>
        </w:rPr>
        <w:t>9</w:t>
      </w:r>
      <w:r>
        <w:rPr>
          <w:color w:val="231F20"/>
          <w:spacing w:val="1"/>
          <w:w w:val="95"/>
          <w:vertAlign w:val="baseline"/>
        </w:rPr>
        <w:t> </w:t>
      </w:r>
      <w:r>
        <w:rPr>
          <w:color w:val="231F20"/>
          <w:w w:val="95"/>
          <w:vertAlign w:val="baseline"/>
        </w:rPr>
        <w:t>across</w:t>
      </w:r>
      <w:r>
        <w:rPr>
          <w:color w:val="231F20"/>
          <w:spacing w:val="1"/>
          <w:w w:val="95"/>
          <w:vertAlign w:val="baseline"/>
        </w:rPr>
        <w:t> </w:t>
      </w:r>
      <w:r>
        <w:rPr>
          <w:color w:val="231F20"/>
          <w:vertAlign w:val="baseline"/>
        </w:rPr>
        <w:t>diverse behavioral</w:t>
      </w:r>
      <w:r>
        <w:rPr>
          <w:color w:val="231F20"/>
          <w:spacing w:val="-1"/>
          <w:vertAlign w:val="baseline"/>
        </w:rPr>
        <w:t> </w:t>
      </w:r>
      <w:r>
        <w:rPr>
          <w:color w:val="231F20"/>
          <w:vertAlign w:val="baseline"/>
        </w:rPr>
        <w:t>health and primary care settings.</w:t>
      </w:r>
    </w:p>
    <w:p>
      <w:pPr>
        <w:pStyle w:val="BodyText"/>
        <w:spacing w:line="247" w:lineRule="exact"/>
        <w:ind w:left="300"/>
      </w:pPr>
      <w:r>
        <w:rPr>
          <w:color w:val="231F20"/>
        </w:rPr>
        <w:t>Practitioners</w:t>
      </w:r>
      <w:r>
        <w:rPr>
          <w:color w:val="231F20"/>
          <w:spacing w:val="-7"/>
        </w:rPr>
        <w:t> </w:t>
      </w:r>
      <w:r>
        <w:rPr>
          <w:color w:val="231F20"/>
        </w:rPr>
        <w:t>can</w:t>
      </w:r>
      <w:r>
        <w:rPr>
          <w:color w:val="231F20"/>
          <w:spacing w:val="-6"/>
        </w:rPr>
        <w:t> </w:t>
      </w:r>
      <w:r>
        <w:rPr>
          <w:color w:val="231F20"/>
        </w:rPr>
        <w:t>offer</w:t>
      </w:r>
      <w:r>
        <w:rPr>
          <w:color w:val="231F20"/>
          <w:spacing w:val="-6"/>
        </w:rPr>
        <w:t> </w:t>
      </w:r>
      <w:r>
        <w:rPr>
          <w:color w:val="231F20"/>
        </w:rPr>
        <w:t>telehealth</w:t>
      </w:r>
      <w:r>
        <w:rPr>
          <w:color w:val="231F20"/>
          <w:spacing w:val="-6"/>
        </w:rPr>
        <w:t> </w:t>
      </w:r>
      <w:r>
        <w:rPr>
          <w:color w:val="231F20"/>
        </w:rPr>
        <w:t>through</w:t>
      </w:r>
      <w:r>
        <w:rPr>
          <w:color w:val="231F20"/>
          <w:spacing w:val="-5"/>
        </w:rPr>
        <w:t> </w:t>
      </w:r>
      <w:r>
        <w:rPr>
          <w:color w:val="231F20"/>
        </w:rPr>
        <w:t>synchronous</w:t>
      </w:r>
    </w:p>
    <w:p>
      <w:pPr>
        <w:pStyle w:val="BodyText"/>
        <w:spacing w:before="27"/>
        <w:ind w:left="300"/>
      </w:pPr>
      <w:r>
        <w:rPr>
          <w:color w:val="231F20"/>
        </w:rPr>
        <w:t>and asynchronous methods.</w:t>
      </w:r>
    </w:p>
    <w:p>
      <w:pPr>
        <w:spacing w:after="0"/>
        <w:sectPr>
          <w:type w:val="continuous"/>
          <w:pgSz w:w="12240" w:h="15840"/>
          <w:pgMar w:header="0" w:footer="666" w:top="1500" w:bottom="0" w:left="600" w:right="0"/>
          <w:cols w:num="2" w:equalWidth="0">
            <w:col w:w="5018" w:space="562"/>
            <w:col w:w="6060"/>
          </w:cols>
        </w:sectPr>
      </w:pPr>
    </w:p>
    <w:p>
      <w:pPr>
        <w:pStyle w:val="BodyText"/>
        <w:rPr>
          <w:sz w:val="20"/>
        </w:rPr>
      </w:pPr>
    </w:p>
    <w:p>
      <w:pPr>
        <w:pStyle w:val="BodyText"/>
        <w:rPr>
          <w:sz w:val="20"/>
        </w:rPr>
      </w:pPr>
    </w:p>
    <w:p>
      <w:pPr>
        <w:pStyle w:val="BodyText"/>
        <w:spacing w:before="1" w:after="1"/>
        <w:rPr>
          <w:sz w:val="18"/>
        </w:rPr>
      </w:pPr>
    </w:p>
    <w:tbl>
      <w:tblPr>
        <w:tblW w:w="0" w:type="auto"/>
        <w:jc w:val="left"/>
        <w:tblInd w:w="13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508"/>
        <w:gridCol w:w="2505"/>
        <w:gridCol w:w="5263"/>
        <w:gridCol w:w="2510"/>
      </w:tblGrid>
      <w:tr>
        <w:trPr>
          <w:trHeight w:val="314" w:hRule="atLeast"/>
        </w:trPr>
        <w:tc>
          <w:tcPr>
            <w:tcW w:w="508" w:type="dxa"/>
            <w:shd w:val="clear" w:color="auto" w:fill="CE384B"/>
          </w:tcPr>
          <w:p>
            <w:pPr>
              <w:pStyle w:val="TableParagraph"/>
              <w:ind w:left="0"/>
              <w:rPr>
                <w:rFonts w:ascii="Times New Roman"/>
                <w:sz w:val="20"/>
              </w:rPr>
            </w:pPr>
          </w:p>
        </w:tc>
        <w:tc>
          <w:tcPr>
            <w:tcW w:w="2505" w:type="dxa"/>
            <w:shd w:val="clear" w:color="auto" w:fill="CE384B"/>
          </w:tcPr>
          <w:p>
            <w:pPr>
              <w:pStyle w:val="TableParagraph"/>
              <w:spacing w:before="28"/>
              <w:ind w:left="80"/>
              <w:rPr>
                <w:b/>
                <w:sz w:val="20"/>
              </w:rPr>
            </w:pPr>
            <w:r>
              <w:rPr>
                <w:b/>
                <w:color w:val="FFFFFF"/>
                <w:sz w:val="20"/>
              </w:rPr>
              <w:t>Timing</w:t>
            </w:r>
          </w:p>
        </w:tc>
        <w:tc>
          <w:tcPr>
            <w:tcW w:w="5263" w:type="dxa"/>
            <w:shd w:val="clear" w:color="auto" w:fill="CE384B"/>
          </w:tcPr>
          <w:p>
            <w:pPr>
              <w:pStyle w:val="TableParagraph"/>
              <w:spacing w:before="28"/>
              <w:ind w:left="81"/>
              <w:rPr>
                <w:b/>
                <w:sz w:val="20"/>
              </w:rPr>
            </w:pPr>
            <w:r>
              <w:rPr>
                <w:b/>
                <w:color w:val="FFFFFF"/>
                <w:sz w:val="20"/>
              </w:rPr>
              <w:t>Application</w:t>
            </w:r>
          </w:p>
        </w:tc>
        <w:tc>
          <w:tcPr>
            <w:tcW w:w="2510" w:type="dxa"/>
            <w:shd w:val="clear" w:color="auto" w:fill="CE384B"/>
          </w:tcPr>
          <w:p>
            <w:pPr>
              <w:pStyle w:val="TableParagraph"/>
              <w:spacing w:before="28"/>
              <w:ind w:left="81"/>
              <w:rPr>
                <w:b/>
                <w:sz w:val="20"/>
              </w:rPr>
            </w:pPr>
            <w:r>
              <w:rPr>
                <w:b/>
                <w:color w:val="FFFFFF"/>
                <w:sz w:val="20"/>
              </w:rPr>
              <w:t>Technology</w:t>
            </w:r>
            <w:r>
              <w:rPr>
                <w:b/>
                <w:color w:val="FFFFFF"/>
                <w:spacing w:val="-7"/>
                <w:sz w:val="20"/>
              </w:rPr>
              <w:t> </w:t>
            </w:r>
            <w:r>
              <w:rPr>
                <w:b/>
                <w:color w:val="FFFFFF"/>
                <w:sz w:val="20"/>
              </w:rPr>
              <w:t>Options</w:t>
            </w:r>
          </w:p>
        </w:tc>
      </w:tr>
      <w:tr>
        <w:trPr>
          <w:trHeight w:val="1464" w:hRule="atLeast"/>
        </w:trPr>
        <w:tc>
          <w:tcPr>
            <w:tcW w:w="508" w:type="dxa"/>
            <w:textDirection w:val="btLr"/>
          </w:tcPr>
          <w:p>
            <w:pPr>
              <w:pStyle w:val="TableParagraph"/>
              <w:spacing w:before="38"/>
              <w:ind w:left="93"/>
              <w:rPr>
                <w:b/>
                <w:sz w:val="20"/>
              </w:rPr>
            </w:pPr>
            <w:r>
              <w:rPr>
                <w:b/>
                <w:color w:val="231F20"/>
                <w:sz w:val="20"/>
              </w:rPr>
              <w:t>Synchronous</w:t>
            </w:r>
          </w:p>
        </w:tc>
        <w:tc>
          <w:tcPr>
            <w:tcW w:w="2505" w:type="dxa"/>
          </w:tcPr>
          <w:p>
            <w:pPr>
              <w:pStyle w:val="TableParagraph"/>
              <w:spacing w:line="249" w:lineRule="auto" w:before="28"/>
              <w:ind w:left="80" w:right="39"/>
              <w:rPr>
                <w:sz w:val="20"/>
              </w:rPr>
            </w:pPr>
            <w:r>
              <w:rPr>
                <w:color w:val="231F20"/>
                <w:sz w:val="20"/>
              </w:rPr>
              <w:t>Real-time interactive client</w:t>
            </w:r>
            <w:r>
              <w:rPr>
                <w:color w:val="231F20"/>
                <w:spacing w:val="-54"/>
                <w:sz w:val="20"/>
              </w:rPr>
              <w:t> </w:t>
            </w:r>
            <w:r>
              <w:rPr>
                <w:color w:val="231F20"/>
                <w:sz w:val="20"/>
              </w:rPr>
              <w:t>and</w:t>
            </w:r>
            <w:r>
              <w:rPr>
                <w:color w:val="231F20"/>
                <w:spacing w:val="-1"/>
                <w:sz w:val="20"/>
              </w:rPr>
              <w:t> </w:t>
            </w:r>
            <w:r>
              <w:rPr>
                <w:color w:val="231F20"/>
                <w:sz w:val="20"/>
              </w:rPr>
              <w:t>provider interactions.</w:t>
            </w:r>
          </w:p>
        </w:tc>
        <w:tc>
          <w:tcPr>
            <w:tcW w:w="5263" w:type="dxa"/>
          </w:tcPr>
          <w:p>
            <w:pPr>
              <w:pStyle w:val="TableParagraph"/>
              <w:spacing w:line="249" w:lineRule="auto" w:before="28"/>
              <w:ind w:left="81" w:right="269"/>
              <w:jc w:val="both"/>
              <w:rPr>
                <w:sz w:val="11"/>
              </w:rPr>
            </w:pPr>
            <w:r>
              <w:rPr>
                <w:color w:val="231F20"/>
                <w:sz w:val="20"/>
              </w:rPr>
              <w:t>Clinical assessments, ongoing care and treatment, and</w:t>
            </w:r>
            <w:r>
              <w:rPr>
                <w:color w:val="231F20"/>
                <w:spacing w:val="-53"/>
                <w:sz w:val="20"/>
              </w:rPr>
              <w:t> </w:t>
            </w:r>
            <w:r>
              <w:rPr>
                <w:color w:val="231F20"/>
                <w:sz w:val="20"/>
              </w:rPr>
              <w:t>triage of emergency service needs (e.g., for clients with</w:t>
            </w:r>
            <w:r>
              <w:rPr>
                <w:color w:val="231F20"/>
                <w:spacing w:val="-54"/>
                <w:sz w:val="20"/>
              </w:rPr>
              <w:t> </w:t>
            </w:r>
            <w:r>
              <w:rPr>
                <w:color w:val="231F20"/>
                <w:sz w:val="20"/>
              </w:rPr>
              <w:t>suicidal ideation).</w:t>
            </w:r>
            <w:r>
              <w:rPr>
                <w:color w:val="231F20"/>
                <w:position w:val="7"/>
                <w:sz w:val="11"/>
              </w:rPr>
              <w:t>10</w:t>
            </w:r>
          </w:p>
        </w:tc>
        <w:tc>
          <w:tcPr>
            <w:tcW w:w="2510" w:type="dxa"/>
          </w:tcPr>
          <w:p>
            <w:pPr>
              <w:pStyle w:val="TableParagraph"/>
              <w:spacing w:line="249" w:lineRule="auto" w:before="28"/>
              <w:ind w:left="81" w:right="383"/>
              <w:jc w:val="both"/>
              <w:rPr>
                <w:sz w:val="11"/>
              </w:rPr>
            </w:pPr>
            <w:r>
              <w:rPr>
                <w:color w:val="231F20"/>
                <w:spacing w:val="-1"/>
                <w:sz w:val="20"/>
              </w:rPr>
              <w:t>Telephone,</w:t>
            </w:r>
            <w:r>
              <w:rPr>
                <w:color w:val="231F20"/>
                <w:spacing w:val="-13"/>
                <w:sz w:val="20"/>
              </w:rPr>
              <w:t> </w:t>
            </w:r>
            <w:r>
              <w:rPr>
                <w:color w:val="231F20"/>
                <w:sz w:val="20"/>
              </w:rPr>
              <w:t>video</w:t>
            </w:r>
            <w:r>
              <w:rPr>
                <w:color w:val="231F20"/>
                <w:spacing w:val="-13"/>
                <w:sz w:val="20"/>
              </w:rPr>
              <w:t> </w:t>
            </w:r>
            <w:r>
              <w:rPr>
                <w:color w:val="231F20"/>
                <w:sz w:val="20"/>
              </w:rPr>
              <w:t>calls,</w:t>
            </w:r>
            <w:r>
              <w:rPr>
                <w:color w:val="231F20"/>
                <w:spacing w:val="-53"/>
                <w:sz w:val="20"/>
              </w:rPr>
              <w:t> </w:t>
            </w:r>
            <w:r>
              <w:rPr>
                <w:color w:val="231F20"/>
                <w:sz w:val="20"/>
              </w:rPr>
              <w:t>and web-conferencing</w:t>
            </w:r>
            <w:r>
              <w:rPr>
                <w:color w:val="231F20"/>
                <w:spacing w:val="1"/>
                <w:sz w:val="20"/>
              </w:rPr>
              <w:t> </w:t>
            </w:r>
            <w:r>
              <w:rPr>
                <w:color w:val="231F20"/>
                <w:sz w:val="20"/>
              </w:rPr>
              <w:t>platforms.</w:t>
            </w:r>
            <w:r>
              <w:rPr>
                <w:color w:val="231F20"/>
                <w:position w:val="7"/>
                <w:sz w:val="11"/>
              </w:rPr>
              <w:t>11</w:t>
            </w:r>
          </w:p>
        </w:tc>
      </w:tr>
      <w:tr>
        <w:trPr>
          <w:trHeight w:val="4325" w:hRule="atLeast"/>
        </w:trPr>
        <w:tc>
          <w:tcPr>
            <w:tcW w:w="508" w:type="dxa"/>
            <w:textDirection w:val="btLr"/>
          </w:tcPr>
          <w:p>
            <w:pPr>
              <w:pStyle w:val="TableParagraph"/>
              <w:spacing w:before="38"/>
              <w:ind w:left="1442" w:right="1442"/>
              <w:jc w:val="center"/>
              <w:rPr>
                <w:b/>
                <w:sz w:val="20"/>
              </w:rPr>
            </w:pPr>
            <w:r>
              <w:rPr>
                <w:b/>
                <w:color w:val="231F20"/>
                <w:sz w:val="20"/>
              </w:rPr>
              <w:t>Asynchronous</w:t>
            </w:r>
          </w:p>
        </w:tc>
        <w:tc>
          <w:tcPr>
            <w:tcW w:w="2505" w:type="dxa"/>
          </w:tcPr>
          <w:p>
            <w:pPr>
              <w:pStyle w:val="TableParagraph"/>
              <w:spacing w:line="249" w:lineRule="auto" w:before="28"/>
              <w:ind w:left="80" w:right="56"/>
              <w:rPr>
                <w:sz w:val="11"/>
              </w:rPr>
            </w:pPr>
            <w:r>
              <w:rPr>
                <w:color w:val="231F20"/>
                <w:sz w:val="20"/>
              </w:rPr>
              <w:t>Sharing of health</w:t>
            </w:r>
            <w:r>
              <w:rPr>
                <w:color w:val="231F20"/>
                <w:spacing w:val="1"/>
                <w:sz w:val="20"/>
              </w:rPr>
              <w:t> </w:t>
            </w:r>
            <w:r>
              <w:rPr>
                <w:color w:val="231F20"/>
                <w:sz w:val="20"/>
              </w:rPr>
              <w:t>information that is</w:t>
            </w:r>
            <w:r>
              <w:rPr>
                <w:color w:val="231F20"/>
                <w:spacing w:val="1"/>
                <w:sz w:val="20"/>
              </w:rPr>
              <w:t> </w:t>
            </w:r>
            <w:r>
              <w:rPr>
                <w:color w:val="231F20"/>
                <w:sz w:val="20"/>
              </w:rPr>
              <w:t>collected at one point in</w:t>
            </w:r>
            <w:r>
              <w:rPr>
                <w:color w:val="231F20"/>
                <w:spacing w:val="1"/>
                <w:sz w:val="20"/>
              </w:rPr>
              <w:t> </w:t>
            </w:r>
            <w:r>
              <w:rPr>
                <w:color w:val="231F20"/>
                <w:sz w:val="20"/>
              </w:rPr>
              <w:t>time and responded to or</w:t>
            </w:r>
            <w:r>
              <w:rPr>
                <w:color w:val="231F20"/>
                <w:spacing w:val="1"/>
                <w:sz w:val="20"/>
              </w:rPr>
              <w:t> </w:t>
            </w:r>
            <w:r>
              <w:rPr>
                <w:color w:val="231F20"/>
                <w:sz w:val="20"/>
              </w:rPr>
              <w:t>interpreted at a later time</w:t>
            </w:r>
            <w:r>
              <w:rPr>
                <w:color w:val="231F20"/>
                <w:spacing w:val="1"/>
                <w:sz w:val="20"/>
              </w:rPr>
              <w:t> </w:t>
            </w:r>
            <w:r>
              <w:rPr>
                <w:color w:val="231F20"/>
                <w:sz w:val="20"/>
              </w:rPr>
              <w:t>to direct</w:t>
            </w:r>
            <w:r>
              <w:rPr>
                <w:color w:val="231F20"/>
                <w:spacing w:val="1"/>
                <w:sz w:val="20"/>
              </w:rPr>
              <w:t> </w:t>
            </w:r>
            <w:r>
              <w:rPr>
                <w:color w:val="231F20"/>
                <w:sz w:val="20"/>
              </w:rPr>
              <w:t>the next</w:t>
            </w:r>
            <w:r>
              <w:rPr>
                <w:color w:val="231F20"/>
                <w:spacing w:val="1"/>
                <w:sz w:val="20"/>
              </w:rPr>
              <w:t> </w:t>
            </w:r>
            <w:r>
              <w:rPr>
                <w:color w:val="231F20"/>
                <w:sz w:val="20"/>
              </w:rPr>
              <w:t>steps</w:t>
            </w:r>
            <w:r>
              <w:rPr>
                <w:color w:val="231F20"/>
                <w:spacing w:val="1"/>
                <w:sz w:val="20"/>
              </w:rPr>
              <w:t> </w:t>
            </w:r>
            <w:r>
              <w:rPr>
                <w:color w:val="231F20"/>
                <w:sz w:val="20"/>
              </w:rPr>
              <w:t>of</w:t>
            </w:r>
            <w:r>
              <w:rPr>
                <w:color w:val="231F20"/>
                <w:spacing w:val="1"/>
                <w:sz w:val="20"/>
              </w:rPr>
              <w:t> </w:t>
            </w:r>
            <w:r>
              <w:rPr>
                <w:color w:val="231F20"/>
                <w:sz w:val="20"/>
              </w:rPr>
              <w:t>a</w:t>
            </w:r>
            <w:r>
              <w:rPr>
                <w:color w:val="231F20"/>
                <w:spacing w:val="-7"/>
                <w:sz w:val="20"/>
              </w:rPr>
              <w:t> </w:t>
            </w:r>
            <w:r>
              <w:rPr>
                <w:color w:val="231F20"/>
                <w:sz w:val="20"/>
              </w:rPr>
              <w:t>client’s</w:t>
            </w:r>
            <w:r>
              <w:rPr>
                <w:color w:val="231F20"/>
                <w:spacing w:val="-6"/>
                <w:sz w:val="20"/>
              </w:rPr>
              <w:t> </w:t>
            </w:r>
            <w:r>
              <w:rPr>
                <w:color w:val="231F20"/>
                <w:sz w:val="20"/>
              </w:rPr>
              <w:t>treatment</w:t>
            </w:r>
            <w:r>
              <w:rPr>
                <w:color w:val="231F20"/>
                <w:spacing w:val="-7"/>
                <w:sz w:val="20"/>
              </w:rPr>
              <w:t> </w:t>
            </w:r>
            <w:r>
              <w:rPr>
                <w:color w:val="231F20"/>
                <w:sz w:val="20"/>
              </w:rPr>
              <w:t>or</w:t>
            </w:r>
            <w:r>
              <w:rPr>
                <w:color w:val="231F20"/>
                <w:spacing w:val="-6"/>
                <w:sz w:val="20"/>
              </w:rPr>
              <w:t> </w:t>
            </w:r>
            <w:r>
              <w:rPr>
                <w:color w:val="231F20"/>
                <w:sz w:val="20"/>
              </w:rPr>
              <w:t>care</w:t>
            </w:r>
            <w:r>
              <w:rPr>
                <w:color w:val="231F20"/>
                <w:spacing w:val="-53"/>
                <w:sz w:val="20"/>
              </w:rPr>
              <w:t> </w:t>
            </w:r>
            <w:r>
              <w:rPr>
                <w:color w:val="231F20"/>
                <w:sz w:val="20"/>
              </w:rPr>
              <w:t>plan and complement</w:t>
            </w:r>
            <w:r>
              <w:rPr>
                <w:color w:val="231F20"/>
                <w:spacing w:val="1"/>
                <w:sz w:val="20"/>
              </w:rPr>
              <w:t> </w:t>
            </w:r>
            <w:r>
              <w:rPr>
                <w:color w:val="231F20"/>
                <w:sz w:val="20"/>
              </w:rPr>
              <w:t>synchronous</w:t>
            </w:r>
            <w:r>
              <w:rPr>
                <w:color w:val="231F20"/>
                <w:spacing w:val="2"/>
                <w:sz w:val="20"/>
              </w:rPr>
              <w:t> </w:t>
            </w:r>
            <w:r>
              <w:rPr>
                <w:color w:val="231F20"/>
                <w:sz w:val="20"/>
              </w:rPr>
              <w:t>treatment.</w:t>
            </w:r>
            <w:r>
              <w:rPr>
                <w:color w:val="231F20"/>
                <w:position w:val="7"/>
                <w:sz w:val="11"/>
              </w:rPr>
              <w:t>12</w:t>
            </w:r>
          </w:p>
          <w:p>
            <w:pPr>
              <w:pStyle w:val="TableParagraph"/>
              <w:ind w:left="0"/>
              <w:rPr>
                <w:rFonts w:ascii="Times New Roman"/>
                <w:sz w:val="18"/>
              </w:rPr>
            </w:pPr>
          </w:p>
          <w:p>
            <w:pPr>
              <w:pStyle w:val="TableParagraph"/>
              <w:spacing w:line="249" w:lineRule="auto"/>
              <w:ind w:left="80" w:right="192"/>
              <w:rPr>
                <w:sz w:val="20"/>
              </w:rPr>
            </w:pPr>
            <w:r>
              <w:rPr>
                <w:color w:val="231F20"/>
                <w:sz w:val="20"/>
              </w:rPr>
              <w:t>Methods can be</w:t>
            </w:r>
            <w:r>
              <w:rPr>
                <w:color w:val="231F20"/>
                <w:spacing w:val="1"/>
                <w:sz w:val="20"/>
              </w:rPr>
              <w:t> </w:t>
            </w:r>
            <w:r>
              <w:rPr>
                <w:color w:val="231F20"/>
                <w:sz w:val="20"/>
              </w:rPr>
              <w:t>interactive</w:t>
            </w:r>
            <w:r>
              <w:rPr>
                <w:color w:val="231F20"/>
                <w:spacing w:val="1"/>
                <w:sz w:val="20"/>
              </w:rPr>
              <w:t> </w:t>
            </w:r>
            <w:r>
              <w:rPr>
                <w:color w:val="231F20"/>
                <w:sz w:val="20"/>
              </w:rPr>
              <w:t>(i.e.,</w:t>
            </w:r>
            <w:r>
              <w:rPr>
                <w:color w:val="231F20"/>
                <w:spacing w:val="55"/>
                <w:sz w:val="20"/>
              </w:rPr>
              <w:t> </w:t>
            </w:r>
            <w:r>
              <w:rPr>
                <w:color w:val="231F20"/>
                <w:sz w:val="20"/>
              </w:rPr>
              <w:t>the</w:t>
            </w:r>
            <w:r>
              <w:rPr>
                <w:color w:val="231F20"/>
                <w:spacing w:val="1"/>
                <w:sz w:val="20"/>
              </w:rPr>
              <w:t> </w:t>
            </w:r>
            <w:r>
              <w:rPr>
                <w:color w:val="231F20"/>
                <w:sz w:val="20"/>
              </w:rPr>
              <w:t>client actively sending</w:t>
            </w:r>
            <w:r>
              <w:rPr>
                <w:color w:val="231F20"/>
                <w:spacing w:val="1"/>
                <w:sz w:val="20"/>
              </w:rPr>
              <w:t> </w:t>
            </w:r>
            <w:r>
              <w:rPr>
                <w:color w:val="231F20"/>
                <w:sz w:val="20"/>
              </w:rPr>
              <w:t>information to the</w:t>
            </w:r>
            <w:r>
              <w:rPr>
                <w:color w:val="231F20"/>
                <w:spacing w:val="1"/>
                <w:sz w:val="20"/>
              </w:rPr>
              <w:t> </w:t>
            </w:r>
            <w:r>
              <w:rPr>
                <w:color w:val="231F20"/>
                <w:sz w:val="20"/>
              </w:rPr>
              <w:t>provider) or passive (i.e.,</w:t>
            </w:r>
            <w:r>
              <w:rPr>
                <w:color w:val="231F20"/>
                <w:spacing w:val="-53"/>
                <w:sz w:val="20"/>
              </w:rPr>
              <w:t> </w:t>
            </w:r>
            <w:r>
              <w:rPr>
                <w:color w:val="231F20"/>
                <w:sz w:val="20"/>
              </w:rPr>
              <w:t>client</w:t>
            </w:r>
            <w:r>
              <w:rPr>
                <w:color w:val="231F20"/>
                <w:spacing w:val="-1"/>
                <w:sz w:val="20"/>
              </w:rPr>
              <w:t> </w:t>
            </w:r>
            <w:r>
              <w:rPr>
                <w:color w:val="231F20"/>
                <w:sz w:val="20"/>
              </w:rPr>
              <w:t>data transmitted to</w:t>
            </w:r>
          </w:p>
          <w:p>
            <w:pPr>
              <w:pStyle w:val="TableParagraph"/>
              <w:spacing w:line="240" w:lineRule="exact" w:before="1"/>
              <w:ind w:left="80" w:right="117"/>
              <w:rPr>
                <w:sz w:val="20"/>
              </w:rPr>
            </w:pPr>
            <w:r>
              <w:rPr>
                <w:color w:val="231F20"/>
                <w:sz w:val="20"/>
              </w:rPr>
              <w:t>providers through portals,</w:t>
            </w:r>
            <w:r>
              <w:rPr>
                <w:color w:val="231F20"/>
                <w:spacing w:val="-53"/>
                <w:sz w:val="20"/>
              </w:rPr>
              <w:t> </w:t>
            </w:r>
            <w:r>
              <w:rPr>
                <w:color w:val="231F20"/>
                <w:sz w:val="20"/>
              </w:rPr>
              <w:t>sensors,</w:t>
            </w:r>
            <w:r>
              <w:rPr>
                <w:color w:val="231F20"/>
                <w:spacing w:val="-1"/>
                <w:sz w:val="20"/>
              </w:rPr>
              <w:t> </w:t>
            </w:r>
            <w:r>
              <w:rPr>
                <w:color w:val="231F20"/>
                <w:sz w:val="20"/>
              </w:rPr>
              <w:t>or peripherals).</w:t>
            </w:r>
          </w:p>
        </w:tc>
        <w:tc>
          <w:tcPr>
            <w:tcW w:w="5263" w:type="dxa"/>
          </w:tcPr>
          <w:p>
            <w:pPr>
              <w:pStyle w:val="TableParagraph"/>
              <w:spacing w:line="249" w:lineRule="auto" w:before="28"/>
              <w:ind w:left="81" w:right="483"/>
              <w:rPr>
                <w:sz w:val="20"/>
              </w:rPr>
            </w:pPr>
            <w:r>
              <w:rPr>
                <w:color w:val="231F20"/>
                <w:sz w:val="20"/>
              </w:rPr>
              <w:t>Clinical assessments, symptom management, client</w:t>
            </w:r>
            <w:r>
              <w:rPr>
                <w:color w:val="231F20"/>
                <w:spacing w:val="1"/>
                <w:sz w:val="20"/>
              </w:rPr>
              <w:t> </w:t>
            </w:r>
            <w:r>
              <w:rPr>
                <w:color w:val="231F20"/>
                <w:sz w:val="20"/>
              </w:rPr>
              <w:t>education,</w:t>
            </w:r>
            <w:r>
              <w:rPr>
                <w:color w:val="231F20"/>
                <w:spacing w:val="-10"/>
                <w:sz w:val="20"/>
              </w:rPr>
              <w:t> </w:t>
            </w:r>
            <w:r>
              <w:rPr>
                <w:color w:val="231F20"/>
                <w:sz w:val="20"/>
              </w:rPr>
              <w:t>and</w:t>
            </w:r>
            <w:r>
              <w:rPr>
                <w:color w:val="231F20"/>
                <w:spacing w:val="-9"/>
                <w:sz w:val="20"/>
              </w:rPr>
              <w:t> </w:t>
            </w:r>
            <w:r>
              <w:rPr>
                <w:color w:val="231F20"/>
                <w:sz w:val="20"/>
              </w:rPr>
              <w:t>treatment</w:t>
            </w:r>
            <w:r>
              <w:rPr>
                <w:color w:val="231F20"/>
                <w:spacing w:val="-9"/>
                <w:sz w:val="20"/>
              </w:rPr>
              <w:t> </w:t>
            </w:r>
            <w:r>
              <w:rPr>
                <w:color w:val="231F20"/>
                <w:sz w:val="20"/>
              </w:rPr>
              <w:t>reminders</w:t>
            </w:r>
            <w:r>
              <w:rPr>
                <w:color w:val="231F20"/>
                <w:spacing w:val="-9"/>
                <w:sz w:val="20"/>
              </w:rPr>
              <w:t> </w:t>
            </w:r>
            <w:r>
              <w:rPr>
                <w:color w:val="231F20"/>
                <w:sz w:val="20"/>
              </w:rPr>
              <w:t>that</w:t>
            </w:r>
            <w:r>
              <w:rPr>
                <w:color w:val="231F20"/>
                <w:spacing w:val="-9"/>
                <w:sz w:val="20"/>
              </w:rPr>
              <w:t> </w:t>
            </w:r>
            <w:r>
              <w:rPr>
                <w:color w:val="231F20"/>
                <w:sz w:val="20"/>
              </w:rPr>
              <w:t>complement</w:t>
            </w:r>
            <w:r>
              <w:rPr>
                <w:color w:val="231F20"/>
                <w:spacing w:val="-53"/>
                <w:sz w:val="20"/>
              </w:rPr>
              <w:t> </w:t>
            </w:r>
            <w:r>
              <w:rPr>
                <w:color w:val="231F20"/>
                <w:sz w:val="20"/>
              </w:rPr>
              <w:t>synchronous client-provider interactions and inform</w:t>
            </w:r>
            <w:r>
              <w:rPr>
                <w:color w:val="231F20"/>
                <w:spacing w:val="1"/>
                <w:sz w:val="20"/>
              </w:rPr>
              <w:t> </w:t>
            </w:r>
            <w:r>
              <w:rPr>
                <w:color w:val="231F20"/>
                <w:sz w:val="20"/>
              </w:rPr>
              <w:t>updates</w:t>
            </w:r>
            <w:r>
              <w:rPr>
                <w:color w:val="231F20"/>
                <w:spacing w:val="-10"/>
                <w:sz w:val="20"/>
              </w:rPr>
              <w:t> </w:t>
            </w:r>
            <w:r>
              <w:rPr>
                <w:color w:val="231F20"/>
                <w:sz w:val="20"/>
              </w:rPr>
              <w:t>to</w:t>
            </w:r>
            <w:r>
              <w:rPr>
                <w:color w:val="231F20"/>
                <w:spacing w:val="-9"/>
                <w:sz w:val="20"/>
              </w:rPr>
              <w:t> </w:t>
            </w:r>
            <w:r>
              <w:rPr>
                <w:color w:val="231F20"/>
                <w:sz w:val="20"/>
              </w:rPr>
              <w:t>treatment</w:t>
            </w:r>
            <w:r>
              <w:rPr>
                <w:color w:val="231F20"/>
                <w:spacing w:val="-10"/>
                <w:sz w:val="20"/>
              </w:rPr>
              <w:t> </w:t>
            </w:r>
            <w:r>
              <w:rPr>
                <w:color w:val="231F20"/>
                <w:sz w:val="20"/>
              </w:rPr>
              <w:t>plans</w:t>
            </w:r>
            <w:r>
              <w:rPr>
                <w:color w:val="231F20"/>
                <w:spacing w:val="-9"/>
                <w:sz w:val="20"/>
              </w:rPr>
              <w:t> </w:t>
            </w:r>
            <w:r>
              <w:rPr>
                <w:color w:val="231F20"/>
                <w:sz w:val="20"/>
              </w:rPr>
              <w:t>through</w:t>
            </w:r>
            <w:r>
              <w:rPr>
                <w:color w:val="231F20"/>
                <w:spacing w:val="-10"/>
                <w:sz w:val="20"/>
              </w:rPr>
              <w:t> </w:t>
            </w:r>
            <w:r>
              <w:rPr>
                <w:color w:val="231F20"/>
                <w:sz w:val="20"/>
              </w:rPr>
              <w:t>methods</w:t>
            </w:r>
            <w:r>
              <w:rPr>
                <w:color w:val="231F20"/>
                <w:spacing w:val="-9"/>
                <w:sz w:val="20"/>
              </w:rPr>
              <w:t> </w:t>
            </w:r>
            <w:r>
              <w:rPr>
                <w:color w:val="231F20"/>
                <w:sz w:val="20"/>
              </w:rPr>
              <w:t>such</w:t>
            </w:r>
            <w:r>
              <w:rPr>
                <w:color w:val="231F20"/>
                <w:spacing w:val="-10"/>
                <w:sz w:val="20"/>
              </w:rPr>
              <w:t> </w:t>
            </w:r>
            <w:r>
              <w:rPr>
                <w:color w:val="231F20"/>
                <w:sz w:val="20"/>
              </w:rPr>
              <w:t>as:</w:t>
            </w:r>
          </w:p>
          <w:p>
            <w:pPr>
              <w:pStyle w:val="TableParagraph"/>
              <w:numPr>
                <w:ilvl w:val="0"/>
                <w:numId w:val="2"/>
              </w:numPr>
              <w:tabs>
                <w:tab w:pos="440" w:val="left" w:leader="none"/>
                <w:tab w:pos="442" w:val="left" w:leader="none"/>
              </w:tabs>
              <w:spacing w:line="249" w:lineRule="auto" w:before="80" w:after="0"/>
              <w:ind w:left="441" w:right="264" w:hanging="360"/>
              <w:jc w:val="left"/>
              <w:rPr>
                <w:sz w:val="20"/>
              </w:rPr>
            </w:pPr>
            <w:r>
              <w:rPr>
                <w:color w:val="231F20"/>
                <w:sz w:val="20"/>
              </w:rPr>
              <w:t>Store and forward (i.e., client uploads and transfers</w:t>
            </w:r>
            <w:r>
              <w:rPr>
                <w:color w:val="231F20"/>
                <w:spacing w:val="-54"/>
                <w:sz w:val="20"/>
              </w:rPr>
              <w:t> </w:t>
            </w:r>
            <w:r>
              <w:rPr>
                <w:color w:val="231F20"/>
                <w:sz w:val="20"/>
              </w:rPr>
              <w:t>medical information, such as health histories, to</w:t>
            </w:r>
            <w:r>
              <w:rPr>
                <w:color w:val="231F20"/>
                <w:spacing w:val="1"/>
                <w:sz w:val="20"/>
              </w:rPr>
              <w:t> </w:t>
            </w:r>
            <w:r>
              <w:rPr>
                <w:color w:val="231F20"/>
                <w:sz w:val="20"/>
              </w:rPr>
              <w:t>identify</w:t>
            </w:r>
            <w:r>
              <w:rPr>
                <w:color w:val="231F20"/>
                <w:spacing w:val="-2"/>
                <w:sz w:val="20"/>
              </w:rPr>
              <w:t> </w:t>
            </w:r>
            <w:r>
              <w:rPr>
                <w:color w:val="231F20"/>
                <w:sz w:val="20"/>
              </w:rPr>
              <w:t>or</w:t>
            </w:r>
            <w:r>
              <w:rPr>
                <w:color w:val="231F20"/>
                <w:spacing w:val="-1"/>
                <w:sz w:val="20"/>
              </w:rPr>
              <w:t> </w:t>
            </w:r>
            <w:r>
              <w:rPr>
                <w:color w:val="231F20"/>
                <w:sz w:val="20"/>
              </w:rPr>
              <w:t>refine</w:t>
            </w:r>
            <w:r>
              <w:rPr>
                <w:color w:val="231F20"/>
                <w:spacing w:val="-1"/>
                <w:sz w:val="20"/>
              </w:rPr>
              <w:t> </w:t>
            </w:r>
            <w:r>
              <w:rPr>
                <w:color w:val="231F20"/>
                <w:sz w:val="20"/>
              </w:rPr>
              <w:t>a</w:t>
            </w:r>
            <w:r>
              <w:rPr>
                <w:color w:val="231F20"/>
                <w:spacing w:val="-1"/>
                <w:sz w:val="20"/>
              </w:rPr>
              <w:t> </w:t>
            </w:r>
            <w:r>
              <w:rPr>
                <w:color w:val="231F20"/>
                <w:sz w:val="20"/>
              </w:rPr>
              <w:t>treatment plan)</w:t>
            </w:r>
          </w:p>
          <w:p>
            <w:pPr>
              <w:pStyle w:val="TableParagraph"/>
              <w:numPr>
                <w:ilvl w:val="0"/>
                <w:numId w:val="2"/>
              </w:numPr>
              <w:tabs>
                <w:tab w:pos="440" w:val="left" w:leader="none"/>
                <w:tab w:pos="442" w:val="left" w:leader="none"/>
              </w:tabs>
              <w:spacing w:line="249" w:lineRule="auto" w:before="76" w:after="0"/>
              <w:ind w:left="441" w:right="375" w:hanging="360"/>
              <w:jc w:val="left"/>
              <w:rPr>
                <w:sz w:val="20"/>
              </w:rPr>
            </w:pPr>
            <w:r>
              <w:rPr>
                <w:color w:val="231F20"/>
                <w:sz w:val="20"/>
              </w:rPr>
              <w:t>Remote client monitoring (i.e., collecting medical</w:t>
            </w:r>
            <w:r>
              <w:rPr>
                <w:color w:val="231F20"/>
                <w:spacing w:val="1"/>
                <w:sz w:val="20"/>
              </w:rPr>
              <w:t> </w:t>
            </w:r>
            <w:r>
              <w:rPr>
                <w:color w:val="231F20"/>
                <w:sz w:val="20"/>
              </w:rPr>
              <w:t>and</w:t>
            </w:r>
            <w:r>
              <w:rPr>
                <w:color w:val="231F20"/>
                <w:spacing w:val="-3"/>
                <w:sz w:val="20"/>
              </w:rPr>
              <w:t> </w:t>
            </w:r>
            <w:r>
              <w:rPr>
                <w:color w:val="231F20"/>
                <w:sz w:val="20"/>
              </w:rPr>
              <w:t>health</w:t>
            </w:r>
            <w:r>
              <w:rPr>
                <w:color w:val="231F20"/>
                <w:spacing w:val="-2"/>
                <w:sz w:val="20"/>
              </w:rPr>
              <w:t> </w:t>
            </w:r>
            <w:r>
              <w:rPr>
                <w:color w:val="231F20"/>
                <w:sz w:val="20"/>
              </w:rPr>
              <w:t>data</w:t>
            </w:r>
            <w:r>
              <w:rPr>
                <w:color w:val="231F20"/>
                <w:spacing w:val="-2"/>
                <w:sz w:val="20"/>
              </w:rPr>
              <w:t> </w:t>
            </w:r>
            <w:r>
              <w:rPr>
                <w:color w:val="231F20"/>
                <w:sz w:val="20"/>
              </w:rPr>
              <w:t>in</w:t>
            </w:r>
            <w:r>
              <w:rPr>
                <w:color w:val="231F20"/>
                <w:spacing w:val="-2"/>
                <w:sz w:val="20"/>
              </w:rPr>
              <w:t> </w:t>
            </w:r>
            <w:r>
              <w:rPr>
                <w:color w:val="231F20"/>
                <w:sz w:val="20"/>
              </w:rPr>
              <w:t>one</w:t>
            </w:r>
            <w:r>
              <w:rPr>
                <w:color w:val="231F20"/>
                <w:spacing w:val="-2"/>
                <w:sz w:val="20"/>
              </w:rPr>
              <w:t> </w:t>
            </w:r>
            <w:r>
              <w:rPr>
                <w:color w:val="231F20"/>
                <w:sz w:val="20"/>
              </w:rPr>
              <w:t>location</w:t>
            </w:r>
            <w:r>
              <w:rPr>
                <w:color w:val="231F20"/>
                <w:spacing w:val="-3"/>
                <w:sz w:val="20"/>
              </w:rPr>
              <w:t> </w:t>
            </w:r>
            <w:r>
              <w:rPr>
                <w:color w:val="231F20"/>
                <w:sz w:val="20"/>
              </w:rPr>
              <w:t>and</w:t>
            </w:r>
            <w:r>
              <w:rPr>
                <w:color w:val="231F20"/>
                <w:spacing w:val="-2"/>
                <w:sz w:val="20"/>
              </w:rPr>
              <w:t> </w:t>
            </w:r>
            <w:r>
              <w:rPr>
                <w:color w:val="231F20"/>
                <w:sz w:val="20"/>
              </w:rPr>
              <w:t>transmitting</w:t>
            </w:r>
            <w:r>
              <w:rPr>
                <w:color w:val="231F20"/>
                <w:spacing w:val="-2"/>
                <w:sz w:val="20"/>
              </w:rPr>
              <w:t> </w:t>
            </w:r>
            <w:r>
              <w:rPr>
                <w:color w:val="231F20"/>
                <w:sz w:val="20"/>
              </w:rPr>
              <w:t>to</w:t>
            </w:r>
            <w:r>
              <w:rPr>
                <w:color w:val="231F20"/>
                <w:spacing w:val="-53"/>
                <w:sz w:val="20"/>
              </w:rPr>
              <w:t> </w:t>
            </w:r>
            <w:r>
              <w:rPr>
                <w:color w:val="231F20"/>
                <w:sz w:val="20"/>
              </w:rPr>
              <w:t>another)</w:t>
            </w:r>
          </w:p>
          <w:p>
            <w:pPr>
              <w:pStyle w:val="TableParagraph"/>
              <w:numPr>
                <w:ilvl w:val="0"/>
                <w:numId w:val="2"/>
              </w:numPr>
              <w:tabs>
                <w:tab w:pos="440" w:val="left" w:leader="none"/>
                <w:tab w:pos="442" w:val="left" w:leader="none"/>
              </w:tabs>
              <w:spacing w:line="247" w:lineRule="auto" w:before="77" w:after="0"/>
              <w:ind w:left="441" w:right="442" w:hanging="360"/>
              <w:jc w:val="left"/>
              <w:rPr>
                <w:sz w:val="20"/>
              </w:rPr>
            </w:pPr>
            <w:r>
              <w:rPr>
                <w:color w:val="231F20"/>
                <w:sz w:val="20"/>
              </w:rPr>
              <w:t>mHealth</w:t>
            </w:r>
            <w:r>
              <w:rPr>
                <w:color w:val="231F20"/>
                <w:spacing w:val="5"/>
                <w:sz w:val="20"/>
              </w:rPr>
              <w:t> </w:t>
            </w:r>
            <w:r>
              <w:rPr>
                <w:color w:val="231F20"/>
                <w:sz w:val="20"/>
              </w:rPr>
              <w:t>(i.e.,</w:t>
            </w:r>
            <w:r>
              <w:rPr>
                <w:color w:val="231F20"/>
                <w:spacing w:val="6"/>
                <w:sz w:val="20"/>
              </w:rPr>
              <w:t> </w:t>
            </w:r>
            <w:r>
              <w:rPr>
                <w:color w:val="231F20"/>
                <w:sz w:val="20"/>
              </w:rPr>
              <w:t>capture</w:t>
            </w:r>
            <w:r>
              <w:rPr>
                <w:color w:val="231F20"/>
                <w:spacing w:val="6"/>
                <w:sz w:val="20"/>
              </w:rPr>
              <w:t> </w:t>
            </w:r>
            <w:r>
              <w:rPr>
                <w:color w:val="231F20"/>
                <w:sz w:val="20"/>
              </w:rPr>
              <w:t>of</w:t>
            </w:r>
            <w:r>
              <w:rPr>
                <w:color w:val="231F20"/>
                <w:spacing w:val="6"/>
                <w:sz w:val="20"/>
              </w:rPr>
              <w:t> </w:t>
            </w:r>
            <w:r>
              <w:rPr>
                <w:color w:val="231F20"/>
                <w:sz w:val="20"/>
              </w:rPr>
              <w:t>health</w:t>
            </w:r>
            <w:r>
              <w:rPr>
                <w:color w:val="231F20"/>
                <w:spacing w:val="6"/>
                <w:sz w:val="20"/>
              </w:rPr>
              <w:t> </w:t>
            </w:r>
            <w:r>
              <w:rPr>
                <w:color w:val="231F20"/>
                <w:sz w:val="20"/>
              </w:rPr>
              <w:t>information</w:t>
            </w:r>
            <w:r>
              <w:rPr>
                <w:color w:val="231F20"/>
                <w:spacing w:val="6"/>
                <w:sz w:val="20"/>
              </w:rPr>
              <w:t> </w:t>
            </w:r>
            <w:r>
              <w:rPr>
                <w:color w:val="231F20"/>
                <w:sz w:val="20"/>
              </w:rPr>
              <w:t>by</w:t>
            </w:r>
            <w:r>
              <w:rPr>
                <w:color w:val="231F20"/>
                <w:spacing w:val="1"/>
                <w:sz w:val="20"/>
              </w:rPr>
              <w:t> </w:t>
            </w:r>
            <w:r>
              <w:rPr>
                <w:color w:val="231F20"/>
                <w:sz w:val="20"/>
              </w:rPr>
              <w:t>the</w:t>
            </w:r>
            <w:r>
              <w:rPr>
                <w:color w:val="231F20"/>
                <w:spacing w:val="-3"/>
                <w:sz w:val="20"/>
              </w:rPr>
              <w:t> </w:t>
            </w:r>
            <w:r>
              <w:rPr>
                <w:color w:val="231F20"/>
                <w:sz w:val="20"/>
              </w:rPr>
              <w:t>client</w:t>
            </w:r>
            <w:r>
              <w:rPr>
                <w:color w:val="231F20"/>
                <w:spacing w:val="-2"/>
                <w:sz w:val="20"/>
              </w:rPr>
              <w:t> </w:t>
            </w:r>
            <w:r>
              <w:rPr>
                <w:color w:val="231F20"/>
                <w:sz w:val="20"/>
              </w:rPr>
              <w:t>and</w:t>
            </w:r>
            <w:r>
              <w:rPr>
                <w:color w:val="231F20"/>
                <w:spacing w:val="-2"/>
                <w:sz w:val="20"/>
              </w:rPr>
              <w:t> </w:t>
            </w:r>
            <w:r>
              <w:rPr>
                <w:color w:val="231F20"/>
                <w:sz w:val="20"/>
              </w:rPr>
              <w:t>transmission</w:t>
            </w:r>
            <w:r>
              <w:rPr>
                <w:color w:val="231F20"/>
                <w:spacing w:val="-2"/>
                <w:sz w:val="20"/>
              </w:rPr>
              <w:t> </w:t>
            </w:r>
            <w:r>
              <w:rPr>
                <w:color w:val="231F20"/>
                <w:sz w:val="20"/>
              </w:rPr>
              <w:t>of</w:t>
            </w:r>
            <w:r>
              <w:rPr>
                <w:color w:val="231F20"/>
                <w:spacing w:val="-2"/>
                <w:sz w:val="20"/>
              </w:rPr>
              <w:t> </w:t>
            </w:r>
            <w:r>
              <w:rPr>
                <w:color w:val="231F20"/>
                <w:sz w:val="20"/>
              </w:rPr>
              <w:t>the</w:t>
            </w:r>
            <w:r>
              <w:rPr>
                <w:color w:val="231F20"/>
                <w:spacing w:val="-2"/>
                <w:sz w:val="20"/>
              </w:rPr>
              <w:t> </w:t>
            </w:r>
            <w:r>
              <w:rPr>
                <w:color w:val="231F20"/>
                <w:sz w:val="20"/>
              </w:rPr>
              <w:t>information</w:t>
            </w:r>
            <w:r>
              <w:rPr>
                <w:color w:val="231F20"/>
                <w:spacing w:val="-2"/>
                <w:sz w:val="20"/>
              </w:rPr>
              <w:t> </w:t>
            </w:r>
            <w:r>
              <w:rPr>
                <w:color w:val="231F20"/>
                <w:sz w:val="20"/>
              </w:rPr>
              <w:t>to</w:t>
            </w:r>
            <w:r>
              <w:rPr>
                <w:color w:val="231F20"/>
                <w:spacing w:val="-3"/>
                <w:sz w:val="20"/>
              </w:rPr>
              <w:t> </w:t>
            </w:r>
            <w:r>
              <w:rPr>
                <w:color w:val="231F20"/>
                <w:sz w:val="20"/>
              </w:rPr>
              <w:t>a</w:t>
            </w:r>
          </w:p>
          <w:p>
            <w:pPr>
              <w:pStyle w:val="TableParagraph"/>
              <w:spacing w:line="249" w:lineRule="auto" w:before="4"/>
              <w:ind w:left="441" w:right="97"/>
              <w:rPr>
                <w:sz w:val="20"/>
              </w:rPr>
            </w:pPr>
            <w:r>
              <w:rPr>
                <w:color w:val="231F20"/>
                <w:sz w:val="20"/>
              </w:rPr>
              <w:t>provider</w:t>
            </w:r>
            <w:r>
              <w:rPr>
                <w:color w:val="231F20"/>
                <w:spacing w:val="-4"/>
                <w:sz w:val="20"/>
              </w:rPr>
              <w:t> </w:t>
            </w:r>
            <w:r>
              <w:rPr>
                <w:color w:val="231F20"/>
                <w:sz w:val="20"/>
              </w:rPr>
              <w:t>through</w:t>
            </w:r>
            <w:r>
              <w:rPr>
                <w:color w:val="231F20"/>
                <w:spacing w:val="-3"/>
                <w:sz w:val="20"/>
              </w:rPr>
              <w:t> </w:t>
            </w:r>
            <w:r>
              <w:rPr>
                <w:color w:val="231F20"/>
                <w:sz w:val="20"/>
              </w:rPr>
              <w:t>mobile</w:t>
            </w:r>
            <w:r>
              <w:rPr>
                <w:color w:val="231F20"/>
                <w:spacing w:val="-4"/>
                <w:sz w:val="20"/>
              </w:rPr>
              <w:t> </w:t>
            </w:r>
            <w:r>
              <w:rPr>
                <w:color w:val="231F20"/>
                <w:sz w:val="20"/>
              </w:rPr>
              <w:t>applications,</w:t>
            </w:r>
            <w:r>
              <w:rPr>
                <w:color w:val="231F20"/>
                <w:spacing w:val="-3"/>
                <w:sz w:val="20"/>
              </w:rPr>
              <w:t> </w:t>
            </w:r>
            <w:r>
              <w:rPr>
                <w:color w:val="231F20"/>
                <w:sz w:val="20"/>
              </w:rPr>
              <w:t>mobile</w:t>
            </w:r>
            <w:r>
              <w:rPr>
                <w:color w:val="231F20"/>
                <w:spacing w:val="-4"/>
                <w:sz w:val="20"/>
              </w:rPr>
              <w:t> </w:t>
            </w:r>
            <w:r>
              <w:rPr>
                <w:color w:val="231F20"/>
                <w:sz w:val="20"/>
              </w:rPr>
              <w:t>devices,</w:t>
            </w:r>
            <w:r>
              <w:rPr>
                <w:color w:val="231F20"/>
                <w:spacing w:val="-52"/>
                <w:sz w:val="20"/>
              </w:rPr>
              <w:t> </w:t>
            </w:r>
            <w:r>
              <w:rPr>
                <w:color w:val="231F20"/>
                <w:sz w:val="20"/>
              </w:rPr>
              <w:t>smartphones, tablets,</w:t>
            </w:r>
            <w:r>
              <w:rPr>
                <w:color w:val="231F20"/>
                <w:spacing w:val="-1"/>
                <w:sz w:val="20"/>
              </w:rPr>
              <w:t> </w:t>
            </w:r>
            <w:r>
              <w:rPr>
                <w:color w:val="231F20"/>
                <w:sz w:val="20"/>
              </w:rPr>
              <w:t>or computers)</w:t>
            </w:r>
          </w:p>
          <w:p>
            <w:pPr>
              <w:pStyle w:val="TableParagraph"/>
              <w:numPr>
                <w:ilvl w:val="0"/>
                <w:numId w:val="2"/>
              </w:numPr>
              <w:tabs>
                <w:tab w:pos="440" w:val="left" w:leader="none"/>
                <w:tab w:pos="442" w:val="left" w:leader="none"/>
              </w:tabs>
              <w:spacing w:line="247" w:lineRule="auto" w:before="79" w:after="0"/>
              <w:ind w:left="441" w:right="708" w:hanging="360"/>
              <w:jc w:val="left"/>
              <w:rPr>
                <w:sz w:val="20"/>
              </w:rPr>
            </w:pPr>
            <w:r>
              <w:rPr>
                <w:color w:val="231F20"/>
                <w:sz w:val="20"/>
              </w:rPr>
              <w:t>Client education (e.g., online psychoeducation</w:t>
            </w:r>
            <w:r>
              <w:rPr>
                <w:color w:val="231F20"/>
                <w:spacing w:val="-54"/>
                <w:sz w:val="20"/>
              </w:rPr>
              <w:t> </w:t>
            </w:r>
            <w:r>
              <w:rPr>
                <w:color w:val="231F20"/>
                <w:sz w:val="20"/>
              </w:rPr>
              <w:t>sessions</w:t>
            </w:r>
            <w:r>
              <w:rPr>
                <w:color w:val="231F20"/>
                <w:spacing w:val="-1"/>
                <w:sz w:val="20"/>
              </w:rPr>
              <w:t> </w:t>
            </w:r>
            <w:r>
              <w:rPr>
                <w:color w:val="231F20"/>
                <w:sz w:val="20"/>
              </w:rPr>
              <w:t>and workbooks)</w:t>
            </w:r>
          </w:p>
        </w:tc>
        <w:tc>
          <w:tcPr>
            <w:tcW w:w="2510" w:type="dxa"/>
          </w:tcPr>
          <w:p>
            <w:pPr>
              <w:pStyle w:val="TableParagraph"/>
              <w:spacing w:line="249" w:lineRule="auto" w:before="28"/>
              <w:ind w:left="81" w:right="410"/>
              <w:rPr>
                <w:sz w:val="20"/>
              </w:rPr>
            </w:pPr>
            <w:r>
              <w:rPr>
                <w:color w:val="231F20"/>
                <w:sz w:val="20"/>
              </w:rPr>
              <w:t>Web-based portals</w:t>
            </w:r>
            <w:r>
              <w:rPr>
                <w:color w:val="231F20"/>
                <w:spacing w:val="1"/>
                <w:sz w:val="20"/>
              </w:rPr>
              <w:t> </w:t>
            </w:r>
            <w:r>
              <w:rPr>
                <w:color w:val="231F20"/>
                <w:sz w:val="20"/>
              </w:rPr>
              <w:t>(i.e., client portals),</w:t>
            </w:r>
            <w:r>
              <w:rPr>
                <w:color w:val="231F20"/>
                <w:spacing w:val="1"/>
                <w:sz w:val="20"/>
              </w:rPr>
              <w:t> </w:t>
            </w:r>
            <w:r>
              <w:rPr>
                <w:color w:val="231F20"/>
                <w:sz w:val="20"/>
              </w:rPr>
              <w:t>email messages, text</w:t>
            </w:r>
            <w:r>
              <w:rPr>
                <w:color w:val="231F20"/>
                <w:spacing w:val="1"/>
                <w:sz w:val="20"/>
              </w:rPr>
              <w:t> </w:t>
            </w:r>
            <w:r>
              <w:rPr>
                <w:color w:val="231F20"/>
                <w:sz w:val="20"/>
              </w:rPr>
              <w:t>messages, mobile</w:t>
            </w:r>
            <w:r>
              <w:rPr>
                <w:color w:val="231F20"/>
                <w:spacing w:val="1"/>
                <w:sz w:val="20"/>
              </w:rPr>
              <w:t> </w:t>
            </w:r>
            <w:r>
              <w:rPr>
                <w:color w:val="231F20"/>
                <w:sz w:val="20"/>
              </w:rPr>
              <w:t>applications, symptom</w:t>
            </w:r>
            <w:r>
              <w:rPr>
                <w:color w:val="231F20"/>
                <w:spacing w:val="-54"/>
                <w:sz w:val="20"/>
              </w:rPr>
              <w:t> </w:t>
            </w:r>
            <w:r>
              <w:rPr>
                <w:color w:val="231F20"/>
                <w:sz w:val="20"/>
              </w:rPr>
              <w:t>management tracking,</w:t>
            </w:r>
            <w:r>
              <w:rPr>
                <w:color w:val="231F20"/>
                <w:spacing w:val="-54"/>
                <w:sz w:val="20"/>
              </w:rPr>
              <w:t> </w:t>
            </w:r>
            <w:r>
              <w:rPr>
                <w:color w:val="231F20"/>
                <w:sz w:val="20"/>
              </w:rPr>
              <w:t>sensors,</w:t>
            </w:r>
            <w:r>
              <w:rPr>
                <w:color w:val="231F20"/>
                <w:spacing w:val="-1"/>
                <w:sz w:val="20"/>
              </w:rPr>
              <w:t> </w:t>
            </w:r>
            <w:r>
              <w:rPr>
                <w:color w:val="231F20"/>
                <w:sz w:val="20"/>
              </w:rPr>
              <w:t>peripherals,</w:t>
            </w:r>
          </w:p>
          <w:p>
            <w:pPr>
              <w:pStyle w:val="TableParagraph"/>
              <w:spacing w:line="249" w:lineRule="auto" w:before="5"/>
              <w:ind w:left="81" w:right="132"/>
              <w:rPr>
                <w:sz w:val="11"/>
              </w:rPr>
            </w:pPr>
            <w:r>
              <w:rPr>
                <w:color w:val="231F20"/>
                <w:sz w:val="20"/>
              </w:rPr>
              <w:t>client education modules,</w:t>
            </w:r>
            <w:r>
              <w:rPr>
                <w:color w:val="231F20"/>
                <w:spacing w:val="-54"/>
                <w:sz w:val="20"/>
              </w:rPr>
              <w:t> </w:t>
            </w:r>
            <w:r>
              <w:rPr>
                <w:color w:val="231F20"/>
                <w:sz w:val="20"/>
              </w:rPr>
              <w:t>or electronic medical</w:t>
            </w:r>
            <w:r>
              <w:rPr>
                <w:color w:val="231F20"/>
                <w:spacing w:val="1"/>
                <w:sz w:val="20"/>
              </w:rPr>
              <w:t> </w:t>
            </w:r>
            <w:r>
              <w:rPr>
                <w:color w:val="231F20"/>
                <w:sz w:val="20"/>
              </w:rPr>
              <w:t>record data.</w:t>
            </w:r>
            <w:r>
              <w:rPr>
                <w:color w:val="231F20"/>
                <w:position w:val="7"/>
                <w:sz w:val="11"/>
              </w:rPr>
              <w:t>13-19</w:t>
            </w:r>
          </w:p>
        </w:tc>
      </w:tr>
    </w:tbl>
    <w:p>
      <w:pPr>
        <w:pStyle w:val="BodyText"/>
        <w:spacing w:before="1"/>
        <w:rPr>
          <w:sz w:val="6"/>
        </w:rPr>
      </w:pPr>
    </w:p>
    <w:p>
      <w:pPr>
        <w:spacing w:after="0"/>
        <w:rPr>
          <w:sz w:val="6"/>
        </w:rPr>
        <w:sectPr>
          <w:headerReference w:type="default" r:id="rId15"/>
          <w:footerReference w:type="default" r:id="rId16"/>
          <w:pgSz w:w="12240" w:h="15840"/>
          <w:pgMar w:header="0" w:footer="666" w:top="380" w:bottom="860" w:left="600" w:right="0"/>
        </w:sectPr>
      </w:pPr>
    </w:p>
    <w:p>
      <w:pPr>
        <w:pStyle w:val="BodyText"/>
        <w:spacing w:line="266" w:lineRule="auto" w:before="106"/>
        <w:ind w:left="112" w:right="21"/>
      </w:pPr>
      <w:r>
        <w:rPr>
          <w:color w:val="231F20"/>
        </w:rPr>
        <w:t>While telehealth is used in health care for a broad range</w:t>
      </w:r>
      <w:r>
        <w:rPr>
          <w:color w:val="231F20"/>
          <w:spacing w:val="-52"/>
        </w:rPr>
        <w:t> </w:t>
      </w:r>
      <w:r>
        <w:rPr>
          <w:color w:val="231F20"/>
        </w:rPr>
        <w:t>of ages and presenting problems, this guide focuses on</w:t>
      </w:r>
      <w:r>
        <w:rPr>
          <w:color w:val="231F20"/>
          <w:spacing w:val="1"/>
        </w:rPr>
        <w:t> </w:t>
      </w:r>
      <w:r>
        <w:rPr>
          <w:color w:val="231F20"/>
        </w:rPr>
        <w:t>synchronous, direct to consumer (sometimes referred to</w:t>
      </w:r>
      <w:r>
        <w:rPr>
          <w:color w:val="231F20"/>
          <w:spacing w:val="-52"/>
        </w:rPr>
        <w:t> </w:t>
      </w:r>
      <w:r>
        <w:rPr>
          <w:color w:val="231F20"/>
        </w:rPr>
        <w:t>as “D to C”) applications of telehealth for the treatment</w:t>
      </w:r>
      <w:r>
        <w:rPr>
          <w:color w:val="231F20"/>
          <w:spacing w:val="-52"/>
        </w:rPr>
        <w:t> </w:t>
      </w:r>
      <w:r>
        <w:rPr>
          <w:color w:val="231F20"/>
        </w:rPr>
        <w:t>of</w:t>
      </w:r>
      <w:r>
        <w:rPr>
          <w:color w:val="231F20"/>
          <w:spacing w:val="-1"/>
        </w:rPr>
        <w:t> </w:t>
      </w:r>
      <w:r>
        <w:rPr>
          <w:color w:val="231F20"/>
        </w:rPr>
        <w:t>SMI and</w:t>
      </w:r>
      <w:r>
        <w:rPr>
          <w:color w:val="231F20"/>
          <w:spacing w:val="-1"/>
        </w:rPr>
        <w:t> </w:t>
      </w:r>
      <w:r>
        <w:rPr>
          <w:color w:val="231F20"/>
        </w:rPr>
        <w:t>SUD among adults.</w:t>
      </w:r>
      <w:r>
        <w:rPr>
          <w:color w:val="231F20"/>
          <w:vertAlign w:val="superscript"/>
        </w:rPr>
        <w:t>20</w:t>
      </w:r>
    </w:p>
    <w:p>
      <w:pPr>
        <w:pStyle w:val="BodyText"/>
        <w:spacing w:line="266" w:lineRule="auto" w:before="176"/>
        <w:ind w:left="112" w:right="100"/>
      </w:pPr>
      <w:r>
        <w:rPr>
          <w:color w:val="231F20"/>
        </w:rPr>
        <w:t>Furthermore, this guide focuses on the needs of people</w:t>
      </w:r>
      <w:r>
        <w:rPr>
          <w:color w:val="231F20"/>
          <w:spacing w:val="-52"/>
        </w:rPr>
        <w:t> </w:t>
      </w:r>
      <w:r>
        <w:rPr>
          <w:color w:val="231F20"/>
        </w:rPr>
        <w:t>experiencing SMI and SUD, but readers can broadly</w:t>
      </w:r>
      <w:r>
        <w:rPr>
          <w:color w:val="231F20"/>
          <w:spacing w:val="1"/>
        </w:rPr>
        <w:t> </w:t>
      </w:r>
      <w:r>
        <w:rPr>
          <w:color w:val="231F20"/>
        </w:rPr>
        <w:t>apply its resources and lessons for the treatment of any</w:t>
      </w:r>
      <w:r>
        <w:rPr>
          <w:color w:val="231F20"/>
          <w:spacing w:val="-52"/>
        </w:rPr>
        <w:t> </w:t>
      </w:r>
      <w:r>
        <w:rPr>
          <w:color w:val="231F20"/>
        </w:rPr>
        <w:t>mental illness.</w:t>
      </w:r>
    </w:p>
    <w:p>
      <w:pPr>
        <w:pStyle w:val="Heading5"/>
        <w:spacing w:before="40"/>
        <w:ind w:left="112"/>
      </w:pPr>
      <w:r>
        <w:rPr>
          <w:b w:val="0"/>
        </w:rPr>
        <w:br w:type="column"/>
      </w:r>
      <w:r>
        <w:rPr>
          <w:color w:val="CE384B"/>
        </w:rPr>
        <w:t>Background</w:t>
      </w:r>
    </w:p>
    <w:p>
      <w:pPr>
        <w:pStyle w:val="BodyText"/>
        <w:spacing w:line="266" w:lineRule="auto" w:before="118"/>
        <w:ind w:left="112" w:right="799"/>
      </w:pPr>
      <w:r>
        <w:rPr>
          <w:color w:val="231F20"/>
        </w:rPr>
        <w:t>Telehealth can connect clients and providers in multiple</w:t>
      </w:r>
      <w:r>
        <w:rPr>
          <w:color w:val="231F20"/>
          <w:spacing w:val="-52"/>
        </w:rPr>
        <w:t> </w:t>
      </w:r>
      <w:r>
        <w:rPr>
          <w:color w:val="231F20"/>
        </w:rPr>
        <w:t>locations such as at a home, private space in a clinical</w:t>
      </w:r>
      <w:r>
        <w:rPr>
          <w:color w:val="231F20"/>
          <w:spacing w:val="1"/>
        </w:rPr>
        <w:t> </w:t>
      </w:r>
      <w:r>
        <w:rPr>
          <w:color w:val="231F20"/>
        </w:rPr>
        <w:t>setting, or another location in the community. The</w:t>
      </w:r>
      <w:r>
        <w:rPr>
          <w:color w:val="231F20"/>
          <w:spacing w:val="1"/>
        </w:rPr>
        <w:t> </w:t>
      </w:r>
      <w:r>
        <w:rPr>
          <w:color w:val="231F20"/>
        </w:rPr>
        <w:t>graphic below depicts examples of ways to connect</w:t>
      </w:r>
      <w:r>
        <w:rPr>
          <w:color w:val="231F20"/>
          <w:spacing w:val="1"/>
        </w:rPr>
        <w:t> </w:t>
      </w:r>
      <w:r>
        <w:rPr>
          <w:color w:val="231F20"/>
        </w:rPr>
        <w:t>using telehealth, but there are many ways to deliver and</w:t>
      </w:r>
      <w:r>
        <w:rPr>
          <w:color w:val="231F20"/>
          <w:spacing w:val="-52"/>
        </w:rPr>
        <w:t> </w:t>
      </w:r>
      <w:r>
        <w:rPr>
          <w:color w:val="231F20"/>
        </w:rPr>
        <w:t>receive care that address connectivity barriers and client</w:t>
      </w:r>
      <w:r>
        <w:rPr>
          <w:color w:val="231F20"/>
          <w:spacing w:val="-52"/>
        </w:rPr>
        <w:t> </w:t>
      </w:r>
      <w:r>
        <w:rPr>
          <w:color w:val="231F20"/>
        </w:rPr>
        <w:t>preferences.</w:t>
      </w:r>
    </w:p>
    <w:p>
      <w:pPr>
        <w:spacing w:after="0" w:line="266" w:lineRule="auto"/>
        <w:sectPr>
          <w:type w:val="continuous"/>
          <w:pgSz w:w="12240" w:h="15840"/>
          <w:pgMar w:header="0" w:footer="666" w:top="1500" w:bottom="0" w:left="600" w:right="0"/>
          <w:cols w:num="2" w:equalWidth="0">
            <w:col w:w="5065" w:space="702"/>
            <w:col w:w="5873"/>
          </w:cols>
        </w:sectPr>
      </w:pPr>
    </w:p>
    <w:p>
      <w:pPr>
        <w:pStyle w:val="BodyText"/>
        <w:spacing w:before="4" w:after="1"/>
        <w:rPr>
          <w:sz w:val="21"/>
        </w:rPr>
      </w:pPr>
    </w:p>
    <w:p>
      <w:pPr>
        <w:pStyle w:val="BodyText"/>
        <w:ind w:left="376"/>
        <w:rPr>
          <w:sz w:val="20"/>
        </w:rPr>
      </w:pPr>
      <w:r>
        <w:rPr>
          <w:sz w:val="20"/>
        </w:rPr>
        <w:drawing>
          <wp:inline distT="0" distB="0" distL="0" distR="0">
            <wp:extent cx="6437510" cy="2496312"/>
            <wp:effectExtent l="0" t="0" r="0" b="0"/>
            <wp:docPr id="5" name="image5.jpeg" descr="This graphic depicts the variety of locations telehealth can be used to connect clients and providers. The graphic has an icon at the top representing a telehealth visit with four icons underneath depicting: clinic to home, clinic to clinic, home to home, and clinic to community (e.g., private location, homeless shelter).  "/>
            <wp:cNvGraphicFramePr>
              <a:graphicFrameLocks noChangeAspect="1"/>
            </wp:cNvGraphicFramePr>
            <a:graphic>
              <a:graphicData uri="http://schemas.openxmlformats.org/drawingml/2006/picture">
                <pic:pic>
                  <pic:nvPicPr>
                    <pic:cNvPr id="6" name="image5.jpeg"/>
                    <pic:cNvPicPr/>
                  </pic:nvPicPr>
                  <pic:blipFill>
                    <a:blip r:embed="rId17" cstate="print"/>
                    <a:stretch>
                      <a:fillRect/>
                    </a:stretch>
                  </pic:blipFill>
                  <pic:spPr>
                    <a:xfrm>
                      <a:off x="0" y="0"/>
                      <a:ext cx="6437510" cy="2496312"/>
                    </a:xfrm>
                    <a:prstGeom prst="rect">
                      <a:avLst/>
                    </a:prstGeom>
                  </pic:spPr>
                </pic:pic>
              </a:graphicData>
            </a:graphic>
          </wp:inline>
        </w:drawing>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1"/>
        <w:ind w:left="120" w:right="21"/>
      </w:pPr>
      <w:r>
        <w:rPr>
          <w:color w:val="231F20"/>
        </w:rPr>
        <w:t>A variety of providers (e.g., psychiatrists, primary care</w:t>
      </w:r>
      <w:r>
        <w:rPr>
          <w:color w:val="231F20"/>
          <w:spacing w:val="1"/>
        </w:rPr>
        <w:t> </w:t>
      </w:r>
      <w:r>
        <w:rPr>
          <w:color w:val="231F20"/>
        </w:rPr>
        <w:t>providers, mental health counselors, social workers,</w:t>
      </w:r>
      <w:r>
        <w:rPr>
          <w:color w:val="231F20"/>
          <w:spacing w:val="1"/>
        </w:rPr>
        <w:t> </w:t>
      </w:r>
      <w:r>
        <w:rPr>
          <w:color w:val="231F20"/>
        </w:rPr>
        <w:t>psychologists, addiction counselors, case managers,</w:t>
      </w:r>
      <w:r>
        <w:rPr>
          <w:color w:val="231F20"/>
          <w:spacing w:val="1"/>
        </w:rPr>
        <w:t> </w:t>
      </w:r>
      <w:r>
        <w:rPr>
          <w:color w:val="231F20"/>
        </w:rPr>
        <w:t>opioid treatment providers, peer workers) can implement</w:t>
      </w:r>
      <w:r>
        <w:rPr>
          <w:color w:val="231F20"/>
          <w:spacing w:val="-52"/>
        </w:rPr>
        <w:t> </w:t>
      </w:r>
      <w:r>
        <w:rPr>
          <w:color w:val="231F20"/>
        </w:rPr>
        <w:t>telehealth methods. In addition, practitioners can</w:t>
      </w:r>
    </w:p>
    <w:p>
      <w:pPr>
        <w:pStyle w:val="BodyText"/>
        <w:spacing w:line="266" w:lineRule="auto"/>
        <w:ind w:left="120" w:right="283"/>
      </w:pPr>
      <w:r>
        <w:rPr>
          <w:color w:val="231F20"/>
        </w:rPr>
        <w:t>use telehealth with a hybrid approach for increased</w:t>
      </w:r>
      <w:r>
        <w:rPr>
          <w:color w:val="231F20"/>
          <w:spacing w:val="1"/>
        </w:rPr>
        <w:t> </w:t>
      </w:r>
      <w:r>
        <w:rPr>
          <w:color w:val="231F20"/>
        </w:rPr>
        <w:t>flexibility. For instance, a client can receive both in-</w:t>
      </w:r>
      <w:r>
        <w:rPr>
          <w:color w:val="231F20"/>
          <w:spacing w:val="1"/>
        </w:rPr>
        <w:t> </w:t>
      </w:r>
      <w:r>
        <w:rPr>
          <w:color w:val="231F20"/>
        </w:rPr>
        <w:t>person and telehealth visits throughout their treatment</w:t>
      </w:r>
      <w:r>
        <w:rPr>
          <w:color w:val="231F20"/>
          <w:spacing w:val="-52"/>
        </w:rPr>
        <w:t> </w:t>
      </w:r>
      <w:r>
        <w:rPr>
          <w:color w:val="231F20"/>
        </w:rPr>
        <w:t>process depending</w:t>
      </w:r>
      <w:r>
        <w:rPr>
          <w:color w:val="231F20"/>
          <w:spacing w:val="-1"/>
        </w:rPr>
        <w:t> </w:t>
      </w:r>
      <w:r>
        <w:rPr>
          <w:color w:val="231F20"/>
        </w:rPr>
        <w:t>on their needs and preferences.</w:t>
      </w:r>
    </w:p>
    <w:p>
      <w:pPr>
        <w:pStyle w:val="BodyText"/>
        <w:spacing w:line="266" w:lineRule="auto" w:before="173"/>
        <w:ind w:left="120" w:right="111"/>
      </w:pPr>
      <w:r>
        <w:rPr>
          <w:color w:val="231F20"/>
        </w:rPr>
        <w:t>Telehealth methods can be implemented during public</w:t>
      </w:r>
      <w:r>
        <w:rPr>
          <w:color w:val="231F20"/>
          <w:spacing w:val="1"/>
        </w:rPr>
        <w:t> </w:t>
      </w:r>
      <w:r>
        <w:rPr>
          <w:color w:val="231F20"/>
        </w:rPr>
        <w:t>health emergencies (e.g., pandemics, infectious disease</w:t>
      </w:r>
      <w:r>
        <w:rPr>
          <w:color w:val="231F20"/>
          <w:spacing w:val="1"/>
        </w:rPr>
        <w:t> </w:t>
      </w:r>
      <w:r>
        <w:rPr>
          <w:color w:val="231F20"/>
          <w:w w:val="95"/>
        </w:rPr>
        <w:t>outbreaks,</w:t>
      </w:r>
      <w:r>
        <w:rPr>
          <w:color w:val="231F20"/>
          <w:spacing w:val="40"/>
          <w:w w:val="95"/>
        </w:rPr>
        <w:t> </w:t>
      </w:r>
      <w:r>
        <w:rPr>
          <w:color w:val="231F20"/>
          <w:w w:val="95"/>
        </w:rPr>
        <w:t>wildfires,</w:t>
      </w:r>
      <w:r>
        <w:rPr>
          <w:color w:val="231F20"/>
          <w:spacing w:val="38"/>
          <w:w w:val="95"/>
        </w:rPr>
        <w:t> </w:t>
      </w:r>
      <w:r>
        <w:rPr>
          <w:color w:val="231F20"/>
          <w:w w:val="95"/>
        </w:rPr>
        <w:t>flooding,</w:t>
      </w:r>
      <w:r>
        <w:rPr>
          <w:color w:val="231F20"/>
          <w:spacing w:val="39"/>
          <w:w w:val="95"/>
        </w:rPr>
        <w:t> </w:t>
      </w:r>
      <w:r>
        <w:rPr>
          <w:color w:val="231F20"/>
          <w:w w:val="95"/>
        </w:rPr>
        <w:t>tornadoes,</w:t>
      </w:r>
      <w:r>
        <w:rPr>
          <w:color w:val="231F20"/>
          <w:spacing w:val="40"/>
          <w:w w:val="95"/>
        </w:rPr>
        <w:t> </w:t>
      </w:r>
      <w:r>
        <w:rPr>
          <w:color w:val="231F20"/>
          <w:w w:val="95"/>
        </w:rPr>
        <w:t>hurricanes)</w:t>
      </w:r>
      <w:r>
        <w:rPr>
          <w:color w:val="010202"/>
          <w:w w:val="95"/>
          <w:vertAlign w:val="superscript"/>
        </w:rPr>
        <w:t>21-25</w:t>
      </w:r>
      <w:r>
        <w:rPr>
          <w:color w:val="010202"/>
          <w:spacing w:val="-49"/>
          <w:w w:val="95"/>
          <w:vertAlign w:val="baseline"/>
        </w:rPr>
        <w:t> </w:t>
      </w:r>
      <w:r>
        <w:rPr>
          <w:color w:val="010202"/>
          <w:vertAlign w:val="baseline"/>
        </w:rPr>
        <w:t>to extend networks of providers (e.g., tapping into out-</w:t>
      </w:r>
      <w:r>
        <w:rPr>
          <w:color w:val="010202"/>
          <w:spacing w:val="1"/>
          <w:vertAlign w:val="baseline"/>
        </w:rPr>
        <w:t> </w:t>
      </w:r>
      <w:r>
        <w:rPr>
          <w:color w:val="010202"/>
          <w:vertAlign w:val="baseline"/>
        </w:rPr>
        <w:t>of-state providers to increase capacity). They can also</w:t>
      </w:r>
      <w:r>
        <w:rPr>
          <w:color w:val="010202"/>
          <w:spacing w:val="1"/>
          <w:vertAlign w:val="baseline"/>
        </w:rPr>
        <w:t> </w:t>
      </w:r>
      <w:r>
        <w:rPr>
          <w:color w:val="010202"/>
          <w:vertAlign w:val="baseline"/>
        </w:rPr>
        <w:t>expand capacity to provide direct client care when in-</w:t>
      </w:r>
      <w:r>
        <w:rPr>
          <w:color w:val="010202"/>
          <w:spacing w:val="1"/>
          <w:vertAlign w:val="baseline"/>
        </w:rPr>
        <w:t> </w:t>
      </w:r>
      <w:r>
        <w:rPr>
          <w:color w:val="010202"/>
          <w:vertAlign w:val="baseline"/>
        </w:rPr>
        <w:t>person, face-to-face interactions are not possible due to</w:t>
      </w:r>
      <w:r>
        <w:rPr>
          <w:color w:val="010202"/>
          <w:spacing w:val="1"/>
          <w:vertAlign w:val="baseline"/>
        </w:rPr>
        <w:t> </w:t>
      </w:r>
      <w:r>
        <w:rPr>
          <w:color w:val="010202"/>
          <w:vertAlign w:val="baseline"/>
        </w:rPr>
        <w:t>geographic barriers or a lack of providers or treatments</w:t>
      </w:r>
      <w:r>
        <w:rPr>
          <w:color w:val="010202"/>
          <w:spacing w:val="1"/>
          <w:vertAlign w:val="baseline"/>
        </w:rPr>
        <w:t> </w:t>
      </w:r>
      <w:r>
        <w:rPr>
          <w:color w:val="010202"/>
          <w:vertAlign w:val="baseline"/>
        </w:rPr>
        <w:t>in a given area. However, implementation of telehealth</w:t>
      </w:r>
      <w:r>
        <w:rPr>
          <w:color w:val="010202"/>
          <w:spacing w:val="1"/>
          <w:vertAlign w:val="baseline"/>
        </w:rPr>
        <w:t> </w:t>
      </w:r>
      <w:r>
        <w:rPr>
          <w:color w:val="010202"/>
          <w:vertAlign w:val="baseline"/>
        </w:rPr>
        <w:t>methods</w:t>
      </w:r>
      <w:r>
        <w:rPr>
          <w:color w:val="010202"/>
          <w:spacing w:val="-1"/>
          <w:vertAlign w:val="baseline"/>
        </w:rPr>
        <w:t> </w:t>
      </w:r>
      <w:r>
        <w:rPr>
          <w:color w:val="010202"/>
          <w:vertAlign w:val="baseline"/>
        </w:rPr>
        <w:t>should not be</w:t>
      </w:r>
      <w:r>
        <w:rPr>
          <w:color w:val="010202"/>
          <w:spacing w:val="-1"/>
          <w:vertAlign w:val="baseline"/>
        </w:rPr>
        <w:t> </w:t>
      </w:r>
      <w:r>
        <w:rPr>
          <w:color w:val="010202"/>
          <w:vertAlign w:val="baseline"/>
        </w:rPr>
        <w:t>reserved for emergencies</w:t>
      </w:r>
      <w:r>
        <w:rPr>
          <w:color w:val="010202"/>
          <w:spacing w:val="-1"/>
          <w:vertAlign w:val="baseline"/>
        </w:rPr>
        <w:t> </w:t>
      </w:r>
      <w:r>
        <w:rPr>
          <w:color w:val="010202"/>
          <w:vertAlign w:val="baseline"/>
        </w:rPr>
        <w:t>or</w:t>
      </w:r>
    </w:p>
    <w:p>
      <w:pPr>
        <w:pStyle w:val="BodyText"/>
        <w:spacing w:line="266" w:lineRule="auto"/>
        <w:ind w:left="120" w:right="156"/>
      </w:pPr>
      <w:r>
        <w:rPr>
          <w:color w:val="010202"/>
        </w:rPr>
        <w:t>to serve as a bridge between providers and rural or</w:t>
      </w:r>
      <w:r>
        <w:rPr>
          <w:color w:val="010202"/>
          <w:spacing w:val="1"/>
        </w:rPr>
        <w:t> </w:t>
      </w:r>
      <w:r>
        <w:rPr>
          <w:color w:val="010202"/>
        </w:rPr>
        <w:t>underserved areas. Telehealth can be integrated into an</w:t>
      </w:r>
      <w:r>
        <w:rPr>
          <w:color w:val="010202"/>
          <w:spacing w:val="1"/>
        </w:rPr>
        <w:t> </w:t>
      </w:r>
      <w:r>
        <w:rPr>
          <w:color w:val="010202"/>
        </w:rPr>
        <w:t>organization’s</w:t>
      </w:r>
      <w:r>
        <w:rPr>
          <w:color w:val="010202"/>
          <w:spacing w:val="-7"/>
        </w:rPr>
        <w:t> </w:t>
      </w:r>
      <w:r>
        <w:rPr>
          <w:color w:val="010202"/>
        </w:rPr>
        <w:t>standard</w:t>
      </w:r>
      <w:r>
        <w:rPr>
          <w:color w:val="010202"/>
          <w:spacing w:val="-7"/>
        </w:rPr>
        <w:t> </w:t>
      </w:r>
      <w:r>
        <w:rPr>
          <w:color w:val="010202"/>
        </w:rPr>
        <w:t>practices,</w:t>
      </w:r>
      <w:r>
        <w:rPr>
          <w:color w:val="010202"/>
          <w:spacing w:val="-5"/>
        </w:rPr>
        <w:t> </w:t>
      </w:r>
      <w:r>
        <w:rPr>
          <w:color w:val="231F20"/>
        </w:rPr>
        <w:t>providing</w:t>
      </w:r>
      <w:r>
        <w:rPr>
          <w:color w:val="231F20"/>
          <w:spacing w:val="-6"/>
        </w:rPr>
        <w:t> </w:t>
      </w:r>
      <w:r>
        <w:rPr>
          <w:color w:val="231F20"/>
        </w:rPr>
        <w:t>low-barrier</w:t>
      </w:r>
      <w:r>
        <w:rPr>
          <w:color w:val="231F20"/>
          <w:spacing w:val="-52"/>
        </w:rPr>
        <w:t> </w:t>
      </w:r>
      <w:r>
        <w:rPr>
          <w:color w:val="231F20"/>
        </w:rPr>
        <w:t>pathways for clients and providers to connect to and</w:t>
      </w:r>
      <w:r>
        <w:rPr>
          <w:color w:val="231F20"/>
          <w:spacing w:val="1"/>
        </w:rPr>
        <w:t> </w:t>
      </w:r>
      <w:r>
        <w:rPr>
          <w:color w:val="231F20"/>
        </w:rPr>
        <w:t>assess treatment needs, create treatment plans, initiate</w:t>
      </w:r>
      <w:r>
        <w:rPr>
          <w:color w:val="231F20"/>
          <w:spacing w:val="1"/>
        </w:rPr>
        <w:t> </w:t>
      </w:r>
      <w:r>
        <w:rPr>
          <w:color w:val="231F20"/>
        </w:rPr>
        <w:t>treatment, and provide long-term continuity of care.</w:t>
      </w:r>
    </w:p>
    <w:p>
      <w:pPr>
        <w:pStyle w:val="BodyText"/>
        <w:spacing w:line="266" w:lineRule="auto" w:before="167"/>
        <w:ind w:left="120" w:right="158"/>
      </w:pPr>
      <w:r>
        <w:rPr>
          <w:color w:val="231F20"/>
          <w:spacing w:val="-1"/>
        </w:rPr>
        <w:t>SMI and SUD impact millions </w:t>
      </w:r>
      <w:r>
        <w:rPr>
          <w:color w:val="231F20"/>
        </w:rPr>
        <w:t>of Americans. However,</w:t>
      </w:r>
      <w:r>
        <w:rPr>
          <w:color w:val="231F20"/>
          <w:spacing w:val="-52"/>
        </w:rPr>
        <w:t> </w:t>
      </w:r>
      <w:r>
        <w:rPr>
          <w:color w:val="231F20"/>
        </w:rPr>
        <w:t>for a variety of reasons and despite a perceived need,</w:t>
      </w:r>
      <w:r>
        <w:rPr>
          <w:color w:val="231F20"/>
          <w:spacing w:val="1"/>
        </w:rPr>
        <w:t> </w:t>
      </w:r>
      <w:r>
        <w:rPr>
          <w:color w:val="231F20"/>
        </w:rPr>
        <w:t>many do not seek treatment.</w:t>
      </w:r>
    </w:p>
    <w:p>
      <w:pPr>
        <w:pStyle w:val="ListParagraph"/>
        <w:numPr>
          <w:ilvl w:val="0"/>
          <w:numId w:val="3"/>
        </w:numPr>
        <w:tabs>
          <w:tab w:pos="839" w:val="left" w:leader="none"/>
          <w:tab w:pos="840" w:val="left" w:leader="none"/>
        </w:tabs>
        <w:spacing w:line="264" w:lineRule="auto" w:before="162" w:after="0"/>
        <w:ind w:left="839" w:right="75" w:hanging="360"/>
        <w:jc w:val="left"/>
        <w:rPr>
          <w:sz w:val="22"/>
        </w:rPr>
      </w:pPr>
      <w:r>
        <w:rPr>
          <w:color w:val="010202"/>
          <w:sz w:val="22"/>
        </w:rPr>
        <w:t>Among adults aged 18 or older in 2019, 5.2</w:t>
      </w:r>
      <w:r>
        <w:rPr>
          <w:color w:val="010202"/>
          <w:spacing w:val="1"/>
          <w:sz w:val="22"/>
        </w:rPr>
        <w:t> </w:t>
      </w:r>
      <w:r>
        <w:rPr>
          <w:color w:val="010202"/>
          <w:sz w:val="22"/>
        </w:rPr>
        <w:t>percent (13.1 million people) had an SMI. Of</w:t>
      </w:r>
      <w:r>
        <w:rPr>
          <w:color w:val="010202"/>
          <w:spacing w:val="1"/>
          <w:sz w:val="22"/>
        </w:rPr>
        <w:t> </w:t>
      </w:r>
      <w:r>
        <w:rPr>
          <w:color w:val="010202"/>
          <w:sz w:val="22"/>
        </w:rPr>
        <w:t>those, 47.7 percent (6.2 million people) reported</w:t>
      </w:r>
      <w:r>
        <w:rPr>
          <w:color w:val="010202"/>
          <w:spacing w:val="-52"/>
          <w:sz w:val="22"/>
        </w:rPr>
        <w:t> </w:t>
      </w:r>
      <w:r>
        <w:rPr>
          <w:color w:val="010202"/>
          <w:sz w:val="22"/>
        </w:rPr>
        <w:t>an unmet need for mental health services in the</w:t>
      </w:r>
      <w:r>
        <w:rPr>
          <w:color w:val="010202"/>
          <w:spacing w:val="1"/>
          <w:sz w:val="22"/>
        </w:rPr>
        <w:t> </w:t>
      </w:r>
      <w:r>
        <w:rPr>
          <w:color w:val="010202"/>
          <w:sz w:val="22"/>
        </w:rPr>
        <w:t>past</w:t>
      </w:r>
      <w:r>
        <w:rPr>
          <w:color w:val="010202"/>
          <w:spacing w:val="-1"/>
          <w:sz w:val="22"/>
        </w:rPr>
        <w:t> </w:t>
      </w:r>
      <w:r>
        <w:rPr>
          <w:color w:val="010202"/>
          <w:sz w:val="22"/>
        </w:rPr>
        <w:t>year.</w:t>
      </w:r>
    </w:p>
    <w:p>
      <w:pPr>
        <w:pStyle w:val="ListParagraph"/>
        <w:numPr>
          <w:ilvl w:val="0"/>
          <w:numId w:val="3"/>
        </w:numPr>
        <w:tabs>
          <w:tab w:pos="839" w:val="left" w:leader="none"/>
          <w:tab w:pos="840" w:val="left" w:leader="none"/>
        </w:tabs>
        <w:spacing w:line="240" w:lineRule="auto" w:before="81" w:after="0"/>
        <w:ind w:left="839" w:right="0" w:hanging="361"/>
        <w:jc w:val="left"/>
        <w:rPr>
          <w:sz w:val="22"/>
        </w:rPr>
      </w:pPr>
      <w:r>
        <w:rPr>
          <w:color w:val="010202"/>
          <w:sz w:val="22"/>
        </w:rPr>
        <w:t>Among people aged 12 or older in 2019,</w:t>
      </w:r>
    </w:p>
    <w:p>
      <w:pPr>
        <w:pStyle w:val="BodyText"/>
        <w:spacing w:line="266" w:lineRule="auto" w:before="26"/>
        <w:ind w:left="839" w:right="130"/>
      </w:pPr>
      <w:r>
        <w:rPr>
          <w:color w:val="010202"/>
        </w:rPr>
        <w:t>7.4 percent (20.4 million people) reported</w:t>
      </w:r>
      <w:r>
        <w:rPr>
          <w:color w:val="010202"/>
          <w:spacing w:val="1"/>
        </w:rPr>
        <w:t> </w:t>
      </w:r>
      <w:r>
        <w:rPr>
          <w:color w:val="010202"/>
        </w:rPr>
        <w:t>experiencing a SUD. Among people aged 12 or</w:t>
      </w:r>
      <w:r>
        <w:rPr>
          <w:color w:val="010202"/>
          <w:spacing w:val="-52"/>
        </w:rPr>
        <w:t> </w:t>
      </w:r>
      <w:r>
        <w:rPr>
          <w:color w:val="010202"/>
        </w:rPr>
        <w:t>older in 2019, 7.8 percent (21.6 million people)</w:t>
      </w:r>
      <w:r>
        <w:rPr>
          <w:color w:val="010202"/>
          <w:spacing w:val="-52"/>
        </w:rPr>
        <w:t> </w:t>
      </w:r>
      <w:r>
        <w:rPr>
          <w:color w:val="010202"/>
        </w:rPr>
        <w:t>needed</w:t>
      </w:r>
      <w:r>
        <w:rPr>
          <w:color w:val="010202"/>
          <w:spacing w:val="-4"/>
        </w:rPr>
        <w:t> </w:t>
      </w:r>
      <w:r>
        <w:rPr>
          <w:color w:val="010202"/>
        </w:rPr>
        <w:t>substance</w:t>
      </w:r>
      <w:r>
        <w:rPr>
          <w:color w:val="010202"/>
          <w:spacing w:val="-4"/>
        </w:rPr>
        <w:t> </w:t>
      </w:r>
      <w:r>
        <w:rPr>
          <w:color w:val="010202"/>
        </w:rPr>
        <w:t>use</w:t>
      </w:r>
      <w:r>
        <w:rPr>
          <w:color w:val="010202"/>
          <w:spacing w:val="-4"/>
        </w:rPr>
        <w:t> </w:t>
      </w:r>
      <w:r>
        <w:rPr>
          <w:color w:val="010202"/>
        </w:rPr>
        <w:t>treatment</w:t>
      </w:r>
      <w:r>
        <w:rPr>
          <w:color w:val="010202"/>
          <w:spacing w:val="-4"/>
        </w:rPr>
        <w:t> </w:t>
      </w:r>
      <w:r>
        <w:rPr>
          <w:color w:val="010202"/>
        </w:rPr>
        <w:t>in</w:t>
      </w:r>
      <w:r>
        <w:rPr>
          <w:color w:val="010202"/>
          <w:spacing w:val="-4"/>
        </w:rPr>
        <w:t> </w:t>
      </w:r>
      <w:r>
        <w:rPr>
          <w:color w:val="010202"/>
        </w:rPr>
        <w:t>the</w:t>
      </w:r>
      <w:r>
        <w:rPr>
          <w:color w:val="010202"/>
          <w:spacing w:val="-4"/>
        </w:rPr>
        <w:t> </w:t>
      </w:r>
      <w:r>
        <w:rPr>
          <w:color w:val="010202"/>
        </w:rPr>
        <w:t>past</w:t>
      </w:r>
      <w:r>
        <w:rPr>
          <w:color w:val="010202"/>
          <w:spacing w:val="-4"/>
        </w:rPr>
        <w:t> </w:t>
      </w:r>
      <w:r>
        <w:rPr>
          <w:color w:val="010202"/>
        </w:rPr>
        <w:t>year.</w:t>
      </w:r>
      <w:r>
        <w:rPr>
          <w:color w:val="010202"/>
          <w:spacing w:val="-52"/>
        </w:rPr>
        <w:t> </w:t>
      </w:r>
      <w:r>
        <w:rPr>
          <w:color w:val="010202"/>
        </w:rPr>
        <w:t>Of these 21.6 million people, 12.2 percent (2.6</w:t>
      </w:r>
      <w:r>
        <w:rPr>
          <w:color w:val="010202"/>
          <w:spacing w:val="1"/>
        </w:rPr>
        <w:t> </w:t>
      </w:r>
      <w:r>
        <w:rPr>
          <w:color w:val="010202"/>
        </w:rPr>
        <w:t>million) received substance use treatment at a</w:t>
      </w:r>
      <w:r>
        <w:rPr>
          <w:color w:val="010202"/>
          <w:spacing w:val="1"/>
        </w:rPr>
        <w:t> </w:t>
      </w:r>
      <w:r>
        <w:rPr>
          <w:color w:val="010202"/>
        </w:rPr>
        <w:t>specialty</w:t>
      </w:r>
      <w:r>
        <w:rPr>
          <w:color w:val="010202"/>
          <w:spacing w:val="-1"/>
        </w:rPr>
        <w:t> </w:t>
      </w:r>
      <w:r>
        <w:rPr>
          <w:color w:val="010202"/>
        </w:rPr>
        <w:t>facility.</w:t>
      </w:r>
      <w:r>
        <w:rPr>
          <w:color w:val="010202"/>
          <w:vertAlign w:val="superscript"/>
        </w:rPr>
        <w:t>26</w:t>
      </w:r>
    </w:p>
    <w:p>
      <w:pPr>
        <w:pStyle w:val="BodyText"/>
        <w:spacing w:line="266" w:lineRule="auto" w:before="173"/>
        <w:ind w:left="120" w:right="283"/>
      </w:pPr>
      <w:r>
        <w:rPr>
          <w:color w:val="231F20"/>
        </w:rPr>
        <w:t>Telehealth has the potential to address this treatment</w:t>
      </w:r>
      <w:r>
        <w:rPr>
          <w:color w:val="231F20"/>
          <w:spacing w:val="1"/>
        </w:rPr>
        <w:t> </w:t>
      </w:r>
      <w:r>
        <w:rPr>
          <w:color w:val="231F20"/>
        </w:rPr>
        <w:t>gap, making treatment services more accessible and</w:t>
      </w:r>
      <w:r>
        <w:rPr>
          <w:color w:val="231F20"/>
          <w:spacing w:val="1"/>
        </w:rPr>
        <w:t> </w:t>
      </w:r>
      <w:r>
        <w:rPr>
          <w:color w:val="231F20"/>
        </w:rPr>
        <w:t>convenient,</w:t>
      </w:r>
      <w:r>
        <w:rPr>
          <w:color w:val="231F20"/>
          <w:spacing w:val="-4"/>
        </w:rPr>
        <w:t> </w:t>
      </w:r>
      <w:r>
        <w:rPr>
          <w:color w:val="231F20"/>
        </w:rPr>
        <w:t>improving</w:t>
      </w:r>
      <w:r>
        <w:rPr>
          <w:color w:val="231F20"/>
          <w:spacing w:val="-3"/>
        </w:rPr>
        <w:t> </w:t>
      </w:r>
      <w:r>
        <w:rPr>
          <w:color w:val="231F20"/>
        </w:rPr>
        <w:t>health</w:t>
      </w:r>
      <w:r>
        <w:rPr>
          <w:color w:val="231F20"/>
          <w:spacing w:val="-3"/>
        </w:rPr>
        <w:t> </w:t>
      </w:r>
      <w:r>
        <w:rPr>
          <w:color w:val="231F20"/>
        </w:rPr>
        <w:t>outcomes,</w:t>
      </w:r>
      <w:r>
        <w:rPr>
          <w:color w:val="231F20"/>
          <w:spacing w:val="-3"/>
        </w:rPr>
        <w:t> </w:t>
      </w:r>
      <w:r>
        <w:rPr>
          <w:color w:val="231F20"/>
        </w:rPr>
        <w:t>and</w:t>
      </w:r>
      <w:r>
        <w:rPr>
          <w:color w:val="231F20"/>
          <w:spacing w:val="-3"/>
        </w:rPr>
        <w:t> </w:t>
      </w:r>
      <w:r>
        <w:rPr>
          <w:color w:val="231F20"/>
        </w:rPr>
        <w:t>reducing</w:t>
      </w:r>
    </w:p>
    <w:p>
      <w:pPr>
        <w:pStyle w:val="BodyText"/>
        <w:spacing w:line="266" w:lineRule="auto" w:before="91"/>
        <w:ind w:left="120" w:right="816"/>
      </w:pPr>
      <w:r>
        <w:rPr/>
        <w:br w:type="column"/>
      </w:r>
      <w:r>
        <w:rPr>
          <w:color w:val="231F20"/>
        </w:rPr>
        <w:t>health disparities. Clients experiencing SMI and SUD</w:t>
      </w:r>
      <w:r>
        <w:rPr>
          <w:color w:val="231F20"/>
          <w:spacing w:val="1"/>
        </w:rPr>
        <w:t> </w:t>
      </w:r>
      <w:r>
        <w:rPr>
          <w:color w:val="231F20"/>
        </w:rPr>
        <w:t>have traditionally been excluded from both treatments</w:t>
      </w:r>
      <w:r>
        <w:rPr>
          <w:color w:val="231F20"/>
          <w:spacing w:val="1"/>
        </w:rPr>
        <w:t> </w:t>
      </w:r>
      <w:r>
        <w:rPr>
          <w:color w:val="231F20"/>
        </w:rPr>
        <w:t>delivered through telehealth and research evaluating the</w:t>
      </w:r>
      <w:r>
        <w:rPr>
          <w:color w:val="231F20"/>
          <w:spacing w:val="-52"/>
        </w:rPr>
        <w:t> </w:t>
      </w:r>
      <w:r>
        <w:rPr>
          <w:color w:val="231F20"/>
        </w:rPr>
        <w:t>efficacy of telehealth among people experiencing SMI</w:t>
      </w:r>
      <w:r>
        <w:rPr>
          <w:color w:val="231F20"/>
          <w:spacing w:val="1"/>
        </w:rPr>
        <w:t> </w:t>
      </w:r>
      <w:r>
        <w:rPr>
          <w:color w:val="231F20"/>
        </w:rPr>
        <w:t>and SUD. However, telehealth is a tool that providers</w:t>
      </w:r>
      <w:r>
        <w:rPr>
          <w:color w:val="231F20"/>
          <w:spacing w:val="1"/>
        </w:rPr>
        <w:t> </w:t>
      </w:r>
      <w:r>
        <w:rPr>
          <w:color w:val="231F20"/>
        </w:rPr>
        <w:t>can use for all clients.</w:t>
      </w:r>
    </w:p>
    <w:p>
      <w:pPr>
        <w:pStyle w:val="BodyText"/>
        <w:spacing w:line="266" w:lineRule="auto" w:before="175"/>
        <w:ind w:left="120" w:right="767"/>
      </w:pPr>
      <w:r>
        <w:rPr>
          <w:color w:val="231F20"/>
        </w:rPr>
        <w:t>Appropriate and additional upfront work, provider-</w:t>
      </w:r>
      <w:r>
        <w:rPr>
          <w:color w:val="231F20"/>
          <w:spacing w:val="1"/>
        </w:rPr>
        <w:t> </w:t>
      </w:r>
      <w:r>
        <w:rPr>
          <w:color w:val="231F20"/>
        </w:rPr>
        <w:t>client agreements, and safeguards can ensure that clients</w:t>
      </w:r>
      <w:r>
        <w:rPr>
          <w:color w:val="231F20"/>
          <w:spacing w:val="-52"/>
        </w:rPr>
        <w:t> </w:t>
      </w:r>
      <w:r>
        <w:rPr>
          <w:color w:val="231F20"/>
        </w:rPr>
        <w:t>experiencing SMI and SUD benefit from services</w:t>
      </w:r>
      <w:r>
        <w:rPr>
          <w:color w:val="231F20"/>
          <w:spacing w:val="1"/>
        </w:rPr>
        <w:t> </w:t>
      </w:r>
      <w:r>
        <w:rPr>
          <w:color w:val="231F20"/>
        </w:rPr>
        <w:t>delivered via telehealth. Providers can use assessments</w:t>
      </w:r>
      <w:r>
        <w:rPr>
          <w:color w:val="231F20"/>
          <w:spacing w:val="1"/>
        </w:rPr>
        <w:t> </w:t>
      </w:r>
      <w:r>
        <w:rPr>
          <w:color w:val="231F20"/>
        </w:rPr>
        <w:t>(further discussed</w:t>
      </w:r>
      <w:r>
        <w:rPr>
          <w:color w:val="231F20"/>
          <w:spacing w:val="-1"/>
        </w:rPr>
        <w:t> </w:t>
      </w:r>
      <w:r>
        <w:rPr>
          <w:color w:val="231F20"/>
        </w:rPr>
        <w:t>in Chapter 3) to identify their</w:t>
      </w:r>
    </w:p>
    <w:p>
      <w:pPr>
        <w:pStyle w:val="BodyText"/>
        <w:spacing w:line="266" w:lineRule="auto"/>
        <w:ind w:left="120" w:right="809"/>
      </w:pPr>
      <w:r>
        <w:rPr>
          <w:color w:val="231F20"/>
          <w:w w:val="95"/>
        </w:rPr>
        <w:t>clients’ specific</w:t>
      </w:r>
      <w:r>
        <w:rPr>
          <w:color w:val="231F20"/>
          <w:spacing w:val="1"/>
          <w:w w:val="95"/>
        </w:rPr>
        <w:t> </w:t>
      </w:r>
      <w:r>
        <w:rPr>
          <w:color w:val="231F20"/>
          <w:w w:val="95"/>
        </w:rPr>
        <w:t>barriers</w:t>
      </w:r>
      <w:r>
        <w:rPr>
          <w:color w:val="231F20"/>
          <w:spacing w:val="1"/>
          <w:w w:val="95"/>
        </w:rPr>
        <w:t> </w:t>
      </w:r>
      <w:r>
        <w:rPr>
          <w:color w:val="231F20"/>
          <w:w w:val="95"/>
        </w:rPr>
        <w:t>to</w:t>
      </w:r>
      <w:r>
        <w:rPr>
          <w:color w:val="231F20"/>
          <w:spacing w:val="1"/>
          <w:w w:val="95"/>
        </w:rPr>
        <w:t> </w:t>
      </w:r>
      <w:r>
        <w:rPr>
          <w:color w:val="231F20"/>
          <w:w w:val="95"/>
        </w:rPr>
        <w:t>participating</w:t>
      </w:r>
      <w:r>
        <w:rPr>
          <w:color w:val="231F20"/>
          <w:spacing w:val="1"/>
          <w:w w:val="95"/>
        </w:rPr>
        <w:t> </w:t>
      </w:r>
      <w:r>
        <w:rPr>
          <w:color w:val="231F20"/>
          <w:w w:val="95"/>
        </w:rPr>
        <w:t>in</w:t>
      </w:r>
      <w:r>
        <w:rPr>
          <w:color w:val="231F20"/>
          <w:spacing w:val="1"/>
          <w:w w:val="95"/>
        </w:rPr>
        <w:t> </w:t>
      </w:r>
      <w:r>
        <w:rPr>
          <w:color w:val="231F20"/>
          <w:w w:val="95"/>
        </w:rPr>
        <w:t>telehealth</w:t>
      </w:r>
      <w:r>
        <w:rPr>
          <w:color w:val="231F20"/>
          <w:spacing w:val="1"/>
          <w:w w:val="95"/>
        </w:rPr>
        <w:t> </w:t>
      </w:r>
      <w:r>
        <w:rPr>
          <w:color w:val="231F20"/>
        </w:rPr>
        <w:t>appointments</w:t>
      </w:r>
      <w:r>
        <w:rPr>
          <w:color w:val="231F20"/>
          <w:spacing w:val="-5"/>
        </w:rPr>
        <w:t> </w:t>
      </w:r>
      <w:r>
        <w:rPr>
          <w:color w:val="231F20"/>
        </w:rPr>
        <w:t>(e.g.,</w:t>
      </w:r>
      <w:r>
        <w:rPr>
          <w:color w:val="231F20"/>
          <w:spacing w:val="-5"/>
        </w:rPr>
        <w:t> </w:t>
      </w:r>
      <w:r>
        <w:rPr>
          <w:color w:val="231F20"/>
        </w:rPr>
        <w:t>access</w:t>
      </w:r>
      <w:r>
        <w:rPr>
          <w:color w:val="231F20"/>
          <w:spacing w:val="-5"/>
        </w:rPr>
        <w:t> </w:t>
      </w:r>
      <w:r>
        <w:rPr>
          <w:color w:val="231F20"/>
        </w:rPr>
        <w:t>and</w:t>
      </w:r>
      <w:r>
        <w:rPr>
          <w:color w:val="231F20"/>
          <w:spacing w:val="-5"/>
        </w:rPr>
        <w:t> </w:t>
      </w:r>
      <w:r>
        <w:rPr>
          <w:color w:val="231F20"/>
        </w:rPr>
        <w:t>comfort</w:t>
      </w:r>
      <w:r>
        <w:rPr>
          <w:color w:val="231F20"/>
          <w:spacing w:val="-5"/>
        </w:rPr>
        <w:t> </w:t>
      </w:r>
      <w:r>
        <w:rPr>
          <w:color w:val="231F20"/>
        </w:rPr>
        <w:t>with</w:t>
      </w:r>
      <w:r>
        <w:rPr>
          <w:color w:val="231F20"/>
          <w:spacing w:val="-5"/>
        </w:rPr>
        <w:t> </w:t>
      </w:r>
      <w:r>
        <w:rPr>
          <w:color w:val="231F20"/>
        </w:rPr>
        <w:t>technology,</w:t>
      </w:r>
      <w:r>
        <w:rPr>
          <w:color w:val="231F20"/>
          <w:spacing w:val="-52"/>
        </w:rPr>
        <w:t> </w:t>
      </w:r>
      <w:r>
        <w:rPr>
          <w:color w:val="231F20"/>
        </w:rPr>
        <w:t>ability to have private or confidential conversations,</w:t>
      </w:r>
      <w:r>
        <w:rPr>
          <w:color w:val="231F20"/>
          <w:spacing w:val="1"/>
        </w:rPr>
        <w:t> </w:t>
      </w:r>
      <w:r>
        <w:rPr>
          <w:color w:val="231F20"/>
        </w:rPr>
        <w:t>safety of the home environment) and inform</w:t>
      </w:r>
      <w:r>
        <w:rPr>
          <w:color w:val="231F20"/>
          <w:spacing w:val="1"/>
        </w:rPr>
        <w:t> </w:t>
      </w:r>
      <w:r>
        <w:rPr>
          <w:color w:val="231F20"/>
        </w:rPr>
        <w:t>conversations with their clients on strategies to address</w:t>
      </w:r>
      <w:r>
        <w:rPr>
          <w:color w:val="231F20"/>
          <w:spacing w:val="1"/>
        </w:rPr>
        <w:t> </w:t>
      </w:r>
      <w:r>
        <w:rPr>
          <w:color w:val="231F20"/>
        </w:rPr>
        <w:t>these barriers.</w:t>
      </w:r>
    </w:p>
    <w:p>
      <w:pPr>
        <w:pStyle w:val="BodyText"/>
        <w:spacing w:before="3"/>
        <w:rPr>
          <w:sz w:val="15"/>
        </w:rPr>
      </w:pPr>
      <w:r>
        <w:rPr/>
        <w:pict>
          <v:group style="position:absolute;margin-left:324pt;margin-top:10.012066pt;width:252pt;height:362.25pt;mso-position-horizontal-relative:page;mso-position-vertical-relative:paragraph;z-index:-15720960;mso-wrap-distance-left:0;mso-wrap-distance-right:0" id="docshapegroup49" coordorigin="6480,200" coordsize="5040,7245">
            <v:shape style="position:absolute;left:6480;top:200;width:5040;height:7245" id="docshape50" coordorigin="6480,200" coordsize="5040,7245" path="m11430,200l6570,200,6535,207,6506,227,6487,255,6480,290,6480,7355,6487,7390,6506,7419,6535,7438,6570,7445,11430,7445,11465,7438,11494,7419,11513,7390,11520,7355,11520,290,11513,255,11494,227,11465,207,11430,200xe" filled="true" fillcolor="#f7e0e0" stroked="false">
              <v:path arrowok="t"/>
              <v:fill type="solid"/>
            </v:shape>
            <v:shape style="position:absolute;left:6480;top:200;width:5040;height:7245" type="#_x0000_t202" id="docshape51" filled="false" stroked="false">
              <v:textbox inset="0,0,0,0">
                <w:txbxContent>
                  <w:p>
                    <w:pPr>
                      <w:spacing w:line="259" w:lineRule="auto" w:before="136"/>
                      <w:ind w:left="180" w:right="409" w:firstLine="0"/>
                      <w:jc w:val="left"/>
                      <w:rPr>
                        <w:rFonts w:ascii="Arial"/>
                        <w:sz w:val="21"/>
                      </w:rPr>
                    </w:pPr>
                    <w:r>
                      <w:rPr>
                        <w:rFonts w:ascii="Arial"/>
                        <w:color w:val="010202"/>
                        <w:sz w:val="21"/>
                      </w:rPr>
                      <w:t>Implementation</w:t>
                    </w:r>
                    <w:r>
                      <w:rPr>
                        <w:rFonts w:ascii="Arial"/>
                        <w:color w:val="010202"/>
                        <w:spacing w:val="4"/>
                        <w:sz w:val="21"/>
                      </w:rPr>
                      <w:t> </w:t>
                    </w:r>
                    <w:r>
                      <w:rPr>
                        <w:rFonts w:ascii="Arial"/>
                        <w:color w:val="010202"/>
                        <w:sz w:val="21"/>
                      </w:rPr>
                      <w:t>and</w:t>
                    </w:r>
                    <w:r>
                      <w:rPr>
                        <w:rFonts w:ascii="Arial"/>
                        <w:color w:val="010202"/>
                        <w:spacing w:val="4"/>
                        <w:sz w:val="21"/>
                      </w:rPr>
                      <w:t> </w:t>
                    </w:r>
                    <w:r>
                      <w:rPr>
                        <w:rFonts w:ascii="Arial"/>
                        <w:color w:val="010202"/>
                        <w:sz w:val="21"/>
                      </w:rPr>
                      <w:t>use</w:t>
                    </w:r>
                    <w:r>
                      <w:rPr>
                        <w:rFonts w:ascii="Arial"/>
                        <w:color w:val="010202"/>
                        <w:spacing w:val="5"/>
                        <w:sz w:val="21"/>
                      </w:rPr>
                      <w:t> </w:t>
                    </w:r>
                    <w:r>
                      <w:rPr>
                        <w:rFonts w:ascii="Arial"/>
                        <w:color w:val="010202"/>
                        <w:sz w:val="21"/>
                      </w:rPr>
                      <w:t>of</w:t>
                    </w:r>
                    <w:r>
                      <w:rPr>
                        <w:rFonts w:ascii="Arial"/>
                        <w:color w:val="010202"/>
                        <w:spacing w:val="4"/>
                        <w:sz w:val="21"/>
                      </w:rPr>
                      <w:t> </w:t>
                    </w:r>
                    <w:r>
                      <w:rPr>
                        <w:rFonts w:ascii="Arial"/>
                        <w:color w:val="010202"/>
                        <w:sz w:val="21"/>
                      </w:rPr>
                      <w:t>telehealth</w:t>
                    </w:r>
                    <w:r>
                      <w:rPr>
                        <w:rFonts w:ascii="Arial"/>
                        <w:color w:val="010202"/>
                        <w:spacing w:val="5"/>
                        <w:sz w:val="21"/>
                      </w:rPr>
                      <w:t> </w:t>
                    </w:r>
                    <w:r>
                      <w:rPr>
                        <w:rFonts w:ascii="Arial"/>
                        <w:color w:val="010202"/>
                        <w:sz w:val="21"/>
                      </w:rPr>
                      <w:t>as</w:t>
                    </w:r>
                    <w:r>
                      <w:rPr>
                        <w:rFonts w:ascii="Arial"/>
                        <w:color w:val="010202"/>
                        <w:spacing w:val="4"/>
                        <w:sz w:val="21"/>
                      </w:rPr>
                      <w:t> </w:t>
                    </w:r>
                    <w:r>
                      <w:rPr>
                        <w:rFonts w:ascii="Arial"/>
                        <w:color w:val="010202"/>
                        <w:sz w:val="21"/>
                      </w:rPr>
                      <w:t>a</w:t>
                    </w:r>
                    <w:r>
                      <w:rPr>
                        <w:rFonts w:ascii="Arial"/>
                        <w:color w:val="010202"/>
                        <w:spacing w:val="1"/>
                        <w:sz w:val="21"/>
                      </w:rPr>
                      <w:t> </w:t>
                    </w:r>
                    <w:r>
                      <w:rPr>
                        <w:rFonts w:ascii="Arial"/>
                        <w:color w:val="010202"/>
                        <w:sz w:val="21"/>
                      </w:rPr>
                      <w:t>mode of service delivery has been increasing in</w:t>
                    </w:r>
                    <w:r>
                      <w:rPr>
                        <w:rFonts w:ascii="Arial"/>
                        <w:color w:val="010202"/>
                        <w:spacing w:val="-56"/>
                        <w:sz w:val="21"/>
                      </w:rPr>
                      <w:t> </w:t>
                    </w:r>
                    <w:r>
                      <w:rPr>
                        <w:rFonts w:ascii="Arial"/>
                        <w:color w:val="010202"/>
                        <w:sz w:val="21"/>
                      </w:rPr>
                      <w:t>recent years. Between 2016 and 2019, use of</w:t>
                    </w:r>
                    <w:r>
                      <w:rPr>
                        <w:rFonts w:ascii="Arial"/>
                        <w:color w:val="010202"/>
                        <w:spacing w:val="1"/>
                        <w:sz w:val="21"/>
                      </w:rPr>
                      <w:t> </w:t>
                    </w:r>
                    <w:r>
                      <w:rPr>
                        <w:rFonts w:ascii="Arial"/>
                        <w:color w:val="010202"/>
                        <w:sz w:val="21"/>
                      </w:rPr>
                      <w:t>telehealth doubled from 14 to 28 percent.</w:t>
                    </w:r>
                    <w:r>
                      <w:rPr>
                        <w:rFonts w:ascii="Arial"/>
                        <w:color w:val="010202"/>
                        <w:position w:val="7"/>
                        <w:sz w:val="12"/>
                      </w:rPr>
                      <w:t>9</w:t>
                    </w:r>
                    <w:r>
                      <w:rPr>
                        <w:rFonts w:ascii="Arial"/>
                        <w:color w:val="010202"/>
                        <w:spacing w:val="1"/>
                        <w:position w:val="7"/>
                        <w:sz w:val="12"/>
                      </w:rPr>
                      <w:t> </w:t>
                    </w:r>
                    <w:r>
                      <w:rPr>
                        <w:rFonts w:ascii="Arial"/>
                        <w:color w:val="010202"/>
                        <w:sz w:val="21"/>
                      </w:rPr>
                      <w:t>This</w:t>
                    </w:r>
                    <w:r>
                      <w:rPr>
                        <w:rFonts w:ascii="Arial"/>
                        <w:color w:val="010202"/>
                        <w:spacing w:val="1"/>
                        <w:sz w:val="21"/>
                      </w:rPr>
                      <w:t> </w:t>
                    </w:r>
                    <w:r>
                      <w:rPr>
                        <w:rFonts w:ascii="Arial"/>
                        <w:color w:val="010202"/>
                        <w:sz w:val="21"/>
                      </w:rPr>
                      <w:t>trend</w:t>
                    </w:r>
                    <w:r>
                      <w:rPr>
                        <w:rFonts w:ascii="Arial"/>
                        <w:color w:val="010202"/>
                        <w:spacing w:val="-3"/>
                        <w:sz w:val="21"/>
                      </w:rPr>
                      <w:t> </w:t>
                    </w:r>
                    <w:r>
                      <w:rPr>
                        <w:rFonts w:ascii="Arial"/>
                        <w:color w:val="010202"/>
                        <w:sz w:val="21"/>
                      </w:rPr>
                      <w:t>continued</w:t>
                    </w:r>
                    <w:r>
                      <w:rPr>
                        <w:rFonts w:ascii="Arial"/>
                        <w:color w:val="010202"/>
                        <w:spacing w:val="-2"/>
                        <w:sz w:val="21"/>
                      </w:rPr>
                      <w:t> </w:t>
                    </w:r>
                    <w:r>
                      <w:rPr>
                        <w:rFonts w:ascii="Arial"/>
                        <w:color w:val="010202"/>
                        <w:sz w:val="21"/>
                      </w:rPr>
                      <w:t>between</w:t>
                    </w:r>
                    <w:r>
                      <w:rPr>
                        <w:rFonts w:ascii="Arial"/>
                        <w:color w:val="010202"/>
                        <w:spacing w:val="-3"/>
                        <w:sz w:val="21"/>
                      </w:rPr>
                      <w:t> </w:t>
                    </w:r>
                    <w:r>
                      <w:rPr>
                        <w:rFonts w:ascii="Arial"/>
                        <w:color w:val="010202"/>
                        <w:sz w:val="21"/>
                      </w:rPr>
                      <w:t>2019</w:t>
                    </w:r>
                    <w:r>
                      <w:rPr>
                        <w:rFonts w:ascii="Arial"/>
                        <w:color w:val="010202"/>
                        <w:spacing w:val="-2"/>
                        <w:sz w:val="21"/>
                      </w:rPr>
                      <w:t> </w:t>
                    </w:r>
                    <w:r>
                      <w:rPr>
                        <w:rFonts w:ascii="Arial"/>
                        <w:color w:val="010202"/>
                        <w:sz w:val="21"/>
                      </w:rPr>
                      <w:t>and</w:t>
                    </w:r>
                    <w:r>
                      <w:rPr>
                        <w:rFonts w:ascii="Arial"/>
                        <w:color w:val="010202"/>
                        <w:spacing w:val="-3"/>
                        <w:sz w:val="21"/>
                      </w:rPr>
                      <w:t> </w:t>
                    </w:r>
                    <w:r>
                      <w:rPr>
                        <w:rFonts w:ascii="Arial"/>
                        <w:color w:val="010202"/>
                        <w:sz w:val="21"/>
                      </w:rPr>
                      <w:t>2020,</w:t>
                    </w:r>
                    <w:r>
                      <w:rPr>
                        <w:rFonts w:ascii="Arial"/>
                        <w:color w:val="010202"/>
                        <w:spacing w:val="-2"/>
                        <w:sz w:val="21"/>
                      </w:rPr>
                      <w:t> </w:t>
                    </w:r>
                    <w:r>
                      <w:rPr>
                        <w:rFonts w:ascii="Arial"/>
                        <w:color w:val="010202"/>
                        <w:sz w:val="21"/>
                      </w:rPr>
                      <w:t>due</w:t>
                    </w:r>
                    <w:r>
                      <w:rPr>
                        <w:rFonts w:ascii="Arial"/>
                        <w:color w:val="010202"/>
                        <w:spacing w:val="-2"/>
                        <w:sz w:val="21"/>
                      </w:rPr>
                      <w:t> </w:t>
                    </w:r>
                    <w:r>
                      <w:rPr>
                        <w:rFonts w:ascii="Arial"/>
                        <w:color w:val="010202"/>
                        <w:sz w:val="21"/>
                      </w:rPr>
                      <w:t>in</w:t>
                    </w:r>
                  </w:p>
                  <w:p>
                    <w:pPr>
                      <w:spacing w:line="259" w:lineRule="auto" w:before="0"/>
                      <w:ind w:left="180" w:right="321" w:firstLine="0"/>
                      <w:jc w:val="both"/>
                      <w:rPr>
                        <w:rFonts w:ascii="Arial"/>
                        <w:sz w:val="12"/>
                      </w:rPr>
                    </w:pPr>
                    <w:r>
                      <w:rPr>
                        <w:rFonts w:ascii="Arial"/>
                        <w:color w:val="010202"/>
                        <w:sz w:val="21"/>
                      </w:rPr>
                      <w:t>large</w:t>
                    </w:r>
                    <w:r>
                      <w:rPr>
                        <w:rFonts w:ascii="Arial"/>
                        <w:color w:val="010202"/>
                        <w:spacing w:val="-7"/>
                        <w:sz w:val="21"/>
                      </w:rPr>
                      <w:t> </w:t>
                    </w:r>
                    <w:r>
                      <w:rPr>
                        <w:rFonts w:ascii="Arial"/>
                        <w:color w:val="010202"/>
                        <w:sz w:val="21"/>
                      </w:rPr>
                      <w:t>part</w:t>
                    </w:r>
                    <w:r>
                      <w:rPr>
                        <w:rFonts w:ascii="Arial"/>
                        <w:color w:val="010202"/>
                        <w:spacing w:val="-7"/>
                        <w:sz w:val="21"/>
                      </w:rPr>
                      <w:t> </w:t>
                    </w:r>
                    <w:r>
                      <w:rPr>
                        <w:rFonts w:ascii="Arial"/>
                        <w:color w:val="010202"/>
                        <w:sz w:val="21"/>
                      </w:rPr>
                      <w:t>to</w:t>
                    </w:r>
                    <w:r>
                      <w:rPr>
                        <w:rFonts w:ascii="Arial"/>
                        <w:color w:val="010202"/>
                        <w:spacing w:val="-6"/>
                        <w:sz w:val="21"/>
                      </w:rPr>
                      <w:t> </w:t>
                    </w:r>
                    <w:r>
                      <w:rPr>
                        <w:rFonts w:ascii="Arial"/>
                        <w:color w:val="010202"/>
                        <w:sz w:val="21"/>
                      </w:rPr>
                      <w:t>the</w:t>
                    </w:r>
                    <w:r>
                      <w:rPr>
                        <w:rFonts w:ascii="Arial"/>
                        <w:color w:val="010202"/>
                        <w:spacing w:val="-7"/>
                        <w:sz w:val="21"/>
                      </w:rPr>
                      <w:t> </w:t>
                    </w:r>
                    <w:r>
                      <w:rPr>
                        <w:rFonts w:ascii="Arial"/>
                        <w:color w:val="010202"/>
                        <w:sz w:val="21"/>
                      </w:rPr>
                      <w:t>COVID-19</w:t>
                    </w:r>
                    <w:r>
                      <w:rPr>
                        <w:rFonts w:ascii="Arial"/>
                        <w:color w:val="010202"/>
                        <w:spacing w:val="-6"/>
                        <w:sz w:val="21"/>
                      </w:rPr>
                      <w:t> </w:t>
                    </w:r>
                    <w:r>
                      <w:rPr>
                        <w:rFonts w:ascii="Arial"/>
                        <w:color w:val="010202"/>
                        <w:sz w:val="21"/>
                      </w:rPr>
                      <w:t>pandemic.</w:t>
                    </w:r>
                    <w:r>
                      <w:rPr>
                        <w:rFonts w:ascii="Arial"/>
                        <w:color w:val="010202"/>
                        <w:spacing w:val="-10"/>
                        <w:sz w:val="21"/>
                      </w:rPr>
                      <w:t> </w:t>
                    </w:r>
                    <w:r>
                      <w:rPr>
                        <w:rFonts w:ascii="Arial"/>
                        <w:color w:val="010202"/>
                        <w:sz w:val="21"/>
                      </w:rPr>
                      <w:t>Telehealth</w:t>
                    </w:r>
                    <w:r>
                      <w:rPr>
                        <w:rFonts w:ascii="Arial"/>
                        <w:color w:val="010202"/>
                        <w:spacing w:val="-56"/>
                        <w:sz w:val="21"/>
                      </w:rPr>
                      <w:t> </w:t>
                    </w:r>
                    <w:r>
                      <w:rPr>
                        <w:rFonts w:ascii="Arial"/>
                        <w:color w:val="010202"/>
                        <w:sz w:val="21"/>
                      </w:rPr>
                      <w:t>visits for mental health increased by 556 percent</w:t>
                    </w:r>
                    <w:r>
                      <w:rPr>
                        <w:rFonts w:ascii="Arial"/>
                        <w:color w:val="010202"/>
                        <w:spacing w:val="-56"/>
                        <w:sz w:val="21"/>
                      </w:rPr>
                      <w:t> </w:t>
                    </w:r>
                    <w:r>
                      <w:rPr>
                        <w:rFonts w:ascii="Arial"/>
                        <w:color w:val="010202"/>
                        <w:sz w:val="21"/>
                      </w:rPr>
                      <w:t>between</w:t>
                    </w:r>
                    <w:r>
                      <w:rPr>
                        <w:rFonts w:ascii="Arial"/>
                        <w:color w:val="010202"/>
                        <w:spacing w:val="-3"/>
                        <w:sz w:val="21"/>
                      </w:rPr>
                      <w:t> </w:t>
                    </w:r>
                    <w:r>
                      <w:rPr>
                        <w:rFonts w:ascii="Arial"/>
                        <w:color w:val="010202"/>
                        <w:sz w:val="21"/>
                      </w:rPr>
                      <w:t>March</w:t>
                    </w:r>
                    <w:r>
                      <w:rPr>
                        <w:rFonts w:ascii="Arial"/>
                        <w:color w:val="010202"/>
                        <w:spacing w:val="-1"/>
                        <w:sz w:val="21"/>
                      </w:rPr>
                      <w:t> </w:t>
                    </w:r>
                    <w:r>
                      <w:rPr>
                        <w:rFonts w:ascii="Arial"/>
                        <w:color w:val="010202"/>
                        <w:sz w:val="21"/>
                      </w:rPr>
                      <w:t>11</w:t>
                    </w:r>
                    <w:r>
                      <w:rPr>
                        <w:rFonts w:ascii="Arial"/>
                        <w:color w:val="010202"/>
                        <w:spacing w:val="-2"/>
                        <w:sz w:val="21"/>
                      </w:rPr>
                      <w:t> </w:t>
                    </w:r>
                    <w:r>
                      <w:rPr>
                        <w:rFonts w:ascii="Arial"/>
                        <w:color w:val="010202"/>
                        <w:sz w:val="21"/>
                      </w:rPr>
                      <w:t>and</w:t>
                    </w:r>
                    <w:r>
                      <w:rPr>
                        <w:rFonts w:ascii="Arial"/>
                        <w:color w:val="010202"/>
                        <w:spacing w:val="-13"/>
                        <w:sz w:val="21"/>
                      </w:rPr>
                      <w:t> </w:t>
                    </w:r>
                    <w:r>
                      <w:rPr>
                        <w:rFonts w:ascii="Arial"/>
                        <w:color w:val="010202"/>
                        <w:sz w:val="21"/>
                      </w:rPr>
                      <w:t>April</w:t>
                    </w:r>
                    <w:r>
                      <w:rPr>
                        <w:rFonts w:ascii="Arial"/>
                        <w:color w:val="010202"/>
                        <w:spacing w:val="-2"/>
                        <w:sz w:val="21"/>
                      </w:rPr>
                      <w:t> </w:t>
                    </w:r>
                    <w:r>
                      <w:rPr>
                        <w:rFonts w:ascii="Arial"/>
                        <w:color w:val="010202"/>
                        <w:sz w:val="21"/>
                      </w:rPr>
                      <w:t>22,</w:t>
                    </w:r>
                    <w:r>
                      <w:rPr>
                        <w:rFonts w:ascii="Arial"/>
                        <w:color w:val="010202"/>
                        <w:spacing w:val="-2"/>
                        <w:sz w:val="21"/>
                      </w:rPr>
                      <w:t> </w:t>
                    </w:r>
                    <w:r>
                      <w:rPr>
                        <w:rFonts w:ascii="Arial"/>
                        <w:color w:val="010202"/>
                        <w:sz w:val="21"/>
                      </w:rPr>
                      <w:t>2020.</w:t>
                    </w:r>
                    <w:r>
                      <w:rPr>
                        <w:rFonts w:ascii="Arial"/>
                        <w:color w:val="010202"/>
                        <w:position w:val="7"/>
                        <w:sz w:val="12"/>
                      </w:rPr>
                      <w:t>27</w:t>
                    </w:r>
                  </w:p>
                  <w:p>
                    <w:pPr>
                      <w:spacing w:line="259" w:lineRule="auto" w:before="173"/>
                      <w:ind w:left="180" w:right="200" w:firstLine="0"/>
                      <w:jc w:val="left"/>
                      <w:rPr>
                        <w:rFonts w:ascii="Arial"/>
                        <w:sz w:val="12"/>
                      </w:rPr>
                    </w:pPr>
                    <w:r>
                      <w:rPr>
                        <w:rFonts w:ascii="Arial"/>
                        <w:color w:val="010202"/>
                        <w:sz w:val="21"/>
                      </w:rPr>
                      <w:t>The</w:t>
                    </w:r>
                    <w:r>
                      <w:rPr>
                        <w:rFonts w:ascii="Arial"/>
                        <w:color w:val="010202"/>
                        <w:spacing w:val="-3"/>
                        <w:sz w:val="21"/>
                      </w:rPr>
                      <w:t> </w:t>
                    </w:r>
                    <w:r>
                      <w:rPr>
                        <w:rFonts w:ascii="Arial"/>
                        <w:color w:val="010202"/>
                        <w:sz w:val="21"/>
                      </w:rPr>
                      <w:t>use</w:t>
                    </w:r>
                    <w:r>
                      <w:rPr>
                        <w:rFonts w:ascii="Arial"/>
                        <w:color w:val="010202"/>
                        <w:spacing w:val="-3"/>
                        <w:sz w:val="21"/>
                      </w:rPr>
                      <w:t> </w:t>
                    </w:r>
                    <w:r>
                      <w:rPr>
                        <w:rFonts w:ascii="Arial"/>
                        <w:color w:val="010202"/>
                        <w:sz w:val="21"/>
                      </w:rPr>
                      <w:t>of</w:t>
                    </w:r>
                    <w:r>
                      <w:rPr>
                        <w:rFonts w:ascii="Arial"/>
                        <w:color w:val="010202"/>
                        <w:spacing w:val="-2"/>
                        <w:sz w:val="21"/>
                      </w:rPr>
                      <w:t> </w:t>
                    </w:r>
                    <w:r>
                      <w:rPr>
                        <w:rFonts w:ascii="Arial"/>
                        <w:color w:val="010202"/>
                        <w:sz w:val="21"/>
                      </w:rPr>
                      <w:t>telehealth</w:t>
                    </w:r>
                    <w:r>
                      <w:rPr>
                        <w:rFonts w:ascii="Arial"/>
                        <w:color w:val="010202"/>
                        <w:spacing w:val="-3"/>
                        <w:sz w:val="21"/>
                      </w:rPr>
                      <w:t> </w:t>
                    </w:r>
                    <w:r>
                      <w:rPr>
                        <w:rFonts w:ascii="Arial"/>
                        <w:color w:val="010202"/>
                        <w:sz w:val="21"/>
                      </w:rPr>
                      <w:t>was</w:t>
                    </w:r>
                    <w:r>
                      <w:rPr>
                        <w:rFonts w:ascii="Arial"/>
                        <w:color w:val="010202"/>
                        <w:spacing w:val="-2"/>
                        <w:sz w:val="21"/>
                      </w:rPr>
                      <w:t> </w:t>
                    </w:r>
                    <w:r>
                      <w:rPr>
                        <w:rFonts w:ascii="Arial"/>
                        <w:color w:val="010202"/>
                        <w:sz w:val="21"/>
                      </w:rPr>
                      <w:t>steadily</w:t>
                    </w:r>
                    <w:r>
                      <w:rPr>
                        <w:rFonts w:ascii="Arial"/>
                        <w:color w:val="010202"/>
                        <w:spacing w:val="-3"/>
                        <w:sz w:val="21"/>
                      </w:rPr>
                      <w:t> </w:t>
                    </w:r>
                    <w:r>
                      <w:rPr>
                        <w:rFonts w:ascii="Arial"/>
                        <w:color w:val="010202"/>
                        <w:sz w:val="21"/>
                      </w:rPr>
                      <w:t>increasing</w:t>
                    </w:r>
                    <w:r>
                      <w:rPr>
                        <w:rFonts w:ascii="Arial"/>
                        <w:color w:val="010202"/>
                        <w:spacing w:val="-2"/>
                        <w:sz w:val="21"/>
                      </w:rPr>
                      <w:t> </w:t>
                    </w:r>
                    <w:r>
                      <w:rPr>
                        <w:rFonts w:ascii="Arial"/>
                        <w:color w:val="010202"/>
                        <w:sz w:val="21"/>
                      </w:rPr>
                      <w:t>prior</w:t>
                    </w:r>
                    <w:r>
                      <w:rPr>
                        <w:rFonts w:ascii="Arial"/>
                        <w:color w:val="010202"/>
                        <w:spacing w:val="-55"/>
                        <w:sz w:val="21"/>
                      </w:rPr>
                      <w:t> </w:t>
                    </w:r>
                    <w:r>
                      <w:rPr>
                        <w:rFonts w:ascii="Arial"/>
                        <w:color w:val="010202"/>
                        <w:sz w:val="21"/>
                      </w:rPr>
                      <w:t>to the COVID-19 pandemic. Between 2016 and</w:t>
                    </w:r>
                    <w:r>
                      <w:rPr>
                        <w:rFonts w:ascii="Arial"/>
                        <w:color w:val="010202"/>
                        <w:spacing w:val="1"/>
                        <w:sz w:val="21"/>
                      </w:rPr>
                      <w:t> </w:t>
                    </w:r>
                    <w:r>
                      <w:rPr>
                        <w:rFonts w:ascii="Arial"/>
                        <w:color w:val="010202"/>
                        <w:sz w:val="21"/>
                      </w:rPr>
                      <w:t>2019, SUD treatment offered through telehealth</w:t>
                    </w:r>
                    <w:r>
                      <w:rPr>
                        <w:rFonts w:ascii="Arial"/>
                        <w:color w:val="010202"/>
                        <w:spacing w:val="1"/>
                        <w:sz w:val="21"/>
                      </w:rPr>
                      <w:t> </w:t>
                    </w:r>
                    <w:r>
                      <w:rPr>
                        <w:rFonts w:ascii="Arial"/>
                        <w:color w:val="010202"/>
                        <w:sz w:val="21"/>
                      </w:rPr>
                      <w:t>increased from 13.5 to 17.4 percent. Greater</w:t>
                    </w:r>
                    <w:r>
                      <w:rPr>
                        <w:rFonts w:ascii="Arial"/>
                        <w:color w:val="010202"/>
                        <w:spacing w:val="1"/>
                        <w:sz w:val="21"/>
                      </w:rPr>
                      <w:t> </w:t>
                    </w:r>
                    <w:r>
                      <w:rPr>
                        <w:rFonts w:ascii="Arial"/>
                        <w:color w:val="010202"/>
                        <w:sz w:val="21"/>
                      </w:rPr>
                      <w:t>adoption of telehealth was associated with rural</w:t>
                    </w:r>
                    <w:r>
                      <w:rPr>
                        <w:rFonts w:ascii="Arial"/>
                        <w:color w:val="010202"/>
                        <w:spacing w:val="1"/>
                        <w:sz w:val="21"/>
                      </w:rPr>
                      <w:t> </w:t>
                    </w:r>
                    <w:r>
                      <w:rPr>
                        <w:rFonts w:ascii="Arial"/>
                        <w:color w:val="010202"/>
                        <w:sz w:val="21"/>
                      </w:rPr>
                      <w:t>locations, as well as those that provided multiple</w:t>
                    </w:r>
                    <w:r>
                      <w:rPr>
                        <w:rFonts w:ascii="Arial"/>
                        <w:color w:val="010202"/>
                        <w:spacing w:val="1"/>
                        <w:sz w:val="21"/>
                      </w:rPr>
                      <w:t> </w:t>
                    </w:r>
                    <w:r>
                      <w:rPr>
                        <w:rFonts w:ascii="Arial"/>
                        <w:color w:val="010202"/>
                        <w:sz w:val="21"/>
                      </w:rPr>
                      <w:t>treatment settings, offered pharmacotherapy, and</w:t>
                    </w:r>
                    <w:r>
                      <w:rPr>
                        <w:rFonts w:ascii="Arial"/>
                        <w:color w:val="010202"/>
                        <w:spacing w:val="1"/>
                        <w:sz w:val="21"/>
                      </w:rPr>
                      <w:t> </w:t>
                    </w:r>
                    <w:r>
                      <w:rPr>
                        <w:rFonts w:ascii="Arial"/>
                        <w:color w:val="010202"/>
                        <w:sz w:val="21"/>
                      </w:rPr>
                      <w:t>served both adult and pediatric populations.</w:t>
                    </w:r>
                    <w:r>
                      <w:rPr>
                        <w:rFonts w:ascii="Arial"/>
                        <w:color w:val="010202"/>
                        <w:position w:val="7"/>
                        <w:sz w:val="12"/>
                      </w:rPr>
                      <w:t>28</w:t>
                    </w:r>
                  </w:p>
                  <w:p>
                    <w:pPr>
                      <w:spacing w:line="259" w:lineRule="auto" w:before="174"/>
                      <w:ind w:left="180" w:right="307" w:firstLine="0"/>
                      <w:jc w:val="left"/>
                      <w:rPr>
                        <w:rFonts w:ascii="Arial"/>
                        <w:sz w:val="21"/>
                      </w:rPr>
                    </w:pPr>
                    <w:r>
                      <w:rPr>
                        <w:rFonts w:ascii="Arial"/>
                        <w:color w:val="010202"/>
                        <w:sz w:val="21"/>
                      </w:rPr>
                      <w:t>Telehealth</w:t>
                    </w:r>
                    <w:r>
                      <w:rPr>
                        <w:rFonts w:ascii="Arial"/>
                        <w:color w:val="010202"/>
                        <w:spacing w:val="-10"/>
                        <w:sz w:val="21"/>
                      </w:rPr>
                      <w:t> </w:t>
                    </w:r>
                    <w:r>
                      <w:rPr>
                        <w:rFonts w:ascii="Arial"/>
                        <w:color w:val="010202"/>
                        <w:sz w:val="21"/>
                      </w:rPr>
                      <w:t>visits</w:t>
                    </w:r>
                    <w:r>
                      <w:rPr>
                        <w:rFonts w:ascii="Arial"/>
                        <w:color w:val="010202"/>
                        <w:spacing w:val="-8"/>
                        <w:sz w:val="21"/>
                      </w:rPr>
                      <w:t> </w:t>
                    </w:r>
                    <w:r>
                      <w:rPr>
                        <w:rFonts w:ascii="Arial"/>
                        <w:color w:val="010202"/>
                        <w:sz w:val="21"/>
                      </w:rPr>
                      <w:t>increased</w:t>
                    </w:r>
                    <w:r>
                      <w:rPr>
                        <w:rFonts w:ascii="Arial"/>
                        <w:color w:val="010202"/>
                        <w:spacing w:val="-9"/>
                        <w:sz w:val="21"/>
                      </w:rPr>
                      <w:t> </w:t>
                    </w:r>
                    <w:r>
                      <w:rPr>
                        <w:rFonts w:ascii="Arial"/>
                        <w:color w:val="010202"/>
                        <w:sz w:val="21"/>
                      </w:rPr>
                      <w:t>among</w:t>
                    </w:r>
                    <w:r>
                      <w:rPr>
                        <w:rFonts w:ascii="Arial"/>
                        <w:color w:val="010202"/>
                        <w:spacing w:val="-9"/>
                        <w:sz w:val="21"/>
                      </w:rPr>
                      <w:t> </w:t>
                    </w:r>
                    <w:r>
                      <w:rPr>
                        <w:rFonts w:ascii="Arial"/>
                        <w:color w:val="010202"/>
                        <w:sz w:val="21"/>
                      </w:rPr>
                      <w:t>rural</w:t>
                    </w:r>
                    <w:r>
                      <w:rPr>
                        <w:rFonts w:ascii="Arial"/>
                        <w:color w:val="010202"/>
                        <w:spacing w:val="-8"/>
                        <w:sz w:val="21"/>
                      </w:rPr>
                      <w:t> </w:t>
                    </w:r>
                    <w:r>
                      <w:rPr>
                        <w:rFonts w:ascii="Arial"/>
                        <w:color w:val="010202"/>
                        <w:sz w:val="21"/>
                      </w:rPr>
                      <w:t>Medicare</w:t>
                    </w:r>
                    <w:r>
                      <w:rPr>
                        <w:rFonts w:ascii="Arial"/>
                        <w:color w:val="010202"/>
                        <w:spacing w:val="-55"/>
                        <w:sz w:val="21"/>
                      </w:rPr>
                      <w:t> </w:t>
                    </w:r>
                    <w:r>
                      <w:rPr>
                        <w:rFonts w:ascii="Arial"/>
                        <w:color w:val="010202"/>
                        <w:sz w:val="21"/>
                      </w:rPr>
                      <w:t>beneficiaries, including a 425 percent increase</w:t>
                    </w:r>
                    <w:r>
                      <w:rPr>
                        <w:rFonts w:ascii="Arial"/>
                        <w:color w:val="010202"/>
                        <w:spacing w:val="1"/>
                        <w:sz w:val="21"/>
                      </w:rPr>
                      <w:t> </w:t>
                    </w:r>
                    <w:r>
                      <w:rPr>
                        <w:rFonts w:ascii="Arial"/>
                        <w:color w:val="010202"/>
                        <w:sz w:val="21"/>
                      </w:rPr>
                      <w:t>for mental health appointments between 2010</w:t>
                    </w:r>
                    <w:r>
                      <w:rPr>
                        <w:rFonts w:ascii="Arial"/>
                        <w:color w:val="010202"/>
                        <w:spacing w:val="1"/>
                        <w:sz w:val="21"/>
                      </w:rPr>
                      <w:t> </w:t>
                    </w:r>
                    <w:r>
                      <w:rPr>
                        <w:rFonts w:ascii="Arial"/>
                        <w:color w:val="010202"/>
                        <w:sz w:val="21"/>
                      </w:rPr>
                      <w:t>and 2017. Among these beneficiaries, people</w:t>
                    </w:r>
                    <w:r>
                      <w:rPr>
                        <w:rFonts w:ascii="Arial"/>
                        <w:color w:val="010202"/>
                        <w:spacing w:val="1"/>
                        <w:sz w:val="21"/>
                      </w:rPr>
                      <w:t> </w:t>
                    </w:r>
                    <w:r>
                      <w:rPr>
                        <w:rFonts w:ascii="Arial"/>
                        <w:color w:val="010202"/>
                        <w:sz w:val="21"/>
                      </w:rPr>
                      <w:t>living with schizophrenia or bipolar disorder in</w:t>
                    </w:r>
                    <w:r>
                      <w:rPr>
                        <w:rFonts w:ascii="Arial"/>
                        <w:color w:val="010202"/>
                        <w:spacing w:val="1"/>
                        <w:sz w:val="21"/>
                      </w:rPr>
                      <w:t> </w:t>
                    </w:r>
                    <w:r>
                      <w:rPr>
                        <w:rFonts w:ascii="Arial"/>
                        <w:color w:val="010202"/>
                        <w:sz w:val="21"/>
                      </w:rPr>
                      <w:t>rural</w:t>
                    </w:r>
                    <w:r>
                      <w:rPr>
                        <w:rFonts w:ascii="Arial"/>
                        <w:color w:val="010202"/>
                        <w:spacing w:val="-1"/>
                        <w:sz w:val="21"/>
                      </w:rPr>
                      <w:t> </w:t>
                    </w:r>
                    <w:r>
                      <w:rPr>
                        <w:rFonts w:ascii="Arial"/>
                        <w:color w:val="010202"/>
                        <w:sz w:val="21"/>
                      </w:rPr>
                      <w:t>areas were more likely to use telehealth</w:t>
                    </w:r>
                  </w:p>
                  <w:p>
                    <w:pPr>
                      <w:spacing w:line="259" w:lineRule="auto" w:before="0"/>
                      <w:ind w:left="180" w:right="404" w:firstLine="0"/>
                      <w:jc w:val="left"/>
                      <w:rPr>
                        <w:rFonts w:ascii="Arial"/>
                        <w:sz w:val="12"/>
                      </w:rPr>
                    </w:pPr>
                    <w:r>
                      <w:rPr>
                        <w:rFonts w:ascii="Arial"/>
                        <w:color w:val="010202"/>
                        <w:sz w:val="21"/>
                      </w:rPr>
                      <w:t>for mental health care than those with any other</w:t>
                    </w:r>
                    <w:r>
                      <w:rPr>
                        <w:rFonts w:ascii="Arial"/>
                        <w:color w:val="010202"/>
                        <w:spacing w:val="-57"/>
                        <w:sz w:val="21"/>
                      </w:rPr>
                      <w:t> </w:t>
                    </w:r>
                    <w:r>
                      <w:rPr>
                        <w:rFonts w:ascii="Arial"/>
                        <w:color w:val="010202"/>
                        <w:sz w:val="21"/>
                      </w:rPr>
                      <w:t>mental illness or those living in</w:t>
                    </w:r>
                    <w:r>
                      <w:rPr>
                        <w:rFonts w:ascii="Arial"/>
                        <w:color w:val="010202"/>
                        <w:spacing w:val="1"/>
                        <w:sz w:val="21"/>
                      </w:rPr>
                      <w:t> </w:t>
                    </w:r>
                    <w:r>
                      <w:rPr>
                        <w:rFonts w:ascii="Arial"/>
                        <w:color w:val="010202"/>
                        <w:sz w:val="21"/>
                      </w:rPr>
                      <w:t>urban areas.</w:t>
                    </w:r>
                    <w:r>
                      <w:rPr>
                        <w:rFonts w:ascii="Arial"/>
                        <w:color w:val="010202"/>
                        <w:position w:val="7"/>
                        <w:sz w:val="12"/>
                      </w:rPr>
                      <w:t>29</w:t>
                    </w:r>
                  </w:p>
                </w:txbxContent>
              </v:textbox>
              <w10:wrap type="none"/>
            </v:shape>
            <w10:wrap type="topAndBottom"/>
          </v:group>
        </w:pict>
      </w:r>
    </w:p>
    <w:p>
      <w:pPr>
        <w:spacing w:after="0"/>
        <w:rPr>
          <w:sz w:val="15"/>
        </w:rPr>
        <w:sectPr>
          <w:type w:val="continuous"/>
          <w:pgSz w:w="12240" w:h="15840"/>
          <w:pgMar w:header="0" w:footer="666" w:top="1500" w:bottom="0" w:left="600" w:right="0"/>
          <w:cols w:num="2" w:equalWidth="0">
            <w:col w:w="5177" w:space="583"/>
            <w:col w:w="5880"/>
          </w:cols>
        </w:sectPr>
      </w:pPr>
    </w:p>
    <w:p>
      <w:pPr>
        <w:pStyle w:val="BodyText"/>
        <w:rPr>
          <w:sz w:val="20"/>
        </w:rPr>
      </w:pPr>
    </w:p>
    <w:p>
      <w:pPr>
        <w:pStyle w:val="BodyText"/>
        <w:spacing w:before="6"/>
        <w:rPr>
          <w:sz w:val="27"/>
        </w:rPr>
      </w:pPr>
    </w:p>
    <w:p>
      <w:pPr>
        <w:spacing w:after="0"/>
        <w:rPr>
          <w:sz w:val="27"/>
        </w:rPr>
        <w:sectPr>
          <w:pgSz w:w="12240" w:h="15840"/>
          <w:pgMar w:header="0" w:footer="666" w:top="380" w:bottom="860" w:left="600" w:right="0"/>
        </w:sectPr>
      </w:pPr>
    </w:p>
    <w:p>
      <w:pPr>
        <w:pStyle w:val="Heading5"/>
      </w:pPr>
      <w:r>
        <w:rPr>
          <w:color w:val="CE384B"/>
        </w:rPr>
        <w:t>Benefits</w:t>
      </w:r>
      <w:r>
        <w:rPr>
          <w:color w:val="CE384B"/>
          <w:spacing w:val="-12"/>
        </w:rPr>
        <w:t> </w:t>
      </w:r>
      <w:r>
        <w:rPr>
          <w:color w:val="CE384B"/>
        </w:rPr>
        <w:t>of</w:t>
      </w:r>
      <w:r>
        <w:rPr>
          <w:color w:val="CE384B"/>
          <w:spacing w:val="-10"/>
        </w:rPr>
        <w:t> </w:t>
      </w:r>
      <w:r>
        <w:rPr>
          <w:color w:val="CE384B"/>
        </w:rPr>
        <w:t>Telehealth</w:t>
      </w:r>
    </w:p>
    <w:p>
      <w:pPr>
        <w:pStyle w:val="BodyText"/>
        <w:spacing w:line="266" w:lineRule="auto" w:before="118"/>
        <w:ind w:left="120" w:right="160"/>
      </w:pPr>
      <w:r>
        <w:rPr>
          <w:color w:val="231F20"/>
        </w:rPr>
        <w:t>Telehealth supports team-based care and its interrelated</w:t>
      </w:r>
      <w:r>
        <w:rPr>
          <w:color w:val="231F20"/>
          <w:spacing w:val="-52"/>
        </w:rPr>
        <w:t> </w:t>
      </w:r>
      <w:r>
        <w:rPr>
          <w:color w:val="231F20"/>
        </w:rPr>
        <w:t>care objectives. The Quadruple Aim is a conceptual</w:t>
      </w:r>
      <w:r>
        <w:rPr>
          <w:color w:val="231F20"/>
          <w:spacing w:val="1"/>
        </w:rPr>
        <w:t> </w:t>
      </w:r>
      <w:r>
        <w:rPr>
          <w:color w:val="231F20"/>
        </w:rPr>
        <w:t>framework to understand, measure, and optimize health</w:t>
      </w:r>
      <w:r>
        <w:rPr>
          <w:color w:val="231F20"/>
          <w:spacing w:val="-52"/>
        </w:rPr>
        <w:t> </w:t>
      </w:r>
      <w:r>
        <w:rPr>
          <w:color w:val="231F20"/>
          <w:spacing w:val="-1"/>
        </w:rPr>
        <w:t>system performance. </w:t>
      </w:r>
      <w:r>
        <w:rPr>
          <w:color w:val="231F20"/>
        </w:rPr>
        <w:t>The Quadruple Aim organizes</w:t>
      </w:r>
      <w:r>
        <w:rPr>
          <w:color w:val="231F20"/>
          <w:spacing w:val="1"/>
        </w:rPr>
        <w:t> </w:t>
      </w:r>
      <w:r>
        <w:rPr>
          <w:color w:val="231F20"/>
        </w:rPr>
        <w:t>benefits</w:t>
      </w:r>
      <w:r>
        <w:rPr>
          <w:color w:val="231F20"/>
          <w:spacing w:val="-2"/>
        </w:rPr>
        <w:t> </w:t>
      </w:r>
      <w:r>
        <w:rPr>
          <w:color w:val="231F20"/>
        </w:rPr>
        <w:t>of</w:t>
      </w:r>
      <w:r>
        <w:rPr>
          <w:color w:val="231F20"/>
          <w:spacing w:val="-1"/>
        </w:rPr>
        <w:t> </w:t>
      </w:r>
      <w:r>
        <w:rPr>
          <w:color w:val="231F20"/>
        </w:rPr>
        <w:t>telehealth</w:t>
      </w:r>
      <w:r>
        <w:rPr>
          <w:color w:val="231F20"/>
          <w:spacing w:val="-1"/>
        </w:rPr>
        <w:t> </w:t>
      </w:r>
      <w:r>
        <w:rPr>
          <w:color w:val="231F20"/>
        </w:rPr>
        <w:t>into</w:t>
      </w:r>
      <w:r>
        <w:rPr>
          <w:color w:val="231F20"/>
          <w:spacing w:val="-1"/>
        </w:rPr>
        <w:t> </w:t>
      </w:r>
      <w:r>
        <w:rPr>
          <w:color w:val="231F20"/>
        </w:rPr>
        <w:t>four</w:t>
      </w:r>
      <w:r>
        <w:rPr>
          <w:color w:val="231F20"/>
          <w:spacing w:val="-1"/>
        </w:rPr>
        <w:t> </w:t>
      </w:r>
      <w:r>
        <w:rPr>
          <w:color w:val="231F20"/>
        </w:rPr>
        <w:t>categories:</w:t>
      </w:r>
      <w:r>
        <w:rPr>
          <w:color w:val="231F20"/>
          <w:vertAlign w:val="superscript"/>
        </w:rPr>
        <w:t>30</w:t>
      </w:r>
    </w:p>
    <w:p>
      <w:pPr>
        <w:pStyle w:val="ListParagraph"/>
        <w:numPr>
          <w:ilvl w:val="0"/>
          <w:numId w:val="3"/>
        </w:numPr>
        <w:tabs>
          <w:tab w:pos="839" w:val="left" w:leader="none"/>
          <w:tab w:pos="840" w:val="left" w:leader="none"/>
        </w:tabs>
        <w:spacing w:line="240" w:lineRule="auto" w:before="161" w:after="0"/>
        <w:ind w:left="839" w:right="0" w:hanging="360"/>
        <w:jc w:val="left"/>
        <w:rPr>
          <w:sz w:val="22"/>
        </w:rPr>
      </w:pPr>
      <w:r>
        <w:rPr>
          <w:color w:val="010202"/>
          <w:sz w:val="22"/>
        </w:rPr>
        <w:t>Improved provider experience</w:t>
      </w:r>
    </w:p>
    <w:p>
      <w:pPr>
        <w:pStyle w:val="ListParagraph"/>
        <w:numPr>
          <w:ilvl w:val="0"/>
          <w:numId w:val="3"/>
        </w:numPr>
        <w:tabs>
          <w:tab w:pos="839" w:val="left" w:leader="none"/>
          <w:tab w:pos="840" w:val="left" w:leader="none"/>
        </w:tabs>
        <w:spacing w:line="240" w:lineRule="auto" w:before="57" w:after="0"/>
        <w:ind w:left="839" w:right="0" w:hanging="360"/>
        <w:jc w:val="left"/>
        <w:rPr>
          <w:sz w:val="22"/>
        </w:rPr>
      </w:pPr>
      <w:r>
        <w:rPr>
          <w:color w:val="010202"/>
          <w:sz w:val="22"/>
        </w:rPr>
        <w:t>Improved client experience</w:t>
      </w:r>
    </w:p>
    <w:p>
      <w:pPr>
        <w:pStyle w:val="ListParagraph"/>
        <w:numPr>
          <w:ilvl w:val="0"/>
          <w:numId w:val="3"/>
        </w:numPr>
        <w:tabs>
          <w:tab w:pos="839" w:val="left" w:leader="none"/>
          <w:tab w:pos="840" w:val="left" w:leader="none"/>
        </w:tabs>
        <w:spacing w:line="240" w:lineRule="auto" w:before="57" w:after="0"/>
        <w:ind w:left="839" w:right="0" w:hanging="360"/>
        <w:jc w:val="left"/>
        <w:rPr>
          <w:sz w:val="22"/>
        </w:rPr>
      </w:pPr>
      <w:r>
        <w:rPr>
          <w:color w:val="010202"/>
          <w:sz w:val="22"/>
        </w:rPr>
        <w:t>Improved population health</w:t>
      </w:r>
    </w:p>
    <w:p>
      <w:pPr>
        <w:pStyle w:val="ListParagraph"/>
        <w:numPr>
          <w:ilvl w:val="0"/>
          <w:numId w:val="3"/>
        </w:numPr>
        <w:tabs>
          <w:tab w:pos="839" w:val="left" w:leader="none"/>
          <w:tab w:pos="840" w:val="left" w:leader="none"/>
        </w:tabs>
        <w:spacing w:line="240" w:lineRule="auto" w:before="57" w:after="0"/>
        <w:ind w:left="839" w:right="0" w:hanging="360"/>
        <w:jc w:val="left"/>
        <w:rPr>
          <w:sz w:val="22"/>
        </w:rPr>
      </w:pPr>
      <w:r>
        <w:rPr>
          <w:color w:val="010202"/>
          <w:sz w:val="22"/>
        </w:rPr>
        <w:t>Decreased</w:t>
      </w:r>
      <w:r>
        <w:rPr>
          <w:color w:val="010202"/>
          <w:spacing w:val="-1"/>
          <w:sz w:val="22"/>
        </w:rPr>
        <w:t> </w:t>
      </w:r>
      <w:r>
        <w:rPr>
          <w:color w:val="010202"/>
          <w:sz w:val="22"/>
        </w:rPr>
        <w:t>costs</w:t>
      </w:r>
    </w:p>
    <w:p>
      <w:pPr>
        <w:pStyle w:val="ListParagraph"/>
        <w:numPr>
          <w:ilvl w:val="0"/>
          <w:numId w:val="4"/>
        </w:numPr>
        <w:tabs>
          <w:tab w:pos="480" w:val="left" w:leader="none"/>
        </w:tabs>
        <w:spacing w:line="266" w:lineRule="auto" w:before="207" w:after="0"/>
        <w:ind w:left="480" w:right="404" w:hanging="360"/>
        <w:jc w:val="left"/>
        <w:rPr>
          <w:sz w:val="22"/>
        </w:rPr>
      </w:pPr>
      <w:r>
        <w:rPr>
          <w:b/>
          <w:i/>
          <w:color w:val="010202"/>
          <w:sz w:val="22"/>
        </w:rPr>
        <w:t>Provider experience. </w:t>
      </w:r>
      <w:r>
        <w:rPr>
          <w:color w:val="010202"/>
          <w:sz w:val="22"/>
        </w:rPr>
        <w:t>Providers may improve the</w:t>
      </w:r>
      <w:r>
        <w:rPr>
          <w:color w:val="010202"/>
          <w:spacing w:val="-53"/>
          <w:sz w:val="22"/>
        </w:rPr>
        <w:t> </w:t>
      </w:r>
      <w:r>
        <w:rPr>
          <w:color w:val="010202"/>
          <w:sz w:val="22"/>
        </w:rPr>
        <w:t>quality of care they provide and experience the</w:t>
      </w:r>
      <w:r>
        <w:rPr>
          <w:color w:val="010202"/>
          <w:spacing w:val="1"/>
          <w:sz w:val="22"/>
        </w:rPr>
        <w:t> </w:t>
      </w:r>
      <w:r>
        <w:rPr>
          <w:color w:val="010202"/>
          <w:sz w:val="22"/>
        </w:rPr>
        <w:t>following benefits from implementing telehealth</w:t>
      </w:r>
      <w:r>
        <w:rPr>
          <w:color w:val="010202"/>
          <w:spacing w:val="-52"/>
          <w:sz w:val="22"/>
        </w:rPr>
        <w:t> </w:t>
      </w:r>
      <w:r>
        <w:rPr>
          <w:color w:val="010202"/>
          <w:sz w:val="22"/>
        </w:rPr>
        <w:t>methods:</w:t>
      </w:r>
    </w:p>
    <w:p>
      <w:pPr>
        <w:pStyle w:val="ListParagraph"/>
        <w:numPr>
          <w:ilvl w:val="1"/>
          <w:numId w:val="4"/>
        </w:numPr>
        <w:tabs>
          <w:tab w:pos="839" w:val="left" w:leader="none"/>
          <w:tab w:pos="840" w:val="left" w:leader="none"/>
        </w:tabs>
        <w:spacing w:line="240" w:lineRule="auto" w:before="141" w:after="0"/>
        <w:ind w:left="839" w:right="0" w:hanging="360"/>
        <w:jc w:val="left"/>
        <w:rPr>
          <w:sz w:val="22"/>
        </w:rPr>
      </w:pPr>
      <w:r>
        <w:rPr>
          <w:b/>
          <w:color w:val="010202"/>
          <w:sz w:val="22"/>
        </w:rPr>
        <w:t>Provision</w:t>
      </w:r>
      <w:r>
        <w:rPr>
          <w:b/>
          <w:color w:val="010202"/>
          <w:spacing w:val="-2"/>
          <w:sz w:val="22"/>
        </w:rPr>
        <w:t> </w:t>
      </w:r>
      <w:r>
        <w:rPr>
          <w:b/>
          <w:color w:val="010202"/>
          <w:sz w:val="22"/>
        </w:rPr>
        <w:t>of</w:t>
      </w:r>
      <w:r>
        <w:rPr>
          <w:b/>
          <w:color w:val="010202"/>
          <w:spacing w:val="-2"/>
          <w:sz w:val="22"/>
        </w:rPr>
        <w:t> </w:t>
      </w:r>
      <w:r>
        <w:rPr>
          <w:b/>
          <w:color w:val="010202"/>
          <w:sz w:val="22"/>
        </w:rPr>
        <w:t>timely</w:t>
      </w:r>
      <w:r>
        <w:rPr>
          <w:b/>
          <w:color w:val="010202"/>
          <w:spacing w:val="-1"/>
          <w:sz w:val="22"/>
        </w:rPr>
        <w:t> </w:t>
      </w:r>
      <w:r>
        <w:rPr>
          <w:b/>
          <w:color w:val="010202"/>
          <w:sz w:val="22"/>
        </w:rPr>
        <w:t>client</w:t>
      </w:r>
      <w:r>
        <w:rPr>
          <w:b/>
          <w:color w:val="010202"/>
          <w:spacing w:val="-2"/>
          <w:sz w:val="22"/>
        </w:rPr>
        <w:t> </w:t>
      </w:r>
      <w:r>
        <w:rPr>
          <w:b/>
          <w:color w:val="010202"/>
          <w:sz w:val="22"/>
        </w:rPr>
        <w:t>care.</w:t>
      </w:r>
      <w:r>
        <w:rPr>
          <w:b/>
          <w:color w:val="010202"/>
          <w:spacing w:val="-1"/>
          <w:sz w:val="22"/>
        </w:rPr>
        <w:t> </w:t>
      </w:r>
      <w:r>
        <w:rPr>
          <w:color w:val="010202"/>
          <w:sz w:val="22"/>
        </w:rPr>
        <w:t>Providers</w:t>
      </w:r>
    </w:p>
    <w:p>
      <w:pPr>
        <w:pStyle w:val="BodyText"/>
        <w:spacing w:line="266" w:lineRule="auto" w:before="26"/>
        <w:ind w:left="839" w:right="127"/>
      </w:pPr>
      <w:r>
        <w:rPr>
          <w:color w:val="010202"/>
        </w:rPr>
        <w:t>may have increased flexibility in appointment</w:t>
      </w:r>
      <w:r>
        <w:rPr>
          <w:color w:val="010202"/>
          <w:spacing w:val="1"/>
        </w:rPr>
        <w:t> </w:t>
      </w:r>
      <w:r>
        <w:rPr>
          <w:color w:val="010202"/>
        </w:rPr>
        <w:t>scheduling</w:t>
      </w:r>
      <w:r>
        <w:rPr>
          <w:color w:val="010202"/>
          <w:spacing w:val="-3"/>
        </w:rPr>
        <w:t> </w:t>
      </w:r>
      <w:r>
        <w:rPr>
          <w:color w:val="010202"/>
        </w:rPr>
        <w:t>by</w:t>
      </w:r>
      <w:r>
        <w:rPr>
          <w:color w:val="010202"/>
          <w:spacing w:val="-2"/>
        </w:rPr>
        <w:t> </w:t>
      </w:r>
      <w:r>
        <w:rPr>
          <w:color w:val="010202"/>
        </w:rPr>
        <w:t>using</w:t>
      </w:r>
      <w:r>
        <w:rPr>
          <w:color w:val="010202"/>
          <w:spacing w:val="-3"/>
        </w:rPr>
        <w:t> </w:t>
      </w:r>
      <w:r>
        <w:rPr>
          <w:color w:val="010202"/>
        </w:rPr>
        <w:t>telehealth.</w:t>
      </w:r>
      <w:r>
        <w:rPr>
          <w:color w:val="010202"/>
          <w:spacing w:val="-7"/>
        </w:rPr>
        <w:t> </w:t>
      </w:r>
      <w:r>
        <w:rPr>
          <w:color w:val="010202"/>
        </w:rPr>
        <w:t>They</w:t>
      </w:r>
      <w:r>
        <w:rPr>
          <w:color w:val="010202"/>
          <w:spacing w:val="-2"/>
        </w:rPr>
        <w:t> </w:t>
      </w:r>
      <w:r>
        <w:rPr>
          <w:color w:val="010202"/>
        </w:rPr>
        <w:t>can</w:t>
      </w:r>
      <w:r>
        <w:rPr>
          <w:color w:val="010202"/>
          <w:spacing w:val="-2"/>
        </w:rPr>
        <w:t> </w:t>
      </w:r>
      <w:r>
        <w:rPr>
          <w:color w:val="010202"/>
        </w:rPr>
        <w:t>extend</w:t>
      </w:r>
      <w:r>
        <w:rPr>
          <w:color w:val="010202"/>
          <w:spacing w:val="-52"/>
        </w:rPr>
        <w:t> </w:t>
      </w:r>
      <w:r>
        <w:rPr>
          <w:color w:val="010202"/>
        </w:rPr>
        <w:t>care beyond a clinic’s normal operating hours</w:t>
      </w:r>
      <w:r>
        <w:rPr>
          <w:color w:val="010202"/>
          <w:spacing w:val="1"/>
        </w:rPr>
        <w:t> </w:t>
      </w:r>
      <w:r>
        <w:rPr>
          <w:color w:val="010202"/>
        </w:rPr>
        <w:t>and its four walls and leverage “virtual walk-in</w:t>
      </w:r>
      <w:r>
        <w:rPr>
          <w:color w:val="010202"/>
          <w:spacing w:val="1"/>
        </w:rPr>
        <w:t> </w:t>
      </w:r>
      <w:r>
        <w:rPr>
          <w:color w:val="010202"/>
        </w:rPr>
        <w:t>visits.” Increased flexibility can help clinics to</w:t>
      </w:r>
      <w:r>
        <w:rPr>
          <w:color w:val="010202"/>
          <w:spacing w:val="1"/>
        </w:rPr>
        <w:t> </w:t>
      </w:r>
      <w:r>
        <w:rPr>
          <w:color w:val="010202"/>
        </w:rPr>
        <w:t>more effectively manage client “no-shows” and</w:t>
      </w:r>
      <w:r>
        <w:rPr>
          <w:color w:val="010202"/>
          <w:spacing w:val="-52"/>
        </w:rPr>
        <w:t> </w:t>
      </w:r>
      <w:r>
        <w:rPr>
          <w:color w:val="010202"/>
        </w:rPr>
        <w:t>cancellations.</w:t>
      </w:r>
      <w:r>
        <w:rPr>
          <w:color w:val="010202"/>
          <w:vertAlign w:val="superscript"/>
        </w:rPr>
        <w:t>34-37</w:t>
      </w:r>
    </w:p>
    <w:p>
      <w:pPr>
        <w:pStyle w:val="ListParagraph"/>
        <w:numPr>
          <w:ilvl w:val="1"/>
          <w:numId w:val="4"/>
        </w:numPr>
        <w:tabs>
          <w:tab w:pos="839" w:val="left" w:leader="none"/>
          <w:tab w:pos="840" w:val="left" w:leader="none"/>
        </w:tabs>
        <w:spacing w:line="264" w:lineRule="auto" w:before="25" w:after="0"/>
        <w:ind w:left="839" w:right="38" w:hanging="360"/>
        <w:jc w:val="left"/>
        <w:rPr>
          <w:sz w:val="22"/>
        </w:rPr>
      </w:pPr>
      <w:r>
        <w:rPr>
          <w:b/>
          <w:color w:val="010202"/>
          <w:sz w:val="22"/>
        </w:rPr>
        <w:t>Effective</w:t>
      </w:r>
      <w:r>
        <w:rPr>
          <w:b/>
          <w:color w:val="010202"/>
          <w:spacing w:val="-11"/>
          <w:sz w:val="22"/>
        </w:rPr>
        <w:t> </w:t>
      </w:r>
      <w:r>
        <w:rPr>
          <w:b/>
          <w:color w:val="010202"/>
          <w:sz w:val="22"/>
        </w:rPr>
        <w:t>and</w:t>
      </w:r>
      <w:r>
        <w:rPr>
          <w:b/>
          <w:color w:val="010202"/>
          <w:spacing w:val="-11"/>
          <w:sz w:val="22"/>
        </w:rPr>
        <w:t> </w:t>
      </w:r>
      <w:r>
        <w:rPr>
          <w:b/>
          <w:color w:val="010202"/>
          <w:sz w:val="22"/>
        </w:rPr>
        <w:t>efficient</w:t>
      </w:r>
      <w:r>
        <w:rPr>
          <w:b/>
          <w:color w:val="010202"/>
          <w:spacing w:val="-11"/>
          <w:sz w:val="22"/>
        </w:rPr>
        <w:t> </w:t>
      </w:r>
      <w:r>
        <w:rPr>
          <w:b/>
          <w:color w:val="010202"/>
          <w:sz w:val="22"/>
        </w:rPr>
        <w:t>coordination</w:t>
      </w:r>
      <w:r>
        <w:rPr>
          <w:b/>
          <w:color w:val="010202"/>
          <w:spacing w:val="-11"/>
          <w:sz w:val="22"/>
        </w:rPr>
        <w:t> </w:t>
      </w:r>
      <w:r>
        <w:rPr>
          <w:b/>
          <w:color w:val="010202"/>
          <w:sz w:val="22"/>
        </w:rPr>
        <w:t>of</w:t>
      </w:r>
      <w:r>
        <w:rPr>
          <w:b/>
          <w:color w:val="010202"/>
          <w:spacing w:val="-11"/>
          <w:sz w:val="22"/>
        </w:rPr>
        <w:t> </w:t>
      </w:r>
      <w:r>
        <w:rPr>
          <w:b/>
          <w:color w:val="010202"/>
          <w:sz w:val="22"/>
        </w:rPr>
        <w:t>care.</w:t>
      </w:r>
      <w:r>
        <w:rPr>
          <w:b/>
          <w:color w:val="010202"/>
          <w:spacing w:val="-11"/>
          <w:sz w:val="22"/>
        </w:rPr>
        <w:t> </w:t>
      </w:r>
      <w:r>
        <w:rPr>
          <w:color w:val="010202"/>
          <w:sz w:val="22"/>
        </w:rPr>
        <w:t>An</w:t>
      </w:r>
      <w:r>
        <w:rPr>
          <w:color w:val="010202"/>
          <w:spacing w:val="-52"/>
          <w:sz w:val="22"/>
        </w:rPr>
        <w:t> </w:t>
      </w:r>
      <w:r>
        <w:rPr>
          <w:color w:val="010202"/>
          <w:sz w:val="22"/>
        </w:rPr>
        <w:t>estimated 40 to 60 percent of civilian clients (not</w:t>
      </w:r>
      <w:r>
        <w:rPr>
          <w:color w:val="010202"/>
          <w:spacing w:val="-52"/>
          <w:sz w:val="22"/>
        </w:rPr>
        <w:t> </w:t>
      </w:r>
      <w:r>
        <w:rPr>
          <w:color w:val="010202"/>
          <w:sz w:val="22"/>
        </w:rPr>
        <w:t>inclusive of military populations) with mental</w:t>
      </w:r>
      <w:r>
        <w:rPr>
          <w:color w:val="010202"/>
          <w:spacing w:val="1"/>
          <w:sz w:val="22"/>
        </w:rPr>
        <w:t> </w:t>
      </w:r>
      <w:r>
        <w:rPr>
          <w:color w:val="010202"/>
          <w:sz w:val="22"/>
        </w:rPr>
        <w:t>and substance use disorders are currently treated</w:t>
      </w:r>
      <w:r>
        <w:rPr>
          <w:color w:val="010202"/>
          <w:spacing w:val="1"/>
          <w:sz w:val="22"/>
        </w:rPr>
        <w:t> </w:t>
      </w:r>
      <w:r>
        <w:rPr>
          <w:color w:val="010202"/>
          <w:sz w:val="22"/>
        </w:rPr>
        <w:t>in</w:t>
      </w:r>
      <w:r>
        <w:rPr>
          <w:color w:val="010202"/>
          <w:spacing w:val="-2"/>
          <w:sz w:val="22"/>
        </w:rPr>
        <w:t> </w:t>
      </w:r>
      <w:r>
        <w:rPr>
          <w:color w:val="010202"/>
          <w:sz w:val="22"/>
        </w:rPr>
        <w:t>primary</w:t>
      </w:r>
      <w:r>
        <w:rPr>
          <w:color w:val="010202"/>
          <w:spacing w:val="-2"/>
          <w:sz w:val="22"/>
        </w:rPr>
        <w:t> </w:t>
      </w:r>
      <w:r>
        <w:rPr>
          <w:color w:val="010202"/>
          <w:sz w:val="22"/>
        </w:rPr>
        <w:t>care</w:t>
      </w:r>
      <w:r>
        <w:rPr>
          <w:color w:val="010202"/>
          <w:spacing w:val="-2"/>
          <w:sz w:val="22"/>
        </w:rPr>
        <w:t> </w:t>
      </w:r>
      <w:r>
        <w:rPr>
          <w:color w:val="010202"/>
          <w:sz w:val="22"/>
        </w:rPr>
        <w:t>offices</w:t>
      </w:r>
      <w:r>
        <w:rPr>
          <w:color w:val="010202"/>
          <w:spacing w:val="-2"/>
          <w:sz w:val="22"/>
        </w:rPr>
        <w:t> </w:t>
      </w:r>
      <w:r>
        <w:rPr>
          <w:color w:val="010202"/>
          <w:sz w:val="22"/>
        </w:rPr>
        <w:t>rather</w:t>
      </w:r>
      <w:r>
        <w:rPr>
          <w:color w:val="010202"/>
          <w:spacing w:val="-2"/>
          <w:sz w:val="22"/>
        </w:rPr>
        <w:t> </w:t>
      </w:r>
      <w:r>
        <w:rPr>
          <w:color w:val="010202"/>
          <w:sz w:val="22"/>
        </w:rPr>
        <w:t>than</w:t>
      </w:r>
      <w:r>
        <w:rPr>
          <w:color w:val="010202"/>
          <w:spacing w:val="-2"/>
          <w:sz w:val="22"/>
        </w:rPr>
        <w:t> </w:t>
      </w:r>
      <w:r>
        <w:rPr>
          <w:color w:val="010202"/>
          <w:sz w:val="22"/>
        </w:rPr>
        <w:t>specialty</w:t>
      </w:r>
    </w:p>
    <w:p>
      <w:pPr>
        <w:pStyle w:val="BodyText"/>
        <w:spacing w:line="264" w:lineRule="auto" w:before="7"/>
        <w:ind w:left="840" w:right="100" w:hanging="1"/>
        <w:rPr>
          <w:sz w:val="13"/>
        </w:rPr>
      </w:pPr>
      <w:r>
        <w:rPr>
          <w:color w:val="010202"/>
        </w:rPr>
        <w:t>care settings.</w:t>
      </w:r>
      <w:r>
        <w:rPr>
          <w:color w:val="010202"/>
          <w:vertAlign w:val="superscript"/>
        </w:rPr>
        <w:t>31</w:t>
      </w:r>
      <w:r>
        <w:rPr>
          <w:color w:val="010202"/>
          <w:vertAlign w:val="baseline"/>
        </w:rPr>
        <w:t> Providers can use telehealth</w:t>
      </w:r>
      <w:r>
        <w:rPr>
          <w:color w:val="010202"/>
          <w:spacing w:val="1"/>
          <w:vertAlign w:val="baseline"/>
        </w:rPr>
        <w:t> </w:t>
      </w:r>
      <w:r>
        <w:rPr>
          <w:color w:val="010202"/>
          <w:vertAlign w:val="baseline"/>
        </w:rPr>
        <w:t>methods for tele-consultation, tele-supervision,</w:t>
      </w:r>
      <w:r>
        <w:rPr>
          <w:color w:val="010202"/>
          <w:spacing w:val="1"/>
          <w:vertAlign w:val="baseline"/>
        </w:rPr>
        <w:t> </w:t>
      </w:r>
      <w:r>
        <w:rPr>
          <w:color w:val="010202"/>
          <w:vertAlign w:val="baseline"/>
        </w:rPr>
        <w:t>and tele-education to coordinate, integrate, and</w:t>
      </w:r>
      <w:r>
        <w:rPr>
          <w:color w:val="010202"/>
          <w:spacing w:val="1"/>
          <w:vertAlign w:val="baseline"/>
        </w:rPr>
        <w:t> </w:t>
      </w:r>
      <w:r>
        <w:rPr>
          <w:color w:val="010202"/>
          <w:vertAlign w:val="baseline"/>
        </w:rPr>
        <w:t>improve care (e.g., through the “hub and spoke”</w:t>
      </w:r>
      <w:r>
        <w:rPr>
          <w:color w:val="010202"/>
          <w:spacing w:val="-52"/>
          <w:vertAlign w:val="baseline"/>
        </w:rPr>
        <w:t> </w:t>
      </w:r>
      <w:r>
        <w:rPr>
          <w:color w:val="010202"/>
          <w:position w:val="-6"/>
          <w:vertAlign w:val="baseline"/>
        </w:rPr>
        <w:t>model).</w:t>
      </w:r>
      <w:r>
        <w:rPr>
          <w:color w:val="010202"/>
          <w:sz w:val="13"/>
          <w:vertAlign w:val="baseline"/>
        </w:rPr>
        <w:t>11,</w:t>
      </w:r>
      <w:r>
        <w:rPr>
          <w:color w:val="010202"/>
          <w:spacing w:val="-2"/>
          <w:sz w:val="13"/>
          <w:vertAlign w:val="baseline"/>
        </w:rPr>
        <w:t> </w:t>
      </w:r>
      <w:r>
        <w:rPr>
          <w:color w:val="010202"/>
          <w:sz w:val="13"/>
          <w:vertAlign w:val="baseline"/>
        </w:rPr>
        <w:t>38-40</w:t>
      </w:r>
    </w:p>
    <w:p>
      <w:pPr>
        <w:pStyle w:val="ListParagraph"/>
        <w:numPr>
          <w:ilvl w:val="1"/>
          <w:numId w:val="4"/>
        </w:numPr>
        <w:tabs>
          <w:tab w:pos="839" w:val="left" w:leader="none"/>
          <w:tab w:pos="840" w:val="left" w:leader="none"/>
        </w:tabs>
        <w:spacing w:line="264" w:lineRule="auto" w:before="39" w:after="0"/>
        <w:ind w:left="839" w:right="43" w:hanging="360"/>
        <w:jc w:val="left"/>
        <w:rPr>
          <w:sz w:val="22"/>
        </w:rPr>
      </w:pPr>
      <w:r>
        <w:rPr>
          <w:b/>
          <w:color w:val="010202"/>
          <w:spacing w:val="-1"/>
          <w:sz w:val="22"/>
        </w:rPr>
        <w:t>Reduction in workforce shortages</w:t>
      </w:r>
      <w:r>
        <w:rPr>
          <w:color w:val="010202"/>
          <w:spacing w:val="-1"/>
          <w:sz w:val="22"/>
        </w:rPr>
        <w:t>. </w:t>
      </w:r>
      <w:r>
        <w:rPr>
          <w:color w:val="010202"/>
          <w:sz w:val="22"/>
        </w:rPr>
        <w:t>This is</w:t>
      </w:r>
      <w:r>
        <w:rPr>
          <w:color w:val="010202"/>
          <w:spacing w:val="1"/>
          <w:sz w:val="22"/>
        </w:rPr>
        <w:t> </w:t>
      </w:r>
      <w:r>
        <w:rPr>
          <w:color w:val="010202"/>
          <w:w w:val="95"/>
          <w:sz w:val="22"/>
        </w:rPr>
        <w:t>especially</w:t>
      </w:r>
      <w:r>
        <w:rPr>
          <w:color w:val="010202"/>
          <w:spacing w:val="-2"/>
          <w:w w:val="95"/>
          <w:sz w:val="22"/>
        </w:rPr>
        <w:t> </w:t>
      </w:r>
      <w:r>
        <w:rPr>
          <w:color w:val="010202"/>
          <w:w w:val="95"/>
          <w:sz w:val="22"/>
        </w:rPr>
        <w:t>true</w:t>
      </w:r>
      <w:r>
        <w:rPr>
          <w:color w:val="010202"/>
          <w:spacing w:val="-2"/>
          <w:w w:val="95"/>
          <w:sz w:val="22"/>
        </w:rPr>
        <w:t> </w:t>
      </w:r>
      <w:r>
        <w:rPr>
          <w:color w:val="010202"/>
          <w:w w:val="95"/>
          <w:sz w:val="22"/>
        </w:rPr>
        <w:t>for</w:t>
      </w:r>
      <w:r>
        <w:rPr>
          <w:color w:val="010202"/>
          <w:spacing w:val="-2"/>
          <w:w w:val="95"/>
          <w:sz w:val="22"/>
        </w:rPr>
        <w:t> </w:t>
      </w:r>
      <w:r>
        <w:rPr>
          <w:color w:val="010202"/>
          <w:w w:val="95"/>
          <w:sz w:val="22"/>
        </w:rPr>
        <w:t>underserved</w:t>
      </w:r>
      <w:r>
        <w:rPr>
          <w:color w:val="010202"/>
          <w:spacing w:val="-1"/>
          <w:w w:val="95"/>
          <w:sz w:val="22"/>
        </w:rPr>
        <w:t> </w:t>
      </w:r>
      <w:r>
        <w:rPr>
          <w:color w:val="010202"/>
          <w:w w:val="95"/>
          <w:sz w:val="22"/>
        </w:rPr>
        <w:t>and</w:t>
      </w:r>
      <w:r>
        <w:rPr>
          <w:color w:val="010202"/>
          <w:spacing w:val="-2"/>
          <w:w w:val="95"/>
          <w:sz w:val="22"/>
        </w:rPr>
        <w:t> </w:t>
      </w:r>
      <w:r>
        <w:rPr>
          <w:color w:val="010202"/>
          <w:w w:val="95"/>
          <w:sz w:val="22"/>
        </w:rPr>
        <w:t>rural</w:t>
      </w:r>
      <w:r>
        <w:rPr>
          <w:color w:val="010202"/>
          <w:spacing w:val="-2"/>
          <w:w w:val="95"/>
          <w:sz w:val="22"/>
        </w:rPr>
        <w:t> </w:t>
      </w:r>
      <w:r>
        <w:rPr>
          <w:color w:val="010202"/>
          <w:w w:val="95"/>
          <w:sz w:val="22"/>
        </w:rPr>
        <w:t>areas.</w:t>
      </w:r>
      <w:r>
        <w:rPr>
          <w:color w:val="010202"/>
          <w:w w:val="95"/>
          <w:sz w:val="22"/>
          <w:vertAlign w:val="superscript"/>
        </w:rPr>
        <w:t>7-9,</w:t>
      </w:r>
      <w:r>
        <w:rPr>
          <w:color w:val="010202"/>
          <w:spacing w:val="-22"/>
          <w:w w:val="95"/>
          <w:sz w:val="22"/>
          <w:vertAlign w:val="baseline"/>
        </w:rPr>
        <w:t> </w:t>
      </w:r>
      <w:r>
        <w:rPr>
          <w:color w:val="010202"/>
          <w:w w:val="95"/>
          <w:sz w:val="22"/>
          <w:vertAlign w:val="superscript"/>
        </w:rPr>
        <w:t>41</w:t>
      </w:r>
    </w:p>
    <w:p>
      <w:pPr>
        <w:pStyle w:val="ListParagraph"/>
        <w:numPr>
          <w:ilvl w:val="1"/>
          <w:numId w:val="4"/>
        </w:numPr>
        <w:tabs>
          <w:tab w:pos="839" w:val="left" w:leader="none"/>
          <w:tab w:pos="840" w:val="left" w:leader="none"/>
        </w:tabs>
        <w:spacing w:line="266" w:lineRule="auto" w:before="32" w:after="0"/>
        <w:ind w:left="839" w:right="195" w:hanging="360"/>
        <w:jc w:val="left"/>
        <w:rPr>
          <w:sz w:val="22"/>
        </w:rPr>
      </w:pPr>
      <w:r>
        <w:rPr>
          <w:b/>
          <w:color w:val="010202"/>
          <w:sz w:val="22"/>
        </w:rPr>
        <w:t>Ability to assess client’s home environment.</w:t>
      </w:r>
      <w:r>
        <w:rPr>
          <w:b/>
          <w:color w:val="010202"/>
          <w:spacing w:val="1"/>
          <w:sz w:val="22"/>
        </w:rPr>
        <w:t> </w:t>
      </w:r>
      <w:r>
        <w:rPr>
          <w:color w:val="010202"/>
          <w:sz w:val="22"/>
        </w:rPr>
        <w:t>Rather than rely on a client’s report of their</w:t>
      </w:r>
      <w:r>
        <w:rPr>
          <w:color w:val="010202"/>
          <w:spacing w:val="1"/>
          <w:sz w:val="22"/>
        </w:rPr>
        <w:t> </w:t>
      </w:r>
      <w:r>
        <w:rPr>
          <w:color w:val="010202"/>
          <w:sz w:val="22"/>
        </w:rPr>
        <w:t>home and living conditions, telehealth makes it</w:t>
      </w:r>
      <w:r>
        <w:rPr>
          <w:color w:val="010202"/>
          <w:spacing w:val="-52"/>
          <w:sz w:val="22"/>
        </w:rPr>
        <w:t> </w:t>
      </w:r>
      <w:r>
        <w:rPr>
          <w:color w:val="010202"/>
          <w:sz w:val="22"/>
        </w:rPr>
        <w:t>possible for providers to see, with appropriate</w:t>
      </w:r>
      <w:r>
        <w:rPr>
          <w:color w:val="010202"/>
          <w:spacing w:val="1"/>
          <w:sz w:val="22"/>
        </w:rPr>
        <w:t> </w:t>
      </w:r>
      <w:r>
        <w:rPr>
          <w:color w:val="010202"/>
          <w:sz w:val="22"/>
        </w:rPr>
        <w:t>permission,</w:t>
      </w:r>
      <w:r>
        <w:rPr>
          <w:color w:val="010202"/>
          <w:spacing w:val="-3"/>
          <w:sz w:val="22"/>
        </w:rPr>
        <w:t> </w:t>
      </w:r>
      <w:r>
        <w:rPr>
          <w:color w:val="010202"/>
          <w:sz w:val="22"/>
        </w:rPr>
        <w:t>inside</w:t>
      </w:r>
      <w:r>
        <w:rPr>
          <w:color w:val="010202"/>
          <w:spacing w:val="-2"/>
          <w:sz w:val="22"/>
        </w:rPr>
        <w:t> </w:t>
      </w:r>
      <w:r>
        <w:rPr>
          <w:color w:val="010202"/>
          <w:sz w:val="22"/>
        </w:rPr>
        <w:t>a</w:t>
      </w:r>
      <w:r>
        <w:rPr>
          <w:color w:val="010202"/>
          <w:spacing w:val="-2"/>
          <w:sz w:val="22"/>
        </w:rPr>
        <w:t> </w:t>
      </w:r>
      <w:r>
        <w:rPr>
          <w:color w:val="010202"/>
          <w:sz w:val="22"/>
        </w:rPr>
        <w:t>client’s</w:t>
      </w:r>
      <w:r>
        <w:rPr>
          <w:color w:val="010202"/>
          <w:spacing w:val="-2"/>
          <w:sz w:val="22"/>
        </w:rPr>
        <w:t> </w:t>
      </w:r>
      <w:r>
        <w:rPr>
          <w:color w:val="010202"/>
          <w:sz w:val="22"/>
        </w:rPr>
        <w:t>home,</w:t>
      </w:r>
      <w:r>
        <w:rPr>
          <w:color w:val="010202"/>
          <w:spacing w:val="-2"/>
          <w:sz w:val="22"/>
        </w:rPr>
        <w:t> </w:t>
      </w:r>
      <w:r>
        <w:rPr>
          <w:color w:val="010202"/>
          <w:sz w:val="22"/>
        </w:rPr>
        <w:t>meet</w:t>
      </w:r>
      <w:r>
        <w:rPr>
          <w:color w:val="010202"/>
          <w:spacing w:val="-2"/>
          <w:sz w:val="22"/>
        </w:rPr>
        <w:t> </w:t>
      </w:r>
      <w:r>
        <w:rPr>
          <w:color w:val="010202"/>
          <w:sz w:val="22"/>
        </w:rPr>
        <w:t>family</w:t>
      </w:r>
      <w:r>
        <w:rPr>
          <w:color w:val="010202"/>
          <w:spacing w:val="-52"/>
          <w:sz w:val="22"/>
        </w:rPr>
        <w:t> </w:t>
      </w:r>
      <w:r>
        <w:rPr>
          <w:color w:val="010202"/>
          <w:sz w:val="22"/>
        </w:rPr>
        <w:t>support systems, and determine if an in-person</w:t>
      </w:r>
      <w:r>
        <w:rPr>
          <w:color w:val="010202"/>
          <w:spacing w:val="-52"/>
          <w:sz w:val="22"/>
        </w:rPr>
        <w:t> </w:t>
      </w:r>
      <w:r>
        <w:rPr>
          <w:color w:val="010202"/>
          <w:sz w:val="22"/>
        </w:rPr>
        <w:t>visit</w:t>
      </w:r>
      <w:r>
        <w:rPr>
          <w:color w:val="010202"/>
          <w:spacing w:val="-2"/>
          <w:sz w:val="22"/>
        </w:rPr>
        <w:t> </w:t>
      </w:r>
      <w:r>
        <w:rPr>
          <w:color w:val="010202"/>
          <w:sz w:val="22"/>
        </w:rPr>
        <w:t>at</w:t>
      </w:r>
      <w:r>
        <w:rPr>
          <w:color w:val="010202"/>
          <w:spacing w:val="-1"/>
          <w:sz w:val="22"/>
        </w:rPr>
        <w:t> </w:t>
      </w:r>
      <w:r>
        <w:rPr>
          <w:color w:val="010202"/>
          <w:sz w:val="22"/>
        </w:rPr>
        <w:t>a</w:t>
      </w:r>
      <w:r>
        <w:rPr>
          <w:color w:val="010202"/>
          <w:spacing w:val="-1"/>
          <w:sz w:val="22"/>
        </w:rPr>
        <w:t> </w:t>
      </w:r>
      <w:r>
        <w:rPr>
          <w:color w:val="010202"/>
          <w:sz w:val="22"/>
        </w:rPr>
        <w:t>person’s</w:t>
      </w:r>
      <w:r>
        <w:rPr>
          <w:color w:val="010202"/>
          <w:spacing w:val="-1"/>
          <w:sz w:val="22"/>
        </w:rPr>
        <w:t> </w:t>
      </w:r>
      <w:r>
        <w:rPr>
          <w:color w:val="010202"/>
          <w:sz w:val="22"/>
        </w:rPr>
        <w:t>home</w:t>
      </w:r>
      <w:r>
        <w:rPr>
          <w:color w:val="010202"/>
          <w:spacing w:val="-1"/>
          <w:sz w:val="22"/>
        </w:rPr>
        <w:t> </w:t>
      </w:r>
      <w:r>
        <w:rPr>
          <w:color w:val="010202"/>
          <w:sz w:val="22"/>
        </w:rPr>
        <w:t>is</w:t>
      </w:r>
      <w:r>
        <w:rPr>
          <w:color w:val="010202"/>
          <w:spacing w:val="-1"/>
          <w:sz w:val="22"/>
        </w:rPr>
        <w:t> </w:t>
      </w:r>
      <w:r>
        <w:rPr>
          <w:color w:val="010202"/>
          <w:sz w:val="22"/>
        </w:rPr>
        <w:t>needed.</w:t>
      </w:r>
      <w:r>
        <w:rPr>
          <w:color w:val="010202"/>
          <w:sz w:val="22"/>
          <w:vertAlign w:val="superscript"/>
        </w:rPr>
        <w:t>42</w:t>
      </w:r>
    </w:p>
    <w:p>
      <w:pPr>
        <w:spacing w:line="240" w:lineRule="auto" w:before="6" w:after="0"/>
        <w:rPr>
          <w:sz w:val="13"/>
        </w:rPr>
      </w:pPr>
      <w:r>
        <w:rPr/>
        <w:br w:type="column"/>
      </w:r>
      <w:r>
        <w:rPr>
          <w:sz w:val="13"/>
        </w:rPr>
      </w:r>
    </w:p>
    <w:p>
      <w:pPr>
        <w:pStyle w:val="BodyText"/>
        <w:ind w:left="-240"/>
        <w:rPr>
          <w:sz w:val="20"/>
        </w:rPr>
      </w:pPr>
      <w:r>
        <w:rPr>
          <w:sz w:val="20"/>
        </w:rPr>
        <w:pict>
          <v:group style="width:252pt;height:228.9pt;mso-position-horizontal-relative:char;mso-position-vertical-relative:line" id="docshapegroup52" coordorigin="0,0" coordsize="5040,4578">
            <v:shape style="position:absolute;left:0;top:0;width:5040;height:4578" id="docshape53" coordorigin="0,0" coordsize="5040,4578" path="m4950,0l90,0,55,7,26,26,7,55,0,90,0,4488,7,4523,26,4551,55,4571,90,4578,4950,4578,4985,4571,5014,4551,5033,4523,5040,4488,5040,90,5033,55,5014,26,4985,7,4950,0xe" filled="true" fillcolor="#f7e0e0" stroked="false">
              <v:path arrowok="t"/>
              <v:fill type="solid"/>
            </v:shape>
            <v:shape style="position:absolute;left:0;top:0;width:5040;height:4578" type="#_x0000_t202" id="docshape54" filled="false" stroked="false">
              <v:textbox inset="0,0,0,0">
                <w:txbxContent>
                  <w:p>
                    <w:pPr>
                      <w:spacing w:before="107"/>
                      <w:ind w:left="744" w:right="0" w:firstLine="0"/>
                      <w:jc w:val="left"/>
                      <w:rPr>
                        <w:rFonts w:ascii="Arial Black"/>
                        <w:sz w:val="24"/>
                      </w:rPr>
                    </w:pPr>
                    <w:r>
                      <w:rPr>
                        <w:rFonts w:ascii="Arial Black"/>
                        <w:color w:val="CE384B"/>
                        <w:sz w:val="24"/>
                      </w:rPr>
                      <w:t>Rural</w:t>
                    </w:r>
                    <w:r>
                      <w:rPr>
                        <w:rFonts w:ascii="Arial Black"/>
                        <w:color w:val="CE384B"/>
                        <w:spacing w:val="3"/>
                        <w:sz w:val="24"/>
                      </w:rPr>
                      <w:t> </w:t>
                    </w:r>
                    <w:r>
                      <w:rPr>
                        <w:rFonts w:ascii="Arial Black"/>
                        <w:color w:val="CE384B"/>
                        <w:sz w:val="24"/>
                      </w:rPr>
                      <w:t>Workforce</w:t>
                    </w:r>
                    <w:r>
                      <w:rPr>
                        <w:rFonts w:ascii="Arial Black"/>
                        <w:color w:val="CE384B"/>
                        <w:spacing w:val="3"/>
                        <w:sz w:val="24"/>
                      </w:rPr>
                      <w:t> </w:t>
                    </w:r>
                    <w:r>
                      <w:rPr>
                        <w:rFonts w:ascii="Arial Black"/>
                        <w:color w:val="CE384B"/>
                        <w:sz w:val="24"/>
                      </w:rPr>
                      <w:t>Shortages</w:t>
                    </w:r>
                  </w:p>
                  <w:p>
                    <w:pPr>
                      <w:spacing w:before="109"/>
                      <w:ind w:left="180" w:right="0" w:firstLine="0"/>
                      <w:jc w:val="left"/>
                      <w:rPr>
                        <w:rFonts w:ascii="Arial"/>
                        <w:sz w:val="21"/>
                      </w:rPr>
                    </w:pPr>
                    <w:r>
                      <w:rPr>
                        <w:rFonts w:ascii="Arial"/>
                        <w:color w:val="010202"/>
                        <w:sz w:val="21"/>
                      </w:rPr>
                      <w:t>Approximately</w:t>
                    </w:r>
                    <w:r>
                      <w:rPr>
                        <w:rFonts w:ascii="Arial"/>
                        <w:color w:val="010202"/>
                        <w:spacing w:val="-1"/>
                        <w:sz w:val="21"/>
                      </w:rPr>
                      <w:t> </w:t>
                    </w:r>
                    <w:r>
                      <w:rPr>
                        <w:rFonts w:ascii="Arial"/>
                        <w:color w:val="010202"/>
                        <w:sz w:val="21"/>
                      </w:rPr>
                      <w:t>80 percent of rural areas in</w:t>
                    </w:r>
                  </w:p>
                  <w:p>
                    <w:pPr>
                      <w:spacing w:line="259" w:lineRule="auto" w:before="19"/>
                      <w:ind w:left="180" w:right="177" w:firstLine="0"/>
                      <w:jc w:val="left"/>
                      <w:rPr>
                        <w:rFonts w:ascii="Arial"/>
                        <w:sz w:val="12"/>
                      </w:rPr>
                    </w:pPr>
                    <w:r>
                      <w:rPr>
                        <w:rFonts w:ascii="Arial"/>
                        <w:color w:val="010202"/>
                        <w:sz w:val="21"/>
                      </w:rPr>
                      <w:t>the United States are classified as medically</w:t>
                    </w:r>
                    <w:r>
                      <w:rPr>
                        <w:rFonts w:ascii="Arial"/>
                        <w:color w:val="010202"/>
                        <w:spacing w:val="1"/>
                        <w:sz w:val="21"/>
                      </w:rPr>
                      <w:t> </w:t>
                    </w:r>
                    <w:r>
                      <w:rPr>
                        <w:rFonts w:ascii="Arial"/>
                        <w:color w:val="010202"/>
                        <w:sz w:val="21"/>
                      </w:rPr>
                      <w:t>underserved and in health professional shortage</w:t>
                    </w:r>
                    <w:r>
                      <w:rPr>
                        <w:rFonts w:ascii="Arial"/>
                        <w:color w:val="010202"/>
                        <w:spacing w:val="1"/>
                        <w:sz w:val="21"/>
                      </w:rPr>
                      <w:t> </w:t>
                    </w:r>
                    <w:r>
                      <w:rPr>
                        <w:rFonts w:ascii="Arial"/>
                        <w:color w:val="010202"/>
                        <w:sz w:val="21"/>
                      </w:rPr>
                      <w:t>areas (HPSAs). These regions are lacking the</w:t>
                    </w:r>
                    <w:r>
                      <w:rPr>
                        <w:rFonts w:ascii="Arial"/>
                        <w:color w:val="010202"/>
                        <w:spacing w:val="1"/>
                        <w:sz w:val="21"/>
                      </w:rPr>
                      <w:t> </w:t>
                    </w:r>
                    <w:r>
                      <w:rPr>
                        <w:rFonts w:ascii="Arial"/>
                        <w:color w:val="010202"/>
                        <w:sz w:val="21"/>
                      </w:rPr>
                      <w:t>physicians, dentists, registered nurses, and other</w:t>
                    </w:r>
                    <w:r>
                      <w:rPr>
                        <w:rFonts w:ascii="Arial"/>
                        <w:color w:val="010202"/>
                        <w:spacing w:val="1"/>
                        <w:sz w:val="21"/>
                      </w:rPr>
                      <w:t> </w:t>
                    </w:r>
                    <w:r>
                      <w:rPr>
                        <w:rFonts w:ascii="Arial"/>
                        <w:color w:val="010202"/>
                        <w:sz w:val="21"/>
                      </w:rPr>
                      <w:t>health professionals needed to care for a client</w:t>
                    </w:r>
                    <w:r>
                      <w:rPr>
                        <w:rFonts w:ascii="Arial"/>
                        <w:color w:val="010202"/>
                        <w:spacing w:val="1"/>
                        <w:sz w:val="21"/>
                      </w:rPr>
                      <w:t> </w:t>
                    </w:r>
                    <w:r>
                      <w:rPr>
                        <w:rFonts w:ascii="Arial"/>
                        <w:color w:val="010202"/>
                        <w:sz w:val="21"/>
                      </w:rPr>
                      <w:t>throughout the lifespan. HPSAs also often have</w:t>
                    </w:r>
                    <w:r>
                      <w:rPr>
                        <w:rFonts w:ascii="Arial"/>
                        <w:color w:val="010202"/>
                        <w:spacing w:val="1"/>
                        <w:sz w:val="21"/>
                      </w:rPr>
                      <w:t> </w:t>
                    </w:r>
                    <w:r>
                      <w:rPr>
                        <w:rFonts w:ascii="Arial"/>
                        <w:color w:val="010202"/>
                        <w:sz w:val="21"/>
                      </w:rPr>
                      <w:t>shortages</w:t>
                    </w:r>
                    <w:r>
                      <w:rPr>
                        <w:rFonts w:ascii="Arial"/>
                        <w:color w:val="010202"/>
                        <w:spacing w:val="-4"/>
                        <w:sz w:val="21"/>
                      </w:rPr>
                      <w:t> </w:t>
                    </w:r>
                    <w:r>
                      <w:rPr>
                        <w:rFonts w:ascii="Arial"/>
                        <w:color w:val="010202"/>
                        <w:sz w:val="21"/>
                      </w:rPr>
                      <w:t>in</w:t>
                    </w:r>
                    <w:r>
                      <w:rPr>
                        <w:rFonts w:ascii="Arial"/>
                        <w:color w:val="010202"/>
                        <w:spacing w:val="-4"/>
                        <w:sz w:val="21"/>
                      </w:rPr>
                      <w:t> </w:t>
                    </w:r>
                    <w:r>
                      <w:rPr>
                        <w:rFonts w:ascii="Arial"/>
                        <w:color w:val="010202"/>
                        <w:sz w:val="21"/>
                      </w:rPr>
                      <w:t>behavioral</w:t>
                    </w:r>
                    <w:r>
                      <w:rPr>
                        <w:rFonts w:ascii="Arial"/>
                        <w:color w:val="010202"/>
                        <w:spacing w:val="-3"/>
                        <w:sz w:val="21"/>
                      </w:rPr>
                      <w:t> </w:t>
                    </w:r>
                    <w:r>
                      <w:rPr>
                        <w:rFonts w:ascii="Arial"/>
                        <w:color w:val="010202"/>
                        <w:sz w:val="21"/>
                      </w:rPr>
                      <w:t>health</w:t>
                    </w:r>
                    <w:r>
                      <w:rPr>
                        <w:rFonts w:ascii="Arial"/>
                        <w:color w:val="010202"/>
                        <w:spacing w:val="-4"/>
                        <w:sz w:val="21"/>
                      </w:rPr>
                      <w:t> </w:t>
                    </w:r>
                    <w:r>
                      <w:rPr>
                        <w:rFonts w:ascii="Arial"/>
                        <w:color w:val="010202"/>
                        <w:sz w:val="21"/>
                      </w:rPr>
                      <w:t>providers</w:t>
                    </w:r>
                    <w:r>
                      <w:rPr>
                        <w:rFonts w:ascii="Arial"/>
                        <w:color w:val="010202"/>
                        <w:spacing w:val="-4"/>
                        <w:sz w:val="21"/>
                      </w:rPr>
                      <w:t> </w:t>
                    </w:r>
                    <w:r>
                      <w:rPr>
                        <w:rFonts w:ascii="Arial"/>
                        <w:color w:val="010202"/>
                        <w:sz w:val="21"/>
                      </w:rPr>
                      <w:t>(including</w:t>
                    </w:r>
                    <w:r>
                      <w:rPr>
                        <w:rFonts w:ascii="Arial"/>
                        <w:color w:val="010202"/>
                        <w:spacing w:val="-56"/>
                        <w:sz w:val="21"/>
                      </w:rPr>
                      <w:t> </w:t>
                    </w:r>
                    <w:r>
                      <w:rPr>
                        <w:rFonts w:ascii="Arial"/>
                        <w:color w:val="010202"/>
                        <w:sz w:val="21"/>
                      </w:rPr>
                      <w:t>psychiatrists, psychologists, and therapists).</w:t>
                    </w:r>
                    <w:r>
                      <w:rPr>
                        <w:rFonts w:ascii="Arial"/>
                        <w:color w:val="010202"/>
                        <w:position w:val="7"/>
                        <w:sz w:val="12"/>
                      </w:rPr>
                      <w:t>31</w:t>
                    </w:r>
                  </w:p>
                  <w:p>
                    <w:pPr>
                      <w:spacing w:line="259" w:lineRule="auto" w:before="173"/>
                      <w:ind w:left="180" w:right="357" w:firstLine="0"/>
                      <w:jc w:val="left"/>
                      <w:rPr>
                        <w:rFonts w:ascii="Arial"/>
                        <w:sz w:val="12"/>
                      </w:rPr>
                    </w:pPr>
                    <w:r>
                      <w:rPr>
                        <w:rFonts w:ascii="Arial"/>
                        <w:color w:val="010202"/>
                        <w:sz w:val="21"/>
                      </w:rPr>
                      <w:t>Shortages in the rural healthcare landscape</w:t>
                    </w:r>
                    <w:r>
                      <w:rPr>
                        <w:rFonts w:ascii="Arial"/>
                        <w:color w:val="010202"/>
                        <w:spacing w:val="1"/>
                        <w:sz w:val="21"/>
                      </w:rPr>
                      <w:t> </w:t>
                    </w:r>
                    <w:r>
                      <w:rPr>
                        <w:rFonts w:ascii="Arial"/>
                        <w:color w:val="010202"/>
                        <w:sz w:val="21"/>
                      </w:rPr>
                      <w:t>disproportionately impact rural Americans who</w:t>
                    </w:r>
                    <w:r>
                      <w:rPr>
                        <w:rFonts w:ascii="Arial"/>
                        <w:color w:val="010202"/>
                        <w:spacing w:val="1"/>
                        <w:sz w:val="21"/>
                      </w:rPr>
                      <w:t> </w:t>
                    </w:r>
                    <w:r>
                      <w:rPr>
                        <w:rFonts w:ascii="Arial"/>
                        <w:color w:val="010202"/>
                        <w:sz w:val="21"/>
                      </w:rPr>
                      <w:t>tend to be older, have lower socioeconomic</w:t>
                    </w:r>
                    <w:r>
                      <w:rPr>
                        <w:rFonts w:ascii="Arial"/>
                        <w:color w:val="010202"/>
                        <w:spacing w:val="1"/>
                        <w:sz w:val="21"/>
                      </w:rPr>
                      <w:t> </w:t>
                    </w:r>
                    <w:r>
                      <w:rPr>
                        <w:rFonts w:ascii="Arial"/>
                        <w:color w:val="010202"/>
                        <w:sz w:val="21"/>
                      </w:rPr>
                      <w:t>status, are more reliant on public insurance, and</w:t>
                    </w:r>
                    <w:r>
                      <w:rPr>
                        <w:rFonts w:ascii="Arial"/>
                        <w:color w:val="010202"/>
                        <w:spacing w:val="-57"/>
                        <w:sz w:val="21"/>
                      </w:rPr>
                      <w:t> </w:t>
                    </w:r>
                    <w:r>
                      <w:rPr>
                        <w:rFonts w:ascii="Arial"/>
                        <w:color w:val="010202"/>
                        <w:sz w:val="21"/>
                      </w:rPr>
                      <w:t>have worse health outcomes.</w:t>
                    </w:r>
                    <w:r>
                      <w:rPr>
                        <w:rFonts w:ascii="Arial"/>
                        <w:color w:val="010202"/>
                        <w:position w:val="7"/>
                        <w:sz w:val="12"/>
                      </w:rPr>
                      <w:t>32, 33</w:t>
                    </w:r>
                  </w:p>
                </w:txbxContent>
              </v:textbox>
              <w10:wrap type="none"/>
            </v:shape>
          </v:group>
        </w:pict>
      </w:r>
      <w:r>
        <w:rPr>
          <w:sz w:val="20"/>
        </w:rPr>
      </w:r>
    </w:p>
    <w:p>
      <w:pPr>
        <w:pStyle w:val="BodyText"/>
        <w:spacing w:before="3"/>
      </w:pPr>
    </w:p>
    <w:p>
      <w:pPr>
        <w:pStyle w:val="ListParagraph"/>
        <w:numPr>
          <w:ilvl w:val="0"/>
          <w:numId w:val="5"/>
        </w:numPr>
        <w:tabs>
          <w:tab w:pos="479" w:val="left" w:leader="none"/>
          <w:tab w:pos="480" w:val="left" w:leader="none"/>
        </w:tabs>
        <w:spacing w:line="266" w:lineRule="auto" w:before="0" w:after="0"/>
        <w:ind w:left="479" w:right="754" w:hanging="360"/>
        <w:jc w:val="left"/>
        <w:rPr>
          <w:sz w:val="22"/>
        </w:rPr>
      </w:pPr>
      <w:r>
        <w:rPr>
          <w:b/>
          <w:color w:val="010202"/>
          <w:sz w:val="22"/>
        </w:rPr>
        <w:t>Ability to share information for</w:t>
      </w:r>
      <w:r>
        <w:rPr>
          <w:b/>
          <w:color w:val="010202"/>
          <w:spacing w:val="1"/>
          <w:sz w:val="22"/>
        </w:rPr>
        <w:t> </w:t>
      </w:r>
      <w:r>
        <w:rPr>
          <w:b/>
          <w:color w:val="010202"/>
          <w:sz w:val="22"/>
        </w:rPr>
        <w:t>psychoeducation and assessment.</w:t>
      </w:r>
      <w:r>
        <w:rPr>
          <w:b/>
          <w:color w:val="010202"/>
          <w:spacing w:val="1"/>
          <w:sz w:val="22"/>
        </w:rPr>
        <w:t> </w:t>
      </w:r>
      <w:r>
        <w:rPr>
          <w:color w:val="010202"/>
          <w:sz w:val="22"/>
        </w:rPr>
        <w:t>Psychoeducation, or the didactic communication</w:t>
      </w:r>
      <w:r>
        <w:rPr>
          <w:color w:val="010202"/>
          <w:spacing w:val="-52"/>
          <w:sz w:val="22"/>
        </w:rPr>
        <w:t> </w:t>
      </w:r>
      <w:r>
        <w:rPr>
          <w:color w:val="010202"/>
          <w:sz w:val="22"/>
        </w:rPr>
        <w:t>of information to the client about therapeutic</w:t>
      </w:r>
      <w:r>
        <w:rPr>
          <w:color w:val="010202"/>
          <w:spacing w:val="1"/>
          <w:sz w:val="22"/>
        </w:rPr>
        <w:t> </w:t>
      </w:r>
      <w:r>
        <w:rPr>
          <w:color w:val="010202"/>
          <w:sz w:val="22"/>
        </w:rPr>
        <w:t>intervention or diagnosis, can be done through</w:t>
      </w:r>
      <w:r>
        <w:rPr>
          <w:color w:val="010202"/>
          <w:spacing w:val="1"/>
          <w:sz w:val="22"/>
        </w:rPr>
        <w:t> </w:t>
      </w:r>
      <w:r>
        <w:rPr>
          <w:color w:val="010202"/>
          <w:sz w:val="22"/>
        </w:rPr>
        <w:t>screensharing, thus allowing the clinician to</w:t>
      </w:r>
      <w:r>
        <w:rPr>
          <w:color w:val="010202"/>
          <w:spacing w:val="1"/>
          <w:sz w:val="22"/>
        </w:rPr>
        <w:t> </w:t>
      </w:r>
      <w:r>
        <w:rPr>
          <w:color w:val="010202"/>
          <w:sz w:val="22"/>
        </w:rPr>
        <w:t>seamlessly</w:t>
      </w:r>
      <w:r>
        <w:rPr>
          <w:color w:val="010202"/>
          <w:spacing w:val="-1"/>
          <w:sz w:val="22"/>
        </w:rPr>
        <w:t> </w:t>
      </w:r>
      <w:r>
        <w:rPr>
          <w:color w:val="010202"/>
          <w:sz w:val="22"/>
        </w:rPr>
        <w:t>display videos, slideshows, and</w:t>
      </w:r>
    </w:p>
    <w:p>
      <w:pPr>
        <w:pStyle w:val="BodyText"/>
        <w:spacing w:line="266" w:lineRule="auto"/>
        <w:ind w:left="479" w:right="811"/>
      </w:pPr>
      <w:r>
        <w:rPr>
          <w:color w:val="010202"/>
        </w:rPr>
        <w:t>other visuals to the client. Mental health and</w:t>
      </w:r>
      <w:r>
        <w:rPr>
          <w:color w:val="010202"/>
          <w:spacing w:val="1"/>
        </w:rPr>
        <w:t> </w:t>
      </w:r>
      <w:r>
        <w:rPr>
          <w:color w:val="010202"/>
        </w:rPr>
        <w:t>substance use assessments can also be done this</w:t>
      </w:r>
      <w:r>
        <w:rPr>
          <w:color w:val="010202"/>
          <w:spacing w:val="-52"/>
        </w:rPr>
        <w:t> </w:t>
      </w:r>
      <w:r>
        <w:rPr>
          <w:color w:val="010202"/>
        </w:rPr>
        <w:t>way, allowing the clinician to track the client’s</w:t>
      </w:r>
      <w:r>
        <w:rPr>
          <w:color w:val="010202"/>
          <w:spacing w:val="1"/>
        </w:rPr>
        <w:t> </w:t>
      </w:r>
      <w:r>
        <w:rPr>
          <w:color w:val="010202"/>
        </w:rPr>
        <w:t>responses</w:t>
      </w:r>
      <w:r>
        <w:rPr>
          <w:color w:val="010202"/>
          <w:spacing w:val="-1"/>
        </w:rPr>
        <w:t> </w:t>
      </w:r>
      <w:r>
        <w:rPr>
          <w:color w:val="010202"/>
        </w:rPr>
        <w:t>in real-time.</w:t>
      </w:r>
      <w:r>
        <w:rPr>
          <w:color w:val="010202"/>
          <w:vertAlign w:val="superscript"/>
        </w:rPr>
        <w:t>43</w:t>
      </w:r>
    </w:p>
    <w:p>
      <w:pPr>
        <w:pStyle w:val="ListParagraph"/>
        <w:numPr>
          <w:ilvl w:val="0"/>
          <w:numId w:val="5"/>
        </w:numPr>
        <w:tabs>
          <w:tab w:pos="479" w:val="left" w:leader="none"/>
          <w:tab w:pos="480" w:val="left" w:leader="none"/>
        </w:tabs>
        <w:spacing w:line="266" w:lineRule="auto" w:before="20" w:after="0"/>
        <w:ind w:left="479" w:right="770" w:hanging="360"/>
        <w:jc w:val="left"/>
        <w:rPr>
          <w:sz w:val="22"/>
        </w:rPr>
      </w:pPr>
      <w:r>
        <w:rPr>
          <w:b/>
          <w:color w:val="010202"/>
          <w:w w:val="95"/>
          <w:sz w:val="22"/>
        </w:rPr>
        <w:t>Efficient connections to crisis services. </w:t>
      </w:r>
      <w:r>
        <w:rPr>
          <w:color w:val="010202"/>
          <w:w w:val="95"/>
          <w:sz w:val="22"/>
        </w:rPr>
        <w:t>In</w:t>
      </w:r>
      <w:r>
        <w:rPr>
          <w:color w:val="010202"/>
          <w:spacing w:val="1"/>
          <w:w w:val="95"/>
          <w:sz w:val="22"/>
        </w:rPr>
        <w:t> </w:t>
      </w:r>
      <w:r>
        <w:rPr>
          <w:color w:val="010202"/>
          <w:spacing w:val="-5"/>
          <w:sz w:val="22"/>
        </w:rPr>
        <w:t>emergencies, telehealth providers </w:t>
      </w:r>
      <w:r>
        <w:rPr>
          <w:color w:val="010202"/>
          <w:spacing w:val="-4"/>
          <w:sz w:val="22"/>
        </w:rPr>
        <w:t>can instruct</w:t>
      </w:r>
      <w:r>
        <w:rPr>
          <w:color w:val="010202"/>
          <w:spacing w:val="-3"/>
          <w:sz w:val="22"/>
        </w:rPr>
        <w:t> </w:t>
      </w:r>
      <w:r>
        <w:rPr>
          <w:color w:val="010202"/>
          <w:spacing w:val="-5"/>
          <w:sz w:val="22"/>
        </w:rPr>
        <w:t>clients to call emergency </w:t>
      </w:r>
      <w:r>
        <w:rPr>
          <w:color w:val="010202"/>
          <w:spacing w:val="-4"/>
          <w:sz w:val="22"/>
        </w:rPr>
        <w:t>response systems (e.g.,</w:t>
      </w:r>
      <w:r>
        <w:rPr>
          <w:color w:val="010202"/>
          <w:spacing w:val="-3"/>
          <w:sz w:val="22"/>
        </w:rPr>
        <w:t> </w:t>
      </w:r>
      <w:r>
        <w:rPr>
          <w:color w:val="010202"/>
          <w:spacing w:val="-5"/>
          <w:sz w:val="22"/>
        </w:rPr>
        <w:t>911,</w:t>
      </w:r>
      <w:r>
        <w:rPr>
          <w:color w:val="010202"/>
          <w:spacing w:val="-2"/>
          <w:sz w:val="22"/>
        </w:rPr>
        <w:t> </w:t>
      </w:r>
      <w:r>
        <w:rPr>
          <w:color w:val="010202"/>
          <w:spacing w:val="-5"/>
          <w:sz w:val="22"/>
        </w:rPr>
        <w:t>988)</w:t>
      </w:r>
      <w:r>
        <w:rPr>
          <w:color w:val="010202"/>
          <w:spacing w:val="-1"/>
          <w:sz w:val="22"/>
        </w:rPr>
        <w:t> </w:t>
      </w:r>
      <w:r>
        <w:rPr>
          <w:color w:val="010202"/>
          <w:spacing w:val="-5"/>
          <w:sz w:val="22"/>
        </w:rPr>
        <w:t>while</w:t>
      </w:r>
      <w:r>
        <w:rPr>
          <w:color w:val="010202"/>
          <w:spacing w:val="-1"/>
          <w:sz w:val="22"/>
        </w:rPr>
        <w:t> </w:t>
      </w:r>
      <w:r>
        <w:rPr>
          <w:color w:val="010202"/>
          <w:spacing w:val="-5"/>
          <w:sz w:val="22"/>
        </w:rPr>
        <w:t>the</w:t>
      </w:r>
      <w:r>
        <w:rPr>
          <w:color w:val="010202"/>
          <w:spacing w:val="-1"/>
          <w:sz w:val="22"/>
        </w:rPr>
        <w:t> </w:t>
      </w:r>
      <w:r>
        <w:rPr>
          <w:color w:val="010202"/>
          <w:spacing w:val="-5"/>
          <w:sz w:val="22"/>
        </w:rPr>
        <w:t>providers</w:t>
      </w:r>
      <w:r>
        <w:rPr>
          <w:color w:val="010202"/>
          <w:spacing w:val="-1"/>
          <w:sz w:val="22"/>
        </w:rPr>
        <w:t> </w:t>
      </w:r>
      <w:r>
        <w:rPr>
          <w:color w:val="010202"/>
          <w:spacing w:val="-4"/>
          <w:sz w:val="22"/>
        </w:rPr>
        <w:t>remain</w:t>
      </w:r>
      <w:r>
        <w:rPr>
          <w:color w:val="010202"/>
          <w:spacing w:val="-1"/>
          <w:sz w:val="22"/>
        </w:rPr>
        <w:t> </w:t>
      </w:r>
      <w:r>
        <w:rPr>
          <w:color w:val="010202"/>
          <w:spacing w:val="-4"/>
          <w:sz w:val="22"/>
        </w:rPr>
        <w:t>connected</w:t>
      </w:r>
      <w:r>
        <w:rPr>
          <w:color w:val="010202"/>
          <w:spacing w:val="-3"/>
          <w:sz w:val="22"/>
        </w:rPr>
        <w:t> </w:t>
      </w:r>
      <w:r>
        <w:rPr>
          <w:color w:val="010202"/>
          <w:spacing w:val="-5"/>
          <w:sz w:val="22"/>
        </w:rPr>
        <w:t>via telephone or video. Enhanced </w:t>
      </w:r>
      <w:r>
        <w:rPr>
          <w:color w:val="010202"/>
          <w:spacing w:val="-4"/>
          <w:sz w:val="22"/>
        </w:rPr>
        <w:t>911 (E911)</w:t>
      </w:r>
      <w:r>
        <w:rPr>
          <w:color w:val="010202"/>
          <w:spacing w:val="-3"/>
          <w:sz w:val="22"/>
        </w:rPr>
        <w:t> </w:t>
      </w:r>
      <w:r>
        <w:rPr>
          <w:color w:val="010202"/>
          <w:spacing w:val="-5"/>
          <w:sz w:val="22"/>
        </w:rPr>
        <w:t>automatically</w:t>
      </w:r>
      <w:r>
        <w:rPr>
          <w:color w:val="010202"/>
          <w:spacing w:val="8"/>
          <w:sz w:val="22"/>
        </w:rPr>
        <w:t> </w:t>
      </w:r>
      <w:r>
        <w:rPr>
          <w:color w:val="010202"/>
          <w:spacing w:val="-5"/>
          <w:sz w:val="22"/>
        </w:rPr>
        <w:t>provides</w:t>
      </w:r>
      <w:r>
        <w:rPr>
          <w:color w:val="010202"/>
          <w:spacing w:val="9"/>
          <w:sz w:val="22"/>
        </w:rPr>
        <w:t> </w:t>
      </w:r>
      <w:r>
        <w:rPr>
          <w:color w:val="010202"/>
          <w:spacing w:val="-5"/>
          <w:sz w:val="22"/>
        </w:rPr>
        <w:t>emergency</w:t>
      </w:r>
      <w:r>
        <w:rPr>
          <w:color w:val="010202"/>
          <w:spacing w:val="9"/>
          <w:sz w:val="22"/>
        </w:rPr>
        <w:t> </w:t>
      </w:r>
      <w:r>
        <w:rPr>
          <w:color w:val="010202"/>
          <w:spacing w:val="-5"/>
          <w:sz w:val="22"/>
        </w:rPr>
        <w:t>dispatchers</w:t>
      </w:r>
      <w:r>
        <w:rPr>
          <w:color w:val="010202"/>
          <w:spacing w:val="-4"/>
          <w:sz w:val="22"/>
        </w:rPr>
        <w:t> with</w:t>
      </w:r>
      <w:r>
        <w:rPr>
          <w:color w:val="010202"/>
          <w:spacing w:val="-10"/>
          <w:sz w:val="22"/>
        </w:rPr>
        <w:t> </w:t>
      </w:r>
      <w:r>
        <w:rPr>
          <w:color w:val="010202"/>
          <w:spacing w:val="-4"/>
          <w:sz w:val="22"/>
        </w:rPr>
        <w:t>the</w:t>
      </w:r>
      <w:r>
        <w:rPr>
          <w:color w:val="010202"/>
          <w:spacing w:val="-10"/>
          <w:sz w:val="22"/>
        </w:rPr>
        <w:t> </w:t>
      </w:r>
      <w:r>
        <w:rPr>
          <w:color w:val="010202"/>
          <w:spacing w:val="-4"/>
          <w:sz w:val="22"/>
        </w:rPr>
        <w:t>location</w:t>
      </w:r>
      <w:r>
        <w:rPr>
          <w:color w:val="010202"/>
          <w:spacing w:val="-10"/>
          <w:sz w:val="22"/>
        </w:rPr>
        <w:t> </w:t>
      </w:r>
      <w:r>
        <w:rPr>
          <w:color w:val="010202"/>
          <w:spacing w:val="-4"/>
          <w:sz w:val="22"/>
        </w:rPr>
        <w:t>of</w:t>
      </w:r>
      <w:r>
        <w:rPr>
          <w:color w:val="010202"/>
          <w:spacing w:val="-9"/>
          <w:sz w:val="22"/>
        </w:rPr>
        <w:t> </w:t>
      </w:r>
      <w:r>
        <w:rPr>
          <w:color w:val="010202"/>
          <w:spacing w:val="-4"/>
          <w:sz w:val="22"/>
        </w:rPr>
        <w:t>the</w:t>
      </w:r>
      <w:r>
        <w:rPr>
          <w:color w:val="010202"/>
          <w:spacing w:val="-10"/>
          <w:sz w:val="22"/>
        </w:rPr>
        <w:t> </w:t>
      </w:r>
      <w:r>
        <w:rPr>
          <w:color w:val="010202"/>
          <w:spacing w:val="-4"/>
          <w:sz w:val="22"/>
        </w:rPr>
        <w:t>client,</w:t>
      </w:r>
      <w:r>
        <w:rPr>
          <w:color w:val="010202"/>
          <w:spacing w:val="-10"/>
          <w:sz w:val="22"/>
        </w:rPr>
        <w:t> </w:t>
      </w:r>
      <w:r>
        <w:rPr>
          <w:color w:val="010202"/>
          <w:spacing w:val="-4"/>
          <w:sz w:val="22"/>
        </w:rPr>
        <w:t>rather</w:t>
      </w:r>
      <w:r>
        <w:rPr>
          <w:color w:val="010202"/>
          <w:spacing w:val="-10"/>
          <w:sz w:val="22"/>
        </w:rPr>
        <w:t> </w:t>
      </w:r>
      <w:r>
        <w:rPr>
          <w:color w:val="010202"/>
          <w:spacing w:val="-4"/>
          <w:sz w:val="22"/>
        </w:rPr>
        <w:t>than</w:t>
      </w:r>
      <w:r>
        <w:rPr>
          <w:color w:val="010202"/>
          <w:spacing w:val="-9"/>
          <w:sz w:val="22"/>
        </w:rPr>
        <w:t> </w:t>
      </w:r>
      <w:r>
        <w:rPr>
          <w:color w:val="010202"/>
          <w:spacing w:val="-4"/>
          <w:sz w:val="22"/>
        </w:rPr>
        <w:t>the</w:t>
      </w:r>
      <w:r>
        <w:rPr>
          <w:color w:val="010202"/>
          <w:spacing w:val="-10"/>
          <w:sz w:val="22"/>
        </w:rPr>
        <w:t> </w:t>
      </w:r>
      <w:r>
        <w:rPr>
          <w:color w:val="010202"/>
          <w:spacing w:val="-3"/>
          <w:sz w:val="22"/>
        </w:rPr>
        <w:t>client</w:t>
      </w:r>
      <w:r>
        <w:rPr>
          <w:color w:val="010202"/>
          <w:spacing w:val="-52"/>
          <w:sz w:val="22"/>
        </w:rPr>
        <w:t> </w:t>
      </w:r>
      <w:r>
        <w:rPr>
          <w:color w:val="010202"/>
          <w:spacing w:val="-5"/>
          <w:sz w:val="22"/>
        </w:rPr>
        <w:t>needing</w:t>
      </w:r>
      <w:r>
        <w:rPr>
          <w:color w:val="010202"/>
          <w:spacing w:val="-9"/>
          <w:sz w:val="22"/>
        </w:rPr>
        <w:t> </w:t>
      </w:r>
      <w:r>
        <w:rPr>
          <w:color w:val="010202"/>
          <w:spacing w:val="-5"/>
          <w:sz w:val="22"/>
        </w:rPr>
        <w:t>to</w:t>
      </w:r>
      <w:r>
        <w:rPr>
          <w:color w:val="010202"/>
          <w:spacing w:val="-9"/>
          <w:sz w:val="22"/>
        </w:rPr>
        <w:t> </w:t>
      </w:r>
      <w:r>
        <w:rPr>
          <w:color w:val="010202"/>
          <w:spacing w:val="-5"/>
          <w:sz w:val="22"/>
        </w:rPr>
        <w:t>provide</w:t>
      </w:r>
      <w:r>
        <w:rPr>
          <w:color w:val="010202"/>
          <w:spacing w:val="-8"/>
          <w:sz w:val="22"/>
        </w:rPr>
        <w:t> </w:t>
      </w:r>
      <w:r>
        <w:rPr>
          <w:color w:val="010202"/>
          <w:spacing w:val="-5"/>
          <w:sz w:val="22"/>
        </w:rPr>
        <w:t>their</w:t>
      </w:r>
      <w:r>
        <w:rPr>
          <w:color w:val="010202"/>
          <w:spacing w:val="-9"/>
          <w:sz w:val="22"/>
        </w:rPr>
        <w:t> </w:t>
      </w:r>
      <w:r>
        <w:rPr>
          <w:color w:val="010202"/>
          <w:spacing w:val="-4"/>
          <w:sz w:val="22"/>
        </w:rPr>
        <w:t>address</w:t>
      </w:r>
      <w:r>
        <w:rPr>
          <w:color w:val="010202"/>
          <w:spacing w:val="-8"/>
          <w:sz w:val="22"/>
        </w:rPr>
        <w:t> </w:t>
      </w:r>
      <w:r>
        <w:rPr>
          <w:color w:val="010202"/>
          <w:spacing w:val="-4"/>
          <w:sz w:val="22"/>
        </w:rPr>
        <w:t>to</w:t>
      </w:r>
      <w:r>
        <w:rPr>
          <w:color w:val="010202"/>
          <w:spacing w:val="-9"/>
          <w:sz w:val="22"/>
        </w:rPr>
        <w:t> </w:t>
      </w:r>
      <w:r>
        <w:rPr>
          <w:color w:val="010202"/>
          <w:spacing w:val="-4"/>
          <w:sz w:val="22"/>
        </w:rPr>
        <w:t>the</w:t>
      </w:r>
      <w:r>
        <w:rPr>
          <w:color w:val="010202"/>
          <w:spacing w:val="-8"/>
          <w:sz w:val="22"/>
        </w:rPr>
        <w:t> </w:t>
      </w:r>
      <w:r>
        <w:rPr>
          <w:color w:val="010202"/>
          <w:spacing w:val="-4"/>
          <w:sz w:val="22"/>
        </w:rPr>
        <w:t>dispatcher.</w:t>
      </w:r>
    </w:p>
    <w:p>
      <w:pPr>
        <w:pStyle w:val="ListParagraph"/>
        <w:numPr>
          <w:ilvl w:val="0"/>
          <w:numId w:val="5"/>
        </w:numPr>
        <w:tabs>
          <w:tab w:pos="479" w:val="left" w:leader="none"/>
          <w:tab w:pos="480" w:val="left" w:leader="none"/>
        </w:tabs>
        <w:spacing w:line="264" w:lineRule="auto" w:before="22" w:after="0"/>
        <w:ind w:left="479" w:right="762" w:hanging="360"/>
        <w:jc w:val="left"/>
        <w:rPr>
          <w:sz w:val="22"/>
        </w:rPr>
      </w:pPr>
      <w:r>
        <w:rPr>
          <w:b/>
          <w:color w:val="010202"/>
          <w:spacing w:val="-2"/>
          <w:sz w:val="22"/>
        </w:rPr>
        <w:t>Reductions </w:t>
      </w:r>
      <w:r>
        <w:rPr>
          <w:b/>
          <w:color w:val="010202"/>
          <w:spacing w:val="-1"/>
          <w:sz w:val="22"/>
        </w:rPr>
        <w:t>in provider burnout. </w:t>
      </w:r>
      <w:r>
        <w:rPr>
          <w:color w:val="010202"/>
          <w:spacing w:val="-1"/>
          <w:sz w:val="22"/>
        </w:rPr>
        <w:t>Provider</w:t>
      </w:r>
      <w:r>
        <w:rPr>
          <w:color w:val="010202"/>
          <w:sz w:val="22"/>
        </w:rPr>
        <w:t> </w:t>
      </w:r>
      <w:r>
        <w:rPr>
          <w:color w:val="010202"/>
          <w:spacing w:val="-2"/>
          <w:sz w:val="22"/>
        </w:rPr>
        <w:t>burnout</w:t>
      </w:r>
      <w:r>
        <w:rPr>
          <w:color w:val="010202"/>
          <w:spacing w:val="-12"/>
          <w:sz w:val="22"/>
        </w:rPr>
        <w:t> </w:t>
      </w:r>
      <w:r>
        <w:rPr>
          <w:color w:val="010202"/>
          <w:spacing w:val="-2"/>
          <w:sz w:val="22"/>
        </w:rPr>
        <w:t>is</w:t>
      </w:r>
      <w:r>
        <w:rPr>
          <w:color w:val="010202"/>
          <w:spacing w:val="-11"/>
          <w:sz w:val="22"/>
        </w:rPr>
        <w:t> </w:t>
      </w:r>
      <w:r>
        <w:rPr>
          <w:color w:val="010202"/>
          <w:spacing w:val="-2"/>
          <w:sz w:val="22"/>
        </w:rPr>
        <w:t>a</w:t>
      </w:r>
      <w:r>
        <w:rPr>
          <w:color w:val="010202"/>
          <w:spacing w:val="-11"/>
          <w:sz w:val="22"/>
        </w:rPr>
        <w:t> </w:t>
      </w:r>
      <w:r>
        <w:rPr>
          <w:color w:val="010202"/>
          <w:spacing w:val="-2"/>
          <w:sz w:val="22"/>
        </w:rPr>
        <w:t>pervasive</w:t>
      </w:r>
      <w:r>
        <w:rPr>
          <w:color w:val="010202"/>
          <w:spacing w:val="-12"/>
          <w:sz w:val="22"/>
        </w:rPr>
        <w:t> </w:t>
      </w:r>
      <w:r>
        <w:rPr>
          <w:color w:val="010202"/>
          <w:spacing w:val="-1"/>
          <w:sz w:val="22"/>
        </w:rPr>
        <w:t>issue</w:t>
      </w:r>
      <w:r>
        <w:rPr>
          <w:color w:val="010202"/>
          <w:spacing w:val="-11"/>
          <w:sz w:val="22"/>
        </w:rPr>
        <w:t> </w:t>
      </w:r>
      <w:r>
        <w:rPr>
          <w:color w:val="010202"/>
          <w:spacing w:val="-1"/>
          <w:sz w:val="22"/>
        </w:rPr>
        <w:t>in</w:t>
      </w:r>
      <w:r>
        <w:rPr>
          <w:color w:val="010202"/>
          <w:spacing w:val="-11"/>
          <w:sz w:val="22"/>
        </w:rPr>
        <w:t> </w:t>
      </w:r>
      <w:r>
        <w:rPr>
          <w:color w:val="010202"/>
          <w:spacing w:val="-1"/>
          <w:sz w:val="22"/>
        </w:rPr>
        <w:t>the</w:t>
      </w:r>
      <w:r>
        <w:rPr>
          <w:color w:val="010202"/>
          <w:spacing w:val="-11"/>
          <w:sz w:val="22"/>
        </w:rPr>
        <w:t> </w:t>
      </w:r>
      <w:r>
        <w:rPr>
          <w:color w:val="010202"/>
          <w:spacing w:val="-1"/>
          <w:sz w:val="22"/>
        </w:rPr>
        <w:t>healthcare</w:t>
      </w:r>
      <w:r>
        <w:rPr>
          <w:color w:val="010202"/>
          <w:spacing w:val="-12"/>
          <w:sz w:val="22"/>
        </w:rPr>
        <w:t> </w:t>
      </w:r>
      <w:r>
        <w:rPr>
          <w:color w:val="010202"/>
          <w:spacing w:val="-1"/>
          <w:sz w:val="22"/>
        </w:rPr>
        <w:t>field</w:t>
      </w:r>
      <w:r>
        <w:rPr>
          <w:color w:val="010202"/>
          <w:spacing w:val="-52"/>
          <w:sz w:val="22"/>
        </w:rPr>
        <w:t> </w:t>
      </w:r>
      <w:r>
        <w:rPr>
          <w:color w:val="010202"/>
          <w:spacing w:val="-1"/>
          <w:sz w:val="22"/>
        </w:rPr>
        <w:t>and exacerbated by numerous factors, including</w:t>
      </w:r>
      <w:r>
        <w:rPr>
          <w:color w:val="010202"/>
          <w:sz w:val="22"/>
        </w:rPr>
        <w:t> time</w:t>
      </w:r>
      <w:r>
        <w:rPr>
          <w:color w:val="010202"/>
          <w:spacing w:val="-11"/>
          <w:sz w:val="22"/>
        </w:rPr>
        <w:t> </w:t>
      </w:r>
      <w:r>
        <w:rPr>
          <w:color w:val="010202"/>
          <w:sz w:val="22"/>
        </w:rPr>
        <w:t>pressures,</w:t>
      </w:r>
      <w:r>
        <w:rPr>
          <w:color w:val="010202"/>
          <w:spacing w:val="-10"/>
          <w:sz w:val="22"/>
        </w:rPr>
        <w:t> </w:t>
      </w:r>
      <w:r>
        <w:rPr>
          <w:color w:val="010202"/>
          <w:sz w:val="22"/>
        </w:rPr>
        <w:t>fast-paced</w:t>
      </w:r>
      <w:r>
        <w:rPr>
          <w:color w:val="010202"/>
          <w:spacing w:val="-10"/>
          <w:sz w:val="22"/>
        </w:rPr>
        <w:t> </w:t>
      </w:r>
      <w:r>
        <w:rPr>
          <w:color w:val="010202"/>
          <w:sz w:val="22"/>
        </w:rPr>
        <w:t>environments,</w:t>
      </w:r>
    </w:p>
    <w:p>
      <w:pPr>
        <w:pStyle w:val="BodyText"/>
        <w:spacing w:line="266" w:lineRule="auto" w:before="5"/>
        <w:ind w:left="479" w:right="726"/>
      </w:pPr>
      <w:r>
        <w:rPr>
          <w:color w:val="010202"/>
        </w:rPr>
        <w:t>family responsibilities, and time-consuming</w:t>
      </w:r>
      <w:r>
        <w:rPr>
          <w:color w:val="010202"/>
          <w:spacing w:val="1"/>
        </w:rPr>
        <w:t> </w:t>
      </w:r>
      <w:r>
        <w:rPr>
          <w:color w:val="010202"/>
        </w:rPr>
        <w:t>documentation.</w:t>
      </w:r>
      <w:r>
        <w:rPr>
          <w:color w:val="010202"/>
          <w:vertAlign w:val="superscript"/>
        </w:rPr>
        <w:t>44</w:t>
      </w:r>
      <w:r>
        <w:rPr>
          <w:color w:val="010202"/>
          <w:vertAlign w:val="baseline"/>
        </w:rPr>
        <w:t> Telehealth may lead to</w:t>
      </w:r>
      <w:r>
        <w:rPr>
          <w:color w:val="010202"/>
          <w:spacing w:val="1"/>
          <w:vertAlign w:val="baseline"/>
        </w:rPr>
        <w:t> </w:t>
      </w:r>
      <w:r>
        <w:rPr>
          <w:color w:val="010202"/>
          <w:spacing w:val="-2"/>
          <w:vertAlign w:val="baseline"/>
        </w:rPr>
        <w:t>reductions</w:t>
      </w:r>
      <w:r>
        <w:rPr>
          <w:color w:val="010202"/>
          <w:spacing w:val="-12"/>
          <w:vertAlign w:val="baseline"/>
        </w:rPr>
        <w:t> </w:t>
      </w:r>
      <w:r>
        <w:rPr>
          <w:color w:val="010202"/>
          <w:spacing w:val="-2"/>
          <w:vertAlign w:val="baseline"/>
        </w:rPr>
        <w:t>in</w:t>
      </w:r>
      <w:r>
        <w:rPr>
          <w:color w:val="010202"/>
          <w:spacing w:val="-11"/>
          <w:vertAlign w:val="baseline"/>
        </w:rPr>
        <w:t> </w:t>
      </w:r>
      <w:r>
        <w:rPr>
          <w:color w:val="010202"/>
          <w:spacing w:val="-2"/>
          <w:vertAlign w:val="baseline"/>
        </w:rPr>
        <w:t>provider</w:t>
      </w:r>
      <w:r>
        <w:rPr>
          <w:color w:val="010202"/>
          <w:spacing w:val="-11"/>
          <w:vertAlign w:val="baseline"/>
        </w:rPr>
        <w:t> </w:t>
      </w:r>
      <w:r>
        <w:rPr>
          <w:color w:val="010202"/>
          <w:spacing w:val="-2"/>
          <w:vertAlign w:val="baseline"/>
        </w:rPr>
        <w:t>stress</w:t>
      </w:r>
      <w:r>
        <w:rPr>
          <w:color w:val="010202"/>
          <w:spacing w:val="-11"/>
          <w:vertAlign w:val="baseline"/>
        </w:rPr>
        <w:t> </w:t>
      </w:r>
      <w:r>
        <w:rPr>
          <w:color w:val="010202"/>
          <w:spacing w:val="-1"/>
          <w:vertAlign w:val="baseline"/>
        </w:rPr>
        <w:t>and</w:t>
      </w:r>
      <w:r>
        <w:rPr>
          <w:color w:val="010202"/>
          <w:spacing w:val="-12"/>
          <w:vertAlign w:val="baseline"/>
        </w:rPr>
        <w:t> </w:t>
      </w:r>
      <w:r>
        <w:rPr>
          <w:color w:val="010202"/>
          <w:spacing w:val="-1"/>
          <w:vertAlign w:val="baseline"/>
        </w:rPr>
        <w:t>burnout</w:t>
      </w:r>
      <w:r>
        <w:rPr>
          <w:color w:val="010202"/>
          <w:spacing w:val="-11"/>
          <w:vertAlign w:val="baseline"/>
        </w:rPr>
        <w:t> </w:t>
      </w:r>
      <w:r>
        <w:rPr>
          <w:color w:val="010202"/>
          <w:spacing w:val="-1"/>
          <w:vertAlign w:val="baseline"/>
        </w:rPr>
        <w:t>through</w:t>
      </w:r>
      <w:r>
        <w:rPr>
          <w:color w:val="010202"/>
          <w:spacing w:val="-52"/>
          <w:vertAlign w:val="baseline"/>
        </w:rPr>
        <w:t> </w:t>
      </w:r>
      <w:r>
        <w:rPr>
          <w:color w:val="010202"/>
          <w:spacing w:val="-2"/>
          <w:vertAlign w:val="baseline"/>
        </w:rPr>
        <w:t>promoting more manageable </w:t>
      </w:r>
      <w:r>
        <w:rPr>
          <w:color w:val="010202"/>
          <w:spacing w:val="-1"/>
          <w:vertAlign w:val="baseline"/>
        </w:rPr>
        <w:t>schedules, greater</w:t>
      </w:r>
      <w:r>
        <w:rPr>
          <w:color w:val="010202"/>
          <w:vertAlign w:val="baseline"/>
        </w:rPr>
        <w:t> </w:t>
      </w:r>
      <w:r>
        <w:rPr>
          <w:color w:val="010202"/>
          <w:spacing w:val="-3"/>
          <w:vertAlign w:val="baseline"/>
        </w:rPr>
        <w:t>flexibility,</w:t>
      </w:r>
      <w:r>
        <w:rPr>
          <w:color w:val="010202"/>
          <w:spacing w:val="-11"/>
          <w:vertAlign w:val="baseline"/>
        </w:rPr>
        <w:t> </w:t>
      </w:r>
      <w:r>
        <w:rPr>
          <w:color w:val="010202"/>
          <w:spacing w:val="-3"/>
          <w:vertAlign w:val="baseline"/>
        </w:rPr>
        <w:t>and</w:t>
      </w:r>
      <w:r>
        <w:rPr>
          <w:color w:val="010202"/>
          <w:spacing w:val="-11"/>
          <w:vertAlign w:val="baseline"/>
        </w:rPr>
        <w:t> </w:t>
      </w:r>
      <w:r>
        <w:rPr>
          <w:color w:val="010202"/>
          <w:spacing w:val="-3"/>
          <w:vertAlign w:val="baseline"/>
        </w:rPr>
        <w:t>reductions</w:t>
      </w:r>
      <w:r>
        <w:rPr>
          <w:color w:val="010202"/>
          <w:spacing w:val="-10"/>
          <w:vertAlign w:val="baseline"/>
        </w:rPr>
        <w:t> </w:t>
      </w:r>
      <w:r>
        <w:rPr>
          <w:color w:val="010202"/>
          <w:spacing w:val="-2"/>
          <w:vertAlign w:val="baseline"/>
        </w:rPr>
        <w:t>in</w:t>
      </w:r>
      <w:r>
        <w:rPr>
          <w:color w:val="010202"/>
          <w:spacing w:val="-11"/>
          <w:vertAlign w:val="baseline"/>
        </w:rPr>
        <w:t> </w:t>
      </w:r>
      <w:r>
        <w:rPr>
          <w:color w:val="010202"/>
          <w:spacing w:val="-2"/>
          <w:vertAlign w:val="baseline"/>
        </w:rPr>
        <w:t>commute</w:t>
      </w:r>
      <w:r>
        <w:rPr>
          <w:color w:val="010202"/>
          <w:spacing w:val="-11"/>
          <w:vertAlign w:val="baseline"/>
        </w:rPr>
        <w:t> </w:t>
      </w:r>
      <w:r>
        <w:rPr>
          <w:color w:val="010202"/>
          <w:spacing w:val="-2"/>
          <w:vertAlign w:val="baseline"/>
        </w:rPr>
        <w:t>time.</w:t>
      </w:r>
      <w:r>
        <w:rPr>
          <w:color w:val="010202"/>
          <w:spacing w:val="-2"/>
          <w:vertAlign w:val="superscript"/>
        </w:rPr>
        <w:t>44-46</w:t>
      </w:r>
    </w:p>
    <w:p>
      <w:pPr>
        <w:spacing w:after="0" w:line="266" w:lineRule="auto"/>
        <w:sectPr>
          <w:type w:val="continuous"/>
          <w:pgSz w:w="12240" w:h="15840"/>
          <w:pgMar w:header="0" w:footer="666" w:top="1500" w:bottom="0" w:left="600" w:right="0"/>
          <w:cols w:num="2" w:equalWidth="0">
            <w:col w:w="5200" w:space="920"/>
            <w:col w:w="5520"/>
          </w:cols>
        </w:sectPr>
      </w:pPr>
    </w:p>
    <w:p>
      <w:pPr>
        <w:pStyle w:val="BodyText"/>
        <w:rPr>
          <w:sz w:val="20"/>
        </w:rPr>
      </w:pPr>
    </w:p>
    <w:p>
      <w:pPr>
        <w:pStyle w:val="BodyText"/>
        <w:rPr>
          <w:sz w:val="25"/>
        </w:rPr>
      </w:pPr>
    </w:p>
    <w:p>
      <w:pPr>
        <w:spacing w:after="0"/>
        <w:rPr>
          <w:sz w:val="25"/>
        </w:rPr>
        <w:sectPr>
          <w:pgSz w:w="12240" w:h="15840"/>
          <w:pgMar w:header="0" w:footer="666" w:top="380" w:bottom="860" w:left="600" w:right="0"/>
        </w:sectPr>
      </w:pPr>
    </w:p>
    <w:p>
      <w:pPr>
        <w:pStyle w:val="ListParagraph"/>
        <w:numPr>
          <w:ilvl w:val="0"/>
          <w:numId w:val="4"/>
        </w:numPr>
        <w:tabs>
          <w:tab w:pos="480" w:val="left" w:leader="none"/>
        </w:tabs>
        <w:spacing w:line="266" w:lineRule="auto" w:before="112" w:after="0"/>
        <w:ind w:left="479" w:right="264" w:hanging="360"/>
        <w:jc w:val="left"/>
        <w:rPr>
          <w:sz w:val="22"/>
        </w:rPr>
      </w:pPr>
      <w:r>
        <w:rPr>
          <w:b/>
          <w:i/>
          <w:color w:val="010202"/>
          <w:sz w:val="22"/>
        </w:rPr>
        <w:t>Client experience. </w:t>
      </w:r>
      <w:r>
        <w:rPr>
          <w:color w:val="010202"/>
          <w:sz w:val="22"/>
        </w:rPr>
        <w:t>Clients may experience many</w:t>
      </w:r>
      <w:r>
        <w:rPr>
          <w:color w:val="010202"/>
          <w:spacing w:val="1"/>
          <w:sz w:val="22"/>
        </w:rPr>
        <w:t> </w:t>
      </w:r>
      <w:r>
        <w:rPr>
          <w:color w:val="010202"/>
          <w:sz w:val="22"/>
        </w:rPr>
        <w:t>benefits</w:t>
      </w:r>
      <w:r>
        <w:rPr>
          <w:color w:val="010202"/>
          <w:spacing w:val="-4"/>
          <w:sz w:val="22"/>
        </w:rPr>
        <w:t> </w:t>
      </w:r>
      <w:r>
        <w:rPr>
          <w:color w:val="010202"/>
          <w:sz w:val="22"/>
        </w:rPr>
        <w:t>receiving</w:t>
      </w:r>
      <w:r>
        <w:rPr>
          <w:color w:val="010202"/>
          <w:spacing w:val="-3"/>
          <w:sz w:val="22"/>
        </w:rPr>
        <w:t> </w:t>
      </w:r>
      <w:r>
        <w:rPr>
          <w:color w:val="010202"/>
          <w:sz w:val="22"/>
        </w:rPr>
        <w:t>mental</w:t>
      </w:r>
      <w:r>
        <w:rPr>
          <w:color w:val="010202"/>
          <w:spacing w:val="-3"/>
          <w:sz w:val="22"/>
        </w:rPr>
        <w:t> </w:t>
      </w:r>
      <w:r>
        <w:rPr>
          <w:color w:val="010202"/>
          <w:sz w:val="22"/>
        </w:rPr>
        <w:t>health</w:t>
      </w:r>
      <w:r>
        <w:rPr>
          <w:color w:val="010202"/>
          <w:spacing w:val="-3"/>
          <w:sz w:val="22"/>
        </w:rPr>
        <w:t> </w:t>
      </w:r>
      <w:r>
        <w:rPr>
          <w:color w:val="010202"/>
          <w:sz w:val="22"/>
        </w:rPr>
        <w:t>and</w:t>
      </w:r>
      <w:r>
        <w:rPr>
          <w:color w:val="010202"/>
          <w:spacing w:val="-4"/>
          <w:sz w:val="22"/>
        </w:rPr>
        <w:t> </w:t>
      </w:r>
      <w:r>
        <w:rPr>
          <w:color w:val="010202"/>
          <w:sz w:val="22"/>
        </w:rPr>
        <w:t>substance</w:t>
      </w:r>
      <w:r>
        <w:rPr>
          <w:color w:val="010202"/>
          <w:spacing w:val="-4"/>
          <w:sz w:val="22"/>
        </w:rPr>
        <w:t> </w:t>
      </w:r>
      <w:r>
        <w:rPr>
          <w:color w:val="010202"/>
          <w:sz w:val="22"/>
        </w:rPr>
        <w:t>use</w:t>
      </w:r>
      <w:r>
        <w:rPr>
          <w:color w:val="010202"/>
          <w:spacing w:val="-52"/>
          <w:sz w:val="22"/>
        </w:rPr>
        <w:t> </w:t>
      </w:r>
      <w:r>
        <w:rPr>
          <w:color w:val="010202"/>
          <w:sz w:val="22"/>
        </w:rPr>
        <w:t>treatment by telehealth:</w:t>
      </w:r>
    </w:p>
    <w:p>
      <w:pPr>
        <w:pStyle w:val="ListParagraph"/>
        <w:numPr>
          <w:ilvl w:val="1"/>
          <w:numId w:val="4"/>
        </w:numPr>
        <w:tabs>
          <w:tab w:pos="839" w:val="left" w:leader="none"/>
          <w:tab w:pos="840" w:val="left" w:leader="none"/>
        </w:tabs>
        <w:spacing w:line="266" w:lineRule="auto" w:before="142" w:after="0"/>
        <w:ind w:left="839" w:right="38" w:hanging="360"/>
        <w:jc w:val="left"/>
        <w:rPr>
          <w:sz w:val="22"/>
        </w:rPr>
      </w:pPr>
      <w:r>
        <w:rPr>
          <w:b/>
          <w:color w:val="010202"/>
          <w:sz w:val="22"/>
        </w:rPr>
        <w:t>Increased</w:t>
      </w:r>
      <w:r>
        <w:rPr>
          <w:b/>
          <w:color w:val="010202"/>
          <w:spacing w:val="6"/>
          <w:sz w:val="22"/>
        </w:rPr>
        <w:t> </w:t>
      </w:r>
      <w:r>
        <w:rPr>
          <w:b/>
          <w:color w:val="010202"/>
          <w:sz w:val="22"/>
        </w:rPr>
        <w:t>access</w:t>
      </w:r>
      <w:r>
        <w:rPr>
          <w:b/>
          <w:color w:val="010202"/>
          <w:spacing w:val="7"/>
          <w:sz w:val="22"/>
        </w:rPr>
        <w:t> </w:t>
      </w:r>
      <w:r>
        <w:rPr>
          <w:b/>
          <w:color w:val="010202"/>
          <w:sz w:val="22"/>
        </w:rPr>
        <w:t>to</w:t>
      </w:r>
      <w:r>
        <w:rPr>
          <w:b/>
          <w:color w:val="010202"/>
          <w:spacing w:val="7"/>
          <w:sz w:val="22"/>
        </w:rPr>
        <w:t> </w:t>
      </w:r>
      <w:r>
        <w:rPr>
          <w:b/>
          <w:color w:val="010202"/>
          <w:sz w:val="22"/>
        </w:rPr>
        <w:t>experienced</w:t>
      </w:r>
      <w:r>
        <w:rPr>
          <w:b/>
          <w:color w:val="010202"/>
          <w:spacing w:val="7"/>
          <w:sz w:val="22"/>
        </w:rPr>
        <w:t> </w:t>
      </w:r>
      <w:r>
        <w:rPr>
          <w:b/>
          <w:color w:val="010202"/>
          <w:sz w:val="22"/>
        </w:rPr>
        <w:t>providers</w:t>
      </w:r>
      <w:r>
        <w:rPr>
          <w:b/>
          <w:color w:val="010202"/>
          <w:spacing w:val="1"/>
          <w:sz w:val="22"/>
        </w:rPr>
        <w:t> </w:t>
      </w:r>
      <w:r>
        <w:rPr>
          <w:b/>
          <w:color w:val="010202"/>
          <w:sz w:val="22"/>
        </w:rPr>
        <w:t>and high-quality care. </w:t>
      </w:r>
      <w:r>
        <w:rPr>
          <w:color w:val="010202"/>
          <w:sz w:val="22"/>
        </w:rPr>
        <w:t>Through telehealth,</w:t>
      </w:r>
      <w:r>
        <w:rPr>
          <w:color w:val="010202"/>
          <w:spacing w:val="1"/>
          <w:sz w:val="22"/>
        </w:rPr>
        <w:t> </w:t>
      </w:r>
      <w:r>
        <w:rPr>
          <w:color w:val="010202"/>
          <w:sz w:val="22"/>
        </w:rPr>
        <w:t>clients can access experienced providers that</w:t>
      </w:r>
      <w:r>
        <w:rPr>
          <w:color w:val="010202"/>
          <w:spacing w:val="1"/>
          <w:sz w:val="22"/>
        </w:rPr>
        <w:t> </w:t>
      </w:r>
      <w:r>
        <w:rPr>
          <w:color w:val="010202"/>
          <w:sz w:val="22"/>
        </w:rPr>
        <w:t>may be geographically distant from their homes.</w:t>
      </w:r>
      <w:r>
        <w:rPr>
          <w:color w:val="010202"/>
          <w:spacing w:val="-52"/>
          <w:sz w:val="22"/>
        </w:rPr>
        <w:t> </w:t>
      </w:r>
      <w:r>
        <w:rPr>
          <w:color w:val="010202"/>
          <w:sz w:val="22"/>
        </w:rPr>
        <w:t>Through telehealth modalities, clients can access</w:t>
      </w:r>
      <w:r>
        <w:rPr>
          <w:color w:val="010202"/>
          <w:spacing w:val="-52"/>
          <w:sz w:val="22"/>
        </w:rPr>
        <w:t> </w:t>
      </w:r>
      <w:r>
        <w:rPr>
          <w:color w:val="010202"/>
          <w:sz w:val="22"/>
        </w:rPr>
        <w:t>providers with expertise in their particular</w:t>
      </w:r>
      <w:r>
        <w:rPr>
          <w:color w:val="010202"/>
          <w:spacing w:val="1"/>
          <w:sz w:val="22"/>
        </w:rPr>
        <w:t> </w:t>
      </w:r>
      <w:r>
        <w:rPr>
          <w:color w:val="010202"/>
          <w:sz w:val="22"/>
        </w:rPr>
        <w:t>conditions and treatment plans that can provide</w:t>
      </w:r>
      <w:r>
        <w:rPr>
          <w:color w:val="010202"/>
          <w:spacing w:val="1"/>
          <w:sz w:val="22"/>
        </w:rPr>
        <w:t> </w:t>
      </w:r>
      <w:r>
        <w:rPr>
          <w:color w:val="010202"/>
          <w:sz w:val="22"/>
        </w:rPr>
        <w:t>care appropriate for their culture, race, gender,</w:t>
      </w:r>
      <w:r>
        <w:rPr>
          <w:color w:val="010202"/>
          <w:spacing w:val="1"/>
          <w:sz w:val="22"/>
        </w:rPr>
        <w:t> </w:t>
      </w:r>
      <w:r>
        <w:rPr>
          <w:color w:val="010202"/>
          <w:w w:val="95"/>
          <w:sz w:val="22"/>
        </w:rPr>
        <w:t>sexual</w:t>
      </w:r>
      <w:r>
        <w:rPr>
          <w:color w:val="010202"/>
          <w:spacing w:val="17"/>
          <w:w w:val="95"/>
          <w:sz w:val="22"/>
        </w:rPr>
        <w:t> </w:t>
      </w:r>
      <w:r>
        <w:rPr>
          <w:color w:val="010202"/>
          <w:w w:val="95"/>
          <w:sz w:val="22"/>
        </w:rPr>
        <w:t>orientation,</w:t>
      </w:r>
      <w:r>
        <w:rPr>
          <w:color w:val="010202"/>
          <w:spacing w:val="18"/>
          <w:w w:val="95"/>
          <w:sz w:val="22"/>
        </w:rPr>
        <w:t> </w:t>
      </w:r>
      <w:r>
        <w:rPr>
          <w:color w:val="010202"/>
          <w:w w:val="95"/>
          <w:sz w:val="22"/>
        </w:rPr>
        <w:t>and</w:t>
      </w:r>
      <w:r>
        <w:rPr>
          <w:color w:val="010202"/>
          <w:spacing w:val="18"/>
          <w:w w:val="95"/>
          <w:sz w:val="22"/>
        </w:rPr>
        <w:t> </w:t>
      </w:r>
      <w:r>
        <w:rPr>
          <w:color w:val="010202"/>
          <w:w w:val="95"/>
          <w:sz w:val="22"/>
        </w:rPr>
        <w:t>lived</w:t>
      </w:r>
      <w:r>
        <w:rPr>
          <w:color w:val="010202"/>
          <w:spacing w:val="17"/>
          <w:w w:val="95"/>
          <w:sz w:val="22"/>
        </w:rPr>
        <w:t> </w:t>
      </w:r>
      <w:r>
        <w:rPr>
          <w:color w:val="010202"/>
          <w:w w:val="95"/>
          <w:sz w:val="22"/>
        </w:rPr>
        <w:t>experience.</w:t>
      </w:r>
      <w:r>
        <w:rPr>
          <w:color w:val="010202"/>
          <w:w w:val="95"/>
          <w:sz w:val="22"/>
          <w:vertAlign w:val="superscript"/>
        </w:rPr>
        <w:t>20,</w:t>
      </w:r>
      <w:r>
        <w:rPr>
          <w:color w:val="010202"/>
          <w:spacing w:val="-11"/>
          <w:w w:val="95"/>
          <w:sz w:val="22"/>
          <w:vertAlign w:val="baseline"/>
        </w:rPr>
        <w:t> </w:t>
      </w:r>
      <w:r>
        <w:rPr>
          <w:color w:val="010202"/>
          <w:w w:val="95"/>
          <w:sz w:val="22"/>
          <w:vertAlign w:val="superscript"/>
        </w:rPr>
        <w:t>47,</w:t>
      </w:r>
      <w:r>
        <w:rPr>
          <w:color w:val="010202"/>
          <w:spacing w:val="-12"/>
          <w:w w:val="95"/>
          <w:sz w:val="22"/>
          <w:vertAlign w:val="baseline"/>
        </w:rPr>
        <w:t> </w:t>
      </w:r>
      <w:r>
        <w:rPr>
          <w:color w:val="010202"/>
          <w:w w:val="95"/>
          <w:sz w:val="22"/>
          <w:vertAlign w:val="superscript"/>
        </w:rPr>
        <w:t>48</w:t>
      </w:r>
    </w:p>
    <w:p>
      <w:pPr>
        <w:pStyle w:val="ListParagraph"/>
        <w:numPr>
          <w:ilvl w:val="1"/>
          <w:numId w:val="4"/>
        </w:numPr>
        <w:tabs>
          <w:tab w:pos="839" w:val="left" w:leader="none"/>
          <w:tab w:pos="840" w:val="left" w:leader="none"/>
        </w:tabs>
        <w:spacing w:line="266" w:lineRule="auto" w:before="21" w:after="0"/>
        <w:ind w:left="839" w:right="51" w:hanging="360"/>
        <w:jc w:val="left"/>
        <w:rPr>
          <w:sz w:val="22"/>
        </w:rPr>
      </w:pPr>
      <w:r>
        <w:rPr>
          <w:b/>
          <w:color w:val="010202"/>
          <w:sz w:val="22"/>
        </w:rPr>
        <w:t>Improved access to and continuity of care.</w:t>
      </w:r>
      <w:r>
        <w:rPr>
          <w:b/>
          <w:color w:val="010202"/>
          <w:spacing w:val="1"/>
          <w:sz w:val="22"/>
        </w:rPr>
        <w:t> </w:t>
      </w:r>
      <w:r>
        <w:rPr>
          <w:color w:val="010202"/>
          <w:sz w:val="22"/>
        </w:rPr>
        <w:t>Telehealth provides a mechanism to increase</w:t>
      </w:r>
      <w:r>
        <w:rPr>
          <w:color w:val="010202"/>
          <w:spacing w:val="1"/>
          <w:sz w:val="22"/>
        </w:rPr>
        <w:t> </w:t>
      </w:r>
      <w:r>
        <w:rPr>
          <w:color w:val="010202"/>
          <w:sz w:val="22"/>
        </w:rPr>
        <w:t>access to quality care and reduce travel costs for</w:t>
      </w:r>
      <w:r>
        <w:rPr>
          <w:color w:val="010202"/>
          <w:spacing w:val="-52"/>
          <w:sz w:val="22"/>
        </w:rPr>
        <w:t> </w:t>
      </w:r>
      <w:r>
        <w:rPr>
          <w:color w:val="010202"/>
          <w:sz w:val="22"/>
        </w:rPr>
        <w:t>clients, increasing the likelihood that clients will</w:t>
      </w:r>
      <w:r>
        <w:rPr>
          <w:color w:val="010202"/>
          <w:spacing w:val="-52"/>
          <w:sz w:val="22"/>
        </w:rPr>
        <w:t> </w:t>
      </w:r>
      <w:r>
        <w:rPr>
          <w:color w:val="010202"/>
          <w:sz w:val="22"/>
        </w:rPr>
        <w:t>see their provider regularly and attend scheduled</w:t>
      </w:r>
      <w:r>
        <w:rPr>
          <w:color w:val="010202"/>
          <w:spacing w:val="-52"/>
          <w:sz w:val="22"/>
        </w:rPr>
        <w:t> </w:t>
      </w:r>
      <w:r>
        <w:rPr>
          <w:color w:val="010202"/>
          <w:sz w:val="22"/>
        </w:rPr>
        <w:t>appointments.</w:t>
      </w:r>
      <w:r>
        <w:rPr>
          <w:color w:val="010202"/>
          <w:sz w:val="22"/>
          <w:vertAlign w:val="superscript"/>
        </w:rPr>
        <w:t>36,</w:t>
      </w:r>
      <w:r>
        <w:rPr>
          <w:color w:val="010202"/>
          <w:spacing w:val="-1"/>
          <w:sz w:val="22"/>
          <w:vertAlign w:val="baseline"/>
        </w:rPr>
        <w:t> </w:t>
      </w:r>
      <w:r>
        <w:rPr>
          <w:color w:val="010202"/>
          <w:sz w:val="22"/>
          <w:vertAlign w:val="superscript"/>
        </w:rPr>
        <w:t>49</w:t>
      </w:r>
    </w:p>
    <w:p>
      <w:pPr>
        <w:pStyle w:val="Heading5"/>
        <w:numPr>
          <w:ilvl w:val="1"/>
          <w:numId w:val="4"/>
        </w:numPr>
        <w:tabs>
          <w:tab w:pos="839" w:val="left" w:leader="none"/>
          <w:tab w:pos="840" w:val="left" w:leader="none"/>
        </w:tabs>
        <w:spacing w:line="264" w:lineRule="auto" w:before="24" w:after="0"/>
        <w:ind w:left="839" w:right="757" w:hanging="360"/>
        <w:jc w:val="left"/>
        <w:rPr>
          <w:rFonts w:ascii="Times New Roman" w:hAnsi="Times New Roman"/>
        </w:rPr>
      </w:pPr>
      <w:r>
        <w:rPr>
          <w:rFonts w:ascii="Times New Roman" w:hAnsi="Times New Roman"/>
          <w:color w:val="010202"/>
        </w:rPr>
        <w:t>Increased convenience that removes</w:t>
      </w:r>
      <w:r>
        <w:rPr>
          <w:rFonts w:ascii="Times New Roman" w:hAnsi="Times New Roman"/>
          <w:color w:val="010202"/>
          <w:spacing w:val="1"/>
        </w:rPr>
        <w:t> </w:t>
      </w:r>
      <w:r>
        <w:rPr>
          <w:rFonts w:ascii="Times New Roman" w:hAnsi="Times New Roman"/>
          <w:color w:val="010202"/>
        </w:rPr>
        <w:t>traditional</w:t>
      </w:r>
      <w:r>
        <w:rPr>
          <w:rFonts w:ascii="Times New Roman" w:hAnsi="Times New Roman"/>
          <w:color w:val="010202"/>
          <w:spacing w:val="-3"/>
        </w:rPr>
        <w:t> </w:t>
      </w:r>
      <w:r>
        <w:rPr>
          <w:rFonts w:ascii="Times New Roman" w:hAnsi="Times New Roman"/>
          <w:color w:val="010202"/>
        </w:rPr>
        <w:t>barriers</w:t>
      </w:r>
      <w:r>
        <w:rPr>
          <w:rFonts w:ascii="Times New Roman" w:hAnsi="Times New Roman"/>
          <w:color w:val="010202"/>
          <w:spacing w:val="-4"/>
        </w:rPr>
        <w:t> </w:t>
      </w:r>
      <w:r>
        <w:rPr>
          <w:rFonts w:ascii="Times New Roman" w:hAnsi="Times New Roman"/>
          <w:color w:val="010202"/>
        </w:rPr>
        <w:t>to</w:t>
      </w:r>
      <w:r>
        <w:rPr>
          <w:rFonts w:ascii="Times New Roman" w:hAnsi="Times New Roman"/>
          <w:color w:val="010202"/>
          <w:spacing w:val="-3"/>
        </w:rPr>
        <w:t> </w:t>
      </w:r>
      <w:r>
        <w:rPr>
          <w:rFonts w:ascii="Times New Roman" w:hAnsi="Times New Roman"/>
          <w:color w:val="010202"/>
        </w:rPr>
        <w:t>care,</w:t>
      </w:r>
      <w:r>
        <w:rPr>
          <w:rFonts w:ascii="Times New Roman" w:hAnsi="Times New Roman"/>
          <w:color w:val="010202"/>
          <w:spacing w:val="-3"/>
        </w:rPr>
        <w:t> </w:t>
      </w:r>
      <w:r>
        <w:rPr>
          <w:rFonts w:ascii="Times New Roman" w:hAnsi="Times New Roman"/>
          <w:color w:val="010202"/>
        </w:rPr>
        <w:t>including:</w:t>
      </w:r>
    </w:p>
    <w:p>
      <w:pPr>
        <w:pStyle w:val="ListParagraph"/>
        <w:numPr>
          <w:ilvl w:val="2"/>
          <w:numId w:val="4"/>
        </w:numPr>
        <w:tabs>
          <w:tab w:pos="1199" w:val="left" w:leader="none"/>
          <w:tab w:pos="1200" w:val="left" w:leader="none"/>
        </w:tabs>
        <w:spacing w:line="249" w:lineRule="auto" w:before="16" w:after="0"/>
        <w:ind w:left="1199" w:right="271" w:hanging="360"/>
        <w:jc w:val="left"/>
        <w:rPr>
          <w:sz w:val="13"/>
        </w:rPr>
      </w:pPr>
      <w:r>
        <w:rPr>
          <w:b/>
          <w:color w:val="010202"/>
          <w:sz w:val="22"/>
        </w:rPr>
        <w:t>Geographic barriers </w:t>
      </w:r>
      <w:r>
        <w:rPr>
          <w:color w:val="010202"/>
          <w:sz w:val="22"/>
        </w:rPr>
        <w:t>(e.g., transportation</w:t>
      </w:r>
      <w:r>
        <w:rPr>
          <w:color w:val="010202"/>
          <w:spacing w:val="-52"/>
          <w:sz w:val="22"/>
        </w:rPr>
        <w:t> </w:t>
      </w:r>
      <w:r>
        <w:rPr>
          <w:color w:val="010202"/>
          <w:sz w:val="22"/>
        </w:rPr>
        <w:t>and distance to providers). Telehealth</w:t>
      </w:r>
      <w:r>
        <w:rPr>
          <w:color w:val="010202"/>
          <w:spacing w:val="1"/>
          <w:sz w:val="22"/>
        </w:rPr>
        <w:t> </w:t>
      </w:r>
      <w:r>
        <w:rPr>
          <w:color w:val="010202"/>
          <w:sz w:val="22"/>
        </w:rPr>
        <w:t>increases the opportunity for individuals</w:t>
      </w:r>
      <w:r>
        <w:rPr>
          <w:color w:val="010202"/>
          <w:spacing w:val="1"/>
          <w:sz w:val="22"/>
        </w:rPr>
        <w:t> </w:t>
      </w:r>
      <w:r>
        <w:rPr>
          <w:color w:val="010202"/>
          <w:sz w:val="22"/>
        </w:rPr>
        <w:t>in remote locations to access the care they</w:t>
      </w:r>
      <w:r>
        <w:rPr>
          <w:color w:val="010202"/>
          <w:spacing w:val="-52"/>
          <w:sz w:val="22"/>
        </w:rPr>
        <w:t> </w:t>
      </w:r>
      <w:r>
        <w:rPr>
          <w:color w:val="010202"/>
          <w:position w:val="-6"/>
          <w:sz w:val="22"/>
        </w:rPr>
        <w:t>need.</w:t>
      </w:r>
      <w:r>
        <w:rPr>
          <w:color w:val="010202"/>
          <w:sz w:val="13"/>
        </w:rPr>
        <w:t>8,</w:t>
      </w:r>
      <w:r>
        <w:rPr>
          <w:color w:val="010202"/>
          <w:spacing w:val="-2"/>
          <w:sz w:val="13"/>
        </w:rPr>
        <w:t> </w:t>
      </w:r>
      <w:r>
        <w:rPr>
          <w:color w:val="010202"/>
          <w:sz w:val="13"/>
        </w:rPr>
        <w:t>9,</w:t>
      </w:r>
      <w:r>
        <w:rPr>
          <w:color w:val="010202"/>
          <w:spacing w:val="-1"/>
          <w:sz w:val="13"/>
        </w:rPr>
        <w:t> </w:t>
      </w:r>
      <w:r>
        <w:rPr>
          <w:color w:val="010202"/>
          <w:sz w:val="13"/>
        </w:rPr>
        <w:t>50-55</w:t>
      </w:r>
    </w:p>
    <w:p>
      <w:pPr>
        <w:pStyle w:val="ListParagraph"/>
        <w:numPr>
          <w:ilvl w:val="2"/>
          <w:numId w:val="4"/>
        </w:numPr>
        <w:tabs>
          <w:tab w:pos="1199" w:val="left" w:leader="none"/>
          <w:tab w:pos="1200" w:val="left" w:leader="none"/>
        </w:tabs>
        <w:spacing w:line="249" w:lineRule="auto" w:before="0" w:after="0"/>
        <w:ind w:left="1199" w:right="81" w:hanging="360"/>
        <w:jc w:val="left"/>
        <w:rPr>
          <w:sz w:val="22"/>
        </w:rPr>
      </w:pPr>
      <w:r>
        <w:rPr>
          <w:b/>
          <w:color w:val="010202"/>
          <w:sz w:val="22"/>
        </w:rPr>
        <w:t>Psychological barriers</w:t>
      </w:r>
      <w:r>
        <w:rPr>
          <w:color w:val="010202"/>
          <w:sz w:val="22"/>
        </w:rPr>
        <w:t>. Clients who</w:t>
      </w:r>
      <w:r>
        <w:rPr>
          <w:color w:val="010202"/>
          <w:spacing w:val="1"/>
          <w:sz w:val="22"/>
        </w:rPr>
        <w:t> </w:t>
      </w:r>
      <w:r>
        <w:rPr>
          <w:color w:val="010202"/>
          <w:sz w:val="22"/>
        </w:rPr>
        <w:t>experience anxiety about leaving their</w:t>
      </w:r>
      <w:r>
        <w:rPr>
          <w:color w:val="010202"/>
          <w:spacing w:val="1"/>
          <w:sz w:val="22"/>
        </w:rPr>
        <w:t> </w:t>
      </w:r>
      <w:r>
        <w:rPr>
          <w:color w:val="010202"/>
          <w:sz w:val="22"/>
        </w:rPr>
        <w:t>homes to access treatment (e.g., clients</w:t>
      </w:r>
      <w:r>
        <w:rPr>
          <w:color w:val="010202"/>
          <w:spacing w:val="1"/>
          <w:sz w:val="22"/>
        </w:rPr>
        <w:t> </w:t>
      </w:r>
      <w:r>
        <w:rPr>
          <w:color w:val="010202"/>
          <w:sz w:val="22"/>
        </w:rPr>
        <w:t>experiencing panic disorder or agoraphobia)</w:t>
      </w:r>
      <w:r>
        <w:rPr>
          <w:color w:val="010202"/>
          <w:spacing w:val="-52"/>
          <w:sz w:val="22"/>
        </w:rPr>
        <w:t> </w:t>
      </w:r>
      <w:r>
        <w:rPr>
          <w:color w:val="010202"/>
          <w:sz w:val="22"/>
        </w:rPr>
        <w:t>are able to receive care in a safe</w:t>
      </w:r>
      <w:r>
        <w:rPr>
          <w:color w:val="010202"/>
          <w:spacing w:val="1"/>
          <w:sz w:val="22"/>
        </w:rPr>
        <w:t> </w:t>
      </w:r>
      <w:r>
        <w:rPr>
          <w:color w:val="010202"/>
          <w:w w:val="95"/>
          <w:sz w:val="22"/>
        </w:rPr>
        <w:t>environment.</w:t>
      </w:r>
      <w:r>
        <w:rPr>
          <w:color w:val="010202"/>
          <w:w w:val="95"/>
          <w:sz w:val="22"/>
          <w:vertAlign w:val="superscript"/>
        </w:rPr>
        <w:t>56,</w:t>
      </w:r>
      <w:r>
        <w:rPr>
          <w:color w:val="010202"/>
          <w:spacing w:val="-20"/>
          <w:w w:val="95"/>
          <w:sz w:val="22"/>
          <w:vertAlign w:val="baseline"/>
        </w:rPr>
        <w:t> </w:t>
      </w:r>
      <w:r>
        <w:rPr>
          <w:color w:val="010202"/>
          <w:w w:val="95"/>
          <w:sz w:val="22"/>
          <w:vertAlign w:val="superscript"/>
        </w:rPr>
        <w:t>57</w:t>
      </w:r>
    </w:p>
    <w:p>
      <w:pPr>
        <w:pStyle w:val="ListParagraph"/>
        <w:numPr>
          <w:ilvl w:val="0"/>
          <w:numId w:val="6"/>
        </w:numPr>
        <w:tabs>
          <w:tab w:pos="479" w:val="left" w:leader="none"/>
          <w:tab w:pos="480" w:val="left" w:leader="none"/>
        </w:tabs>
        <w:spacing w:line="249" w:lineRule="auto" w:before="100" w:after="0"/>
        <w:ind w:left="480" w:right="735" w:hanging="360"/>
        <w:jc w:val="left"/>
        <w:rPr>
          <w:sz w:val="22"/>
        </w:rPr>
      </w:pPr>
      <w:r>
        <w:rPr>
          <w:b/>
          <w:color w:val="010202"/>
          <w:spacing w:val="-4"/>
          <w:w w:val="99"/>
          <w:sz w:val="22"/>
        </w:rPr>
        <w:br w:type="column"/>
      </w:r>
      <w:r>
        <w:rPr>
          <w:b/>
          <w:color w:val="010202"/>
          <w:spacing w:val="-3"/>
          <w:sz w:val="22"/>
        </w:rPr>
        <w:t>Accessibility</w:t>
      </w:r>
      <w:r>
        <w:rPr>
          <w:color w:val="010202"/>
          <w:spacing w:val="-3"/>
          <w:sz w:val="22"/>
        </w:rPr>
        <w:t>. Individuals </w:t>
      </w:r>
      <w:r>
        <w:rPr>
          <w:color w:val="010202"/>
          <w:spacing w:val="-2"/>
          <w:sz w:val="22"/>
        </w:rPr>
        <w:t>with physical,</w:t>
      </w:r>
      <w:r>
        <w:rPr>
          <w:color w:val="010202"/>
          <w:spacing w:val="-1"/>
          <w:sz w:val="22"/>
        </w:rPr>
        <w:t> </w:t>
      </w:r>
      <w:r>
        <w:rPr>
          <w:color w:val="010202"/>
          <w:spacing w:val="-4"/>
          <w:sz w:val="22"/>
        </w:rPr>
        <w:t>visual,</w:t>
      </w:r>
      <w:r>
        <w:rPr>
          <w:color w:val="010202"/>
          <w:spacing w:val="-9"/>
          <w:sz w:val="22"/>
        </w:rPr>
        <w:t> </w:t>
      </w:r>
      <w:r>
        <w:rPr>
          <w:color w:val="010202"/>
          <w:spacing w:val="-4"/>
          <w:sz w:val="22"/>
        </w:rPr>
        <w:t>or</w:t>
      </w:r>
      <w:r>
        <w:rPr>
          <w:color w:val="010202"/>
          <w:spacing w:val="-9"/>
          <w:sz w:val="22"/>
        </w:rPr>
        <w:t> </w:t>
      </w:r>
      <w:r>
        <w:rPr>
          <w:color w:val="010202"/>
          <w:spacing w:val="-4"/>
          <w:sz w:val="22"/>
        </w:rPr>
        <w:t>hearing</w:t>
      </w:r>
      <w:r>
        <w:rPr>
          <w:color w:val="010202"/>
          <w:spacing w:val="-8"/>
          <w:sz w:val="22"/>
        </w:rPr>
        <w:t> </w:t>
      </w:r>
      <w:r>
        <w:rPr>
          <w:color w:val="010202"/>
          <w:spacing w:val="-4"/>
          <w:sz w:val="22"/>
        </w:rPr>
        <w:t>impairments</w:t>
      </w:r>
      <w:r>
        <w:rPr>
          <w:color w:val="010202"/>
          <w:spacing w:val="-9"/>
          <w:sz w:val="22"/>
        </w:rPr>
        <w:t> </w:t>
      </w:r>
      <w:r>
        <w:rPr>
          <w:color w:val="010202"/>
          <w:spacing w:val="-3"/>
          <w:sz w:val="22"/>
        </w:rPr>
        <w:t>and</w:t>
      </w:r>
      <w:r>
        <w:rPr>
          <w:color w:val="010202"/>
          <w:spacing w:val="-9"/>
          <w:sz w:val="22"/>
        </w:rPr>
        <w:t> </w:t>
      </w:r>
      <w:r>
        <w:rPr>
          <w:color w:val="010202"/>
          <w:spacing w:val="-3"/>
          <w:sz w:val="22"/>
        </w:rPr>
        <w:t>clients</w:t>
      </w:r>
      <w:r>
        <w:rPr>
          <w:color w:val="010202"/>
          <w:spacing w:val="-8"/>
          <w:sz w:val="22"/>
        </w:rPr>
        <w:t> </w:t>
      </w:r>
      <w:r>
        <w:rPr>
          <w:color w:val="010202"/>
          <w:spacing w:val="-3"/>
          <w:sz w:val="22"/>
        </w:rPr>
        <w:t>who</w:t>
      </w:r>
      <w:r>
        <w:rPr>
          <w:color w:val="010202"/>
          <w:spacing w:val="-52"/>
          <w:sz w:val="22"/>
        </w:rPr>
        <w:t> </w:t>
      </w:r>
      <w:r>
        <w:rPr>
          <w:color w:val="010202"/>
          <w:spacing w:val="-3"/>
          <w:sz w:val="22"/>
        </w:rPr>
        <w:t>are isolated (e.g., older adults) or incarcerated</w:t>
      </w:r>
      <w:r>
        <w:rPr>
          <w:color w:val="010202"/>
          <w:spacing w:val="-2"/>
          <w:sz w:val="22"/>
        </w:rPr>
        <w:t> </w:t>
      </w:r>
      <w:r>
        <w:rPr>
          <w:color w:val="010202"/>
          <w:spacing w:val="-3"/>
          <w:sz w:val="22"/>
        </w:rPr>
        <w:t>are able to access needed </w:t>
      </w:r>
      <w:r>
        <w:rPr>
          <w:color w:val="010202"/>
          <w:spacing w:val="-2"/>
          <w:sz w:val="22"/>
        </w:rPr>
        <w:t>health care through</w:t>
      </w:r>
      <w:r>
        <w:rPr>
          <w:color w:val="010202"/>
          <w:spacing w:val="-1"/>
          <w:sz w:val="22"/>
        </w:rPr>
        <w:t> </w:t>
      </w:r>
      <w:r>
        <w:rPr>
          <w:color w:val="010202"/>
          <w:spacing w:val="-1"/>
          <w:w w:val="95"/>
          <w:sz w:val="22"/>
        </w:rPr>
        <w:t>use</w:t>
      </w:r>
      <w:r>
        <w:rPr>
          <w:color w:val="010202"/>
          <w:spacing w:val="-6"/>
          <w:w w:val="95"/>
          <w:sz w:val="22"/>
        </w:rPr>
        <w:t> </w:t>
      </w:r>
      <w:r>
        <w:rPr>
          <w:color w:val="010202"/>
          <w:spacing w:val="-1"/>
          <w:w w:val="95"/>
          <w:sz w:val="22"/>
        </w:rPr>
        <w:t>of</w:t>
      </w:r>
      <w:r>
        <w:rPr>
          <w:color w:val="010202"/>
          <w:spacing w:val="-5"/>
          <w:w w:val="95"/>
          <w:sz w:val="22"/>
        </w:rPr>
        <w:t> </w:t>
      </w:r>
      <w:r>
        <w:rPr>
          <w:color w:val="010202"/>
          <w:spacing w:val="-1"/>
          <w:w w:val="95"/>
          <w:sz w:val="22"/>
        </w:rPr>
        <w:t>telehealth.</w:t>
      </w:r>
      <w:r>
        <w:rPr>
          <w:color w:val="010202"/>
          <w:spacing w:val="-1"/>
          <w:w w:val="95"/>
          <w:sz w:val="22"/>
          <w:vertAlign w:val="superscript"/>
        </w:rPr>
        <w:t>8,</w:t>
      </w:r>
      <w:r>
        <w:rPr>
          <w:color w:val="010202"/>
          <w:spacing w:val="-25"/>
          <w:w w:val="95"/>
          <w:sz w:val="22"/>
          <w:vertAlign w:val="baseline"/>
        </w:rPr>
        <w:t> </w:t>
      </w:r>
      <w:r>
        <w:rPr>
          <w:color w:val="010202"/>
          <w:w w:val="95"/>
          <w:sz w:val="22"/>
          <w:vertAlign w:val="superscript"/>
        </w:rPr>
        <w:t>58</w:t>
      </w:r>
    </w:p>
    <w:p>
      <w:pPr>
        <w:pStyle w:val="ListParagraph"/>
        <w:numPr>
          <w:ilvl w:val="0"/>
          <w:numId w:val="6"/>
        </w:numPr>
        <w:tabs>
          <w:tab w:pos="479" w:val="left" w:leader="none"/>
          <w:tab w:pos="480" w:val="left" w:leader="none"/>
        </w:tabs>
        <w:spacing w:line="249" w:lineRule="auto" w:before="0" w:after="0"/>
        <w:ind w:left="479" w:right="721" w:hanging="360"/>
        <w:jc w:val="left"/>
        <w:rPr>
          <w:sz w:val="22"/>
        </w:rPr>
      </w:pPr>
      <w:r>
        <w:rPr>
          <w:b/>
          <w:color w:val="010202"/>
          <w:spacing w:val="-4"/>
          <w:sz w:val="22"/>
        </w:rPr>
        <w:t>Employment</w:t>
      </w:r>
      <w:r>
        <w:rPr>
          <w:color w:val="010202"/>
          <w:spacing w:val="-4"/>
          <w:sz w:val="22"/>
        </w:rPr>
        <w:t>. The use </w:t>
      </w:r>
      <w:r>
        <w:rPr>
          <w:color w:val="010202"/>
          <w:spacing w:val="-3"/>
          <w:sz w:val="22"/>
        </w:rPr>
        <w:t>of telehealth allows</w:t>
      </w:r>
      <w:r>
        <w:rPr>
          <w:color w:val="010202"/>
          <w:spacing w:val="-2"/>
          <w:sz w:val="22"/>
        </w:rPr>
        <w:t> </w:t>
      </w:r>
      <w:r>
        <w:rPr>
          <w:color w:val="010202"/>
          <w:spacing w:val="-4"/>
          <w:sz w:val="22"/>
        </w:rPr>
        <w:t>clients</w:t>
      </w:r>
      <w:r>
        <w:rPr>
          <w:color w:val="010202"/>
          <w:spacing w:val="-10"/>
          <w:sz w:val="22"/>
        </w:rPr>
        <w:t> </w:t>
      </w:r>
      <w:r>
        <w:rPr>
          <w:color w:val="010202"/>
          <w:spacing w:val="-4"/>
          <w:sz w:val="22"/>
        </w:rPr>
        <w:t>to</w:t>
      </w:r>
      <w:r>
        <w:rPr>
          <w:color w:val="010202"/>
          <w:spacing w:val="-10"/>
          <w:sz w:val="22"/>
        </w:rPr>
        <w:t> </w:t>
      </w:r>
      <w:r>
        <w:rPr>
          <w:color w:val="010202"/>
          <w:spacing w:val="-3"/>
          <w:sz w:val="22"/>
        </w:rPr>
        <w:t>receive</w:t>
      </w:r>
      <w:r>
        <w:rPr>
          <w:color w:val="010202"/>
          <w:spacing w:val="-9"/>
          <w:sz w:val="22"/>
        </w:rPr>
        <w:t> </w:t>
      </w:r>
      <w:r>
        <w:rPr>
          <w:color w:val="010202"/>
          <w:spacing w:val="-3"/>
          <w:sz w:val="22"/>
        </w:rPr>
        <w:t>care</w:t>
      </w:r>
      <w:r>
        <w:rPr>
          <w:color w:val="010202"/>
          <w:spacing w:val="-10"/>
          <w:sz w:val="22"/>
        </w:rPr>
        <w:t> </w:t>
      </w:r>
      <w:r>
        <w:rPr>
          <w:color w:val="010202"/>
          <w:spacing w:val="-3"/>
          <w:sz w:val="22"/>
        </w:rPr>
        <w:t>while</w:t>
      </w:r>
      <w:r>
        <w:rPr>
          <w:color w:val="010202"/>
          <w:spacing w:val="-9"/>
          <w:sz w:val="22"/>
        </w:rPr>
        <w:t> </w:t>
      </w:r>
      <w:r>
        <w:rPr>
          <w:color w:val="010202"/>
          <w:spacing w:val="-3"/>
          <w:sz w:val="22"/>
        </w:rPr>
        <w:t>not</w:t>
      </w:r>
      <w:r>
        <w:rPr>
          <w:color w:val="010202"/>
          <w:spacing w:val="-10"/>
          <w:sz w:val="22"/>
        </w:rPr>
        <w:t> </w:t>
      </w:r>
      <w:r>
        <w:rPr>
          <w:color w:val="010202"/>
          <w:spacing w:val="-3"/>
          <w:sz w:val="22"/>
        </w:rPr>
        <w:t>requiring</w:t>
      </w:r>
      <w:r>
        <w:rPr>
          <w:color w:val="010202"/>
          <w:spacing w:val="-9"/>
          <w:sz w:val="22"/>
        </w:rPr>
        <w:t> </w:t>
      </w:r>
      <w:r>
        <w:rPr>
          <w:color w:val="010202"/>
          <w:spacing w:val="-3"/>
          <w:sz w:val="22"/>
        </w:rPr>
        <w:t>them</w:t>
      </w:r>
      <w:r>
        <w:rPr>
          <w:color w:val="010202"/>
          <w:spacing w:val="-52"/>
          <w:sz w:val="22"/>
        </w:rPr>
        <w:t> </w:t>
      </w:r>
      <w:r>
        <w:rPr>
          <w:color w:val="010202"/>
          <w:spacing w:val="-4"/>
          <w:sz w:val="22"/>
        </w:rPr>
        <w:t>to take significant </w:t>
      </w:r>
      <w:r>
        <w:rPr>
          <w:color w:val="010202"/>
          <w:spacing w:val="-3"/>
          <w:sz w:val="22"/>
        </w:rPr>
        <w:t>leave from employment or</w:t>
      </w:r>
      <w:r>
        <w:rPr>
          <w:color w:val="010202"/>
          <w:spacing w:val="-2"/>
          <w:sz w:val="22"/>
        </w:rPr>
        <w:t> </w:t>
      </w:r>
      <w:r>
        <w:rPr>
          <w:color w:val="010202"/>
          <w:spacing w:val="-1"/>
          <w:w w:val="95"/>
          <w:sz w:val="22"/>
        </w:rPr>
        <w:t>other</w:t>
      </w:r>
      <w:r>
        <w:rPr>
          <w:color w:val="010202"/>
          <w:spacing w:val="-5"/>
          <w:w w:val="95"/>
          <w:sz w:val="22"/>
        </w:rPr>
        <w:t> </w:t>
      </w:r>
      <w:r>
        <w:rPr>
          <w:color w:val="010202"/>
          <w:spacing w:val="-1"/>
          <w:w w:val="95"/>
          <w:sz w:val="22"/>
        </w:rPr>
        <w:t>essential</w:t>
      </w:r>
      <w:r>
        <w:rPr>
          <w:color w:val="010202"/>
          <w:spacing w:val="-5"/>
          <w:w w:val="95"/>
          <w:sz w:val="22"/>
        </w:rPr>
        <w:t> </w:t>
      </w:r>
      <w:r>
        <w:rPr>
          <w:color w:val="010202"/>
          <w:spacing w:val="-1"/>
          <w:w w:val="95"/>
          <w:sz w:val="22"/>
        </w:rPr>
        <w:t>activities.</w:t>
      </w:r>
      <w:r>
        <w:rPr>
          <w:color w:val="010202"/>
          <w:spacing w:val="-1"/>
          <w:w w:val="95"/>
          <w:sz w:val="22"/>
          <w:vertAlign w:val="superscript"/>
        </w:rPr>
        <w:t>37,</w:t>
      </w:r>
      <w:r>
        <w:rPr>
          <w:color w:val="010202"/>
          <w:spacing w:val="-25"/>
          <w:w w:val="95"/>
          <w:sz w:val="22"/>
          <w:vertAlign w:val="baseline"/>
        </w:rPr>
        <w:t> </w:t>
      </w:r>
      <w:r>
        <w:rPr>
          <w:color w:val="010202"/>
          <w:w w:val="95"/>
          <w:sz w:val="22"/>
          <w:vertAlign w:val="superscript"/>
        </w:rPr>
        <w:t>38</w:t>
      </w:r>
    </w:p>
    <w:p>
      <w:pPr>
        <w:pStyle w:val="ListParagraph"/>
        <w:numPr>
          <w:ilvl w:val="0"/>
          <w:numId w:val="6"/>
        </w:numPr>
        <w:tabs>
          <w:tab w:pos="479" w:val="left" w:leader="none"/>
          <w:tab w:pos="480" w:val="left" w:leader="none"/>
        </w:tabs>
        <w:spacing w:line="249" w:lineRule="auto" w:before="0" w:after="0"/>
        <w:ind w:left="480" w:right="737" w:hanging="360"/>
        <w:jc w:val="left"/>
        <w:rPr>
          <w:sz w:val="22"/>
        </w:rPr>
      </w:pPr>
      <w:r>
        <w:rPr>
          <w:b/>
          <w:color w:val="010202"/>
          <w:sz w:val="22"/>
        </w:rPr>
        <w:t>Childcare and caregiver responsibilities</w:t>
      </w:r>
      <w:r>
        <w:rPr>
          <w:color w:val="010202"/>
          <w:sz w:val="22"/>
        </w:rPr>
        <w:t>.</w:t>
      </w:r>
      <w:r>
        <w:rPr>
          <w:color w:val="010202"/>
          <w:spacing w:val="1"/>
          <w:sz w:val="22"/>
        </w:rPr>
        <w:t> </w:t>
      </w:r>
      <w:r>
        <w:rPr>
          <w:color w:val="010202"/>
          <w:sz w:val="22"/>
        </w:rPr>
        <w:t>Receiving home-based telehealth can help to</w:t>
      </w:r>
      <w:r>
        <w:rPr>
          <w:color w:val="010202"/>
          <w:spacing w:val="-53"/>
          <w:sz w:val="22"/>
        </w:rPr>
        <w:t> </w:t>
      </w:r>
      <w:r>
        <w:rPr>
          <w:color w:val="010202"/>
          <w:sz w:val="22"/>
        </w:rPr>
        <w:t>reduce the burden of finding childcare.</w:t>
      </w:r>
      <w:r>
        <w:rPr>
          <w:color w:val="010202"/>
          <w:sz w:val="22"/>
          <w:vertAlign w:val="superscript"/>
        </w:rPr>
        <w:t>59</w:t>
      </w:r>
      <w:r>
        <w:rPr>
          <w:color w:val="010202"/>
          <w:sz w:val="22"/>
          <w:vertAlign w:val="baseline"/>
        </w:rPr>
        <w:t> For</w:t>
      </w:r>
      <w:r>
        <w:rPr>
          <w:color w:val="010202"/>
          <w:spacing w:val="-52"/>
          <w:sz w:val="22"/>
          <w:vertAlign w:val="baseline"/>
        </w:rPr>
        <w:t> </w:t>
      </w:r>
      <w:r>
        <w:rPr>
          <w:color w:val="010202"/>
          <w:sz w:val="22"/>
          <w:vertAlign w:val="baseline"/>
        </w:rPr>
        <w:t>family caregivers, telehealth technologies,</w:t>
      </w:r>
      <w:r>
        <w:rPr>
          <w:color w:val="010202"/>
          <w:spacing w:val="1"/>
          <w:sz w:val="22"/>
          <w:vertAlign w:val="baseline"/>
        </w:rPr>
        <w:t> </w:t>
      </w:r>
      <w:r>
        <w:rPr>
          <w:color w:val="010202"/>
          <w:sz w:val="22"/>
          <w:vertAlign w:val="baseline"/>
        </w:rPr>
        <w:t>such as remote monitoring, can</w:t>
      </w:r>
      <w:r>
        <w:rPr>
          <w:color w:val="010202"/>
          <w:spacing w:val="-1"/>
          <w:sz w:val="22"/>
          <w:vertAlign w:val="baseline"/>
        </w:rPr>
        <w:t> </w:t>
      </w:r>
      <w:r>
        <w:rPr>
          <w:color w:val="010202"/>
          <w:sz w:val="22"/>
          <w:vertAlign w:val="baseline"/>
        </w:rPr>
        <w:t>relieve</w:t>
      </w:r>
    </w:p>
    <w:p>
      <w:pPr>
        <w:pStyle w:val="BodyText"/>
        <w:spacing w:line="249" w:lineRule="auto"/>
        <w:ind w:left="480" w:right="926"/>
      </w:pPr>
      <w:r>
        <w:rPr>
          <w:color w:val="010202"/>
        </w:rPr>
        <w:t>some caregiver responsibilities, thereby</w:t>
      </w:r>
      <w:r>
        <w:rPr>
          <w:color w:val="010202"/>
          <w:spacing w:val="1"/>
        </w:rPr>
        <w:t> </w:t>
      </w:r>
      <w:r>
        <w:rPr>
          <w:color w:val="010202"/>
        </w:rPr>
        <w:t>decreasing stress and improving quality of</w:t>
      </w:r>
      <w:r>
        <w:rPr>
          <w:color w:val="010202"/>
          <w:spacing w:val="-53"/>
        </w:rPr>
        <w:t> </w:t>
      </w:r>
      <w:r>
        <w:rPr>
          <w:color w:val="010202"/>
        </w:rPr>
        <w:t>life.</w:t>
      </w:r>
      <w:r>
        <w:rPr>
          <w:color w:val="010202"/>
          <w:vertAlign w:val="superscript"/>
        </w:rPr>
        <w:t>60</w:t>
      </w:r>
    </w:p>
    <w:p>
      <w:pPr>
        <w:pStyle w:val="ListParagraph"/>
        <w:numPr>
          <w:ilvl w:val="0"/>
          <w:numId w:val="6"/>
        </w:numPr>
        <w:tabs>
          <w:tab w:pos="479" w:val="left" w:leader="none"/>
          <w:tab w:pos="480" w:val="left" w:leader="none"/>
        </w:tabs>
        <w:spacing w:line="249" w:lineRule="auto" w:before="0" w:after="0"/>
        <w:ind w:left="479" w:right="755" w:hanging="360"/>
        <w:jc w:val="left"/>
        <w:rPr>
          <w:sz w:val="22"/>
        </w:rPr>
      </w:pPr>
      <w:r>
        <w:rPr>
          <w:b/>
          <w:color w:val="010202"/>
          <w:sz w:val="22"/>
        </w:rPr>
        <w:t>Team-based services and group-based</w:t>
      </w:r>
      <w:r>
        <w:rPr>
          <w:b/>
          <w:color w:val="010202"/>
          <w:spacing w:val="1"/>
          <w:sz w:val="22"/>
        </w:rPr>
        <w:t> </w:t>
      </w:r>
      <w:r>
        <w:rPr>
          <w:b/>
          <w:color w:val="010202"/>
          <w:sz w:val="22"/>
        </w:rPr>
        <w:t>interventions. </w:t>
      </w:r>
      <w:r>
        <w:rPr>
          <w:color w:val="010202"/>
          <w:sz w:val="22"/>
        </w:rPr>
        <w:t>Team-based and coordinated</w:t>
      </w:r>
      <w:r>
        <w:rPr>
          <w:color w:val="010202"/>
          <w:spacing w:val="-52"/>
          <w:sz w:val="22"/>
        </w:rPr>
        <w:t> </w:t>
      </w:r>
      <w:r>
        <w:rPr>
          <w:color w:val="010202"/>
          <w:sz w:val="22"/>
        </w:rPr>
        <w:t>care is critical to high-quality client</w:t>
      </w:r>
      <w:r>
        <w:rPr>
          <w:color w:val="010202"/>
          <w:spacing w:val="1"/>
          <w:sz w:val="22"/>
        </w:rPr>
        <w:t> </w:t>
      </w:r>
      <w:r>
        <w:rPr>
          <w:color w:val="010202"/>
          <w:sz w:val="22"/>
        </w:rPr>
        <w:t>treatment. However, geographic distances</w:t>
      </w:r>
      <w:r>
        <w:rPr>
          <w:color w:val="010202"/>
          <w:spacing w:val="1"/>
          <w:sz w:val="22"/>
        </w:rPr>
        <w:t> </w:t>
      </w:r>
      <w:r>
        <w:rPr>
          <w:color w:val="010202"/>
          <w:sz w:val="22"/>
        </w:rPr>
        <w:t>between providers and clients can limit</w:t>
      </w:r>
      <w:r>
        <w:rPr>
          <w:color w:val="010202"/>
          <w:spacing w:val="1"/>
          <w:sz w:val="22"/>
        </w:rPr>
        <w:t> </w:t>
      </w:r>
      <w:r>
        <w:rPr>
          <w:color w:val="010202"/>
          <w:sz w:val="22"/>
        </w:rPr>
        <w:t>communication. Telehealth enhances team-</w:t>
      </w:r>
      <w:r>
        <w:rPr>
          <w:color w:val="010202"/>
          <w:spacing w:val="1"/>
          <w:sz w:val="22"/>
        </w:rPr>
        <w:t> </w:t>
      </w:r>
      <w:r>
        <w:rPr>
          <w:color w:val="010202"/>
          <w:sz w:val="22"/>
        </w:rPr>
        <w:t>based care across geographic barriers by</w:t>
      </w:r>
      <w:r>
        <w:rPr>
          <w:color w:val="010202"/>
          <w:spacing w:val="1"/>
          <w:sz w:val="22"/>
        </w:rPr>
        <w:t> </w:t>
      </w:r>
      <w:r>
        <w:rPr>
          <w:color w:val="010202"/>
          <w:sz w:val="22"/>
        </w:rPr>
        <w:t>remotely connecting multiple providers with</w:t>
      </w:r>
      <w:r>
        <w:rPr>
          <w:color w:val="010202"/>
          <w:spacing w:val="-52"/>
          <w:sz w:val="22"/>
        </w:rPr>
        <w:t> </w:t>
      </w:r>
      <w:r>
        <w:rPr>
          <w:color w:val="010202"/>
          <w:sz w:val="22"/>
        </w:rPr>
        <w:t>a client, promoting provider collaboration</w:t>
      </w:r>
      <w:r>
        <w:rPr>
          <w:color w:val="010202"/>
          <w:spacing w:val="1"/>
          <w:sz w:val="22"/>
        </w:rPr>
        <w:t> </w:t>
      </w:r>
      <w:r>
        <w:rPr>
          <w:color w:val="010202"/>
          <w:sz w:val="22"/>
        </w:rPr>
        <w:t>and the exchange of health information.</w:t>
      </w:r>
      <w:r>
        <w:rPr>
          <w:color w:val="010202"/>
          <w:sz w:val="22"/>
          <w:vertAlign w:val="superscript"/>
        </w:rPr>
        <w:t>61</w:t>
      </w:r>
      <w:r>
        <w:rPr>
          <w:color w:val="010202"/>
          <w:spacing w:val="1"/>
          <w:sz w:val="22"/>
          <w:vertAlign w:val="baseline"/>
        </w:rPr>
        <w:t> </w:t>
      </w:r>
      <w:r>
        <w:rPr>
          <w:color w:val="010202"/>
          <w:sz w:val="22"/>
          <w:vertAlign w:val="baseline"/>
        </w:rPr>
        <w:t>Similarly,</w:t>
      </w:r>
      <w:r>
        <w:rPr>
          <w:color w:val="010202"/>
          <w:spacing w:val="-1"/>
          <w:sz w:val="22"/>
          <w:vertAlign w:val="baseline"/>
        </w:rPr>
        <w:t> </w:t>
      </w:r>
      <w:r>
        <w:rPr>
          <w:color w:val="010202"/>
          <w:sz w:val="22"/>
          <w:vertAlign w:val="baseline"/>
        </w:rPr>
        <w:t>telehealth</w:t>
      </w:r>
      <w:r>
        <w:rPr>
          <w:color w:val="010202"/>
          <w:spacing w:val="-1"/>
          <w:sz w:val="22"/>
          <w:vertAlign w:val="baseline"/>
        </w:rPr>
        <w:t> </w:t>
      </w:r>
      <w:r>
        <w:rPr>
          <w:color w:val="010202"/>
          <w:sz w:val="22"/>
          <w:vertAlign w:val="baseline"/>
        </w:rPr>
        <w:t>improves</w:t>
      </w:r>
      <w:r>
        <w:rPr>
          <w:color w:val="010202"/>
          <w:spacing w:val="-1"/>
          <w:sz w:val="22"/>
          <w:vertAlign w:val="baseline"/>
        </w:rPr>
        <w:t> </w:t>
      </w:r>
      <w:r>
        <w:rPr>
          <w:color w:val="010202"/>
          <w:sz w:val="22"/>
          <w:vertAlign w:val="baseline"/>
        </w:rPr>
        <w:t>access</w:t>
      </w:r>
    </w:p>
    <w:p>
      <w:pPr>
        <w:pStyle w:val="BodyText"/>
        <w:spacing w:line="249" w:lineRule="auto"/>
        <w:ind w:left="480" w:right="914"/>
      </w:pPr>
      <w:r>
        <w:rPr>
          <w:color w:val="010202"/>
        </w:rPr>
        <w:t>to group-based interventions, which</w:t>
      </w:r>
      <w:r>
        <w:rPr>
          <w:color w:val="010202"/>
          <w:spacing w:val="1"/>
        </w:rPr>
        <w:t> </w:t>
      </w:r>
      <w:r>
        <w:rPr>
          <w:color w:val="010202"/>
        </w:rPr>
        <w:t>demonstrate similar treatment outcomes as</w:t>
      </w:r>
      <w:r>
        <w:rPr>
          <w:color w:val="010202"/>
          <w:spacing w:val="-53"/>
        </w:rPr>
        <w:t> </w:t>
      </w:r>
      <w:r>
        <w:rPr>
          <w:color w:val="010202"/>
        </w:rPr>
        <w:t>in-person</w:t>
      </w:r>
      <w:r>
        <w:rPr>
          <w:color w:val="010202"/>
          <w:spacing w:val="-1"/>
        </w:rPr>
        <w:t> </w:t>
      </w:r>
      <w:r>
        <w:rPr>
          <w:color w:val="010202"/>
        </w:rPr>
        <w:t>groups.</w:t>
      </w:r>
      <w:r>
        <w:rPr>
          <w:color w:val="010202"/>
          <w:vertAlign w:val="superscript"/>
        </w:rPr>
        <w:t>62</w:t>
      </w:r>
    </w:p>
    <w:p>
      <w:pPr>
        <w:spacing w:after="0" w:line="249" w:lineRule="auto"/>
        <w:sectPr>
          <w:type w:val="continuous"/>
          <w:pgSz w:w="12240" w:h="15840"/>
          <w:pgMar w:header="0" w:footer="666" w:top="1500" w:bottom="0" w:left="600" w:right="0"/>
          <w:cols w:num="2" w:equalWidth="0">
            <w:col w:w="5182" w:space="1298"/>
            <w:col w:w="5160"/>
          </w:cols>
        </w:sectPr>
      </w:pPr>
    </w:p>
    <w:p>
      <w:pPr>
        <w:pStyle w:val="BodyText"/>
        <w:spacing w:before="4"/>
        <w:rPr>
          <w:sz w:val="25"/>
        </w:rPr>
      </w:pPr>
    </w:p>
    <w:p>
      <w:pPr>
        <w:pStyle w:val="BodyText"/>
        <w:ind w:left="120"/>
        <w:rPr>
          <w:sz w:val="20"/>
        </w:rPr>
      </w:pPr>
      <w:r>
        <w:rPr>
          <w:sz w:val="20"/>
        </w:rPr>
        <w:pict>
          <v:group style="width:540pt;height:207.4pt;mso-position-horizontal-relative:char;mso-position-vertical-relative:line" id="docshapegroup55" coordorigin="0,0" coordsize="10800,4148">
            <v:shape style="position:absolute;left:0;top:0;width:10800;height:4148" id="docshape56" coordorigin="0,0" coordsize="10800,4148" path="m10710,0l90,0,55,7,26,26,7,55,0,90,0,4057,7,4092,26,4121,55,4140,90,4147,10710,4147,10745,4140,10774,4121,10793,4092,10800,4057,10800,90,10793,55,10774,26,10745,7,10710,0xe" filled="true" fillcolor="#f7e0e0" stroked="false">
              <v:path arrowok="t"/>
              <v:fill type="solid"/>
            </v:shape>
            <v:shape style="position:absolute;left:0;top:0;width:10800;height:4148" type="#_x0000_t202" id="docshape57" filled="false" stroked="false">
              <v:textbox inset="0,0,0,0">
                <w:txbxContent>
                  <w:p>
                    <w:pPr>
                      <w:spacing w:before="107"/>
                      <w:ind w:left="3480" w:right="3480" w:firstLine="0"/>
                      <w:jc w:val="center"/>
                      <w:rPr>
                        <w:rFonts w:ascii="Arial Black"/>
                        <w:sz w:val="24"/>
                      </w:rPr>
                    </w:pPr>
                    <w:r>
                      <w:rPr>
                        <w:rFonts w:ascii="Arial Black"/>
                        <w:color w:val="CE384B"/>
                        <w:sz w:val="24"/>
                      </w:rPr>
                      <w:t>Health</w:t>
                    </w:r>
                    <w:r>
                      <w:rPr>
                        <w:rFonts w:ascii="Arial Black"/>
                        <w:color w:val="CE384B"/>
                        <w:spacing w:val="-5"/>
                        <w:sz w:val="24"/>
                      </w:rPr>
                      <w:t> </w:t>
                    </w:r>
                    <w:r>
                      <w:rPr>
                        <w:rFonts w:ascii="Arial Black"/>
                        <w:color w:val="CE384B"/>
                        <w:sz w:val="24"/>
                      </w:rPr>
                      <w:t>Equity</w:t>
                    </w:r>
                    <w:r>
                      <w:rPr>
                        <w:rFonts w:ascii="Arial Black"/>
                        <w:color w:val="CE384B"/>
                        <w:spacing w:val="-5"/>
                        <w:sz w:val="24"/>
                      </w:rPr>
                      <w:t> </w:t>
                    </w:r>
                    <w:r>
                      <w:rPr>
                        <w:rFonts w:ascii="Arial Black"/>
                        <w:color w:val="CE384B"/>
                        <w:sz w:val="24"/>
                      </w:rPr>
                      <w:t>and</w:t>
                    </w:r>
                    <w:r>
                      <w:rPr>
                        <w:rFonts w:ascii="Arial Black"/>
                        <w:color w:val="CE384B"/>
                        <w:spacing w:val="-5"/>
                        <w:sz w:val="24"/>
                      </w:rPr>
                      <w:t> </w:t>
                    </w:r>
                    <w:r>
                      <w:rPr>
                        <w:rFonts w:ascii="Arial Black"/>
                        <w:color w:val="CE384B"/>
                        <w:sz w:val="24"/>
                      </w:rPr>
                      <w:t>Telehealth</w:t>
                    </w:r>
                  </w:p>
                  <w:p>
                    <w:pPr>
                      <w:spacing w:before="109"/>
                      <w:ind w:left="180" w:right="0" w:firstLine="0"/>
                      <w:jc w:val="left"/>
                      <w:rPr>
                        <w:rFonts w:ascii="Arial"/>
                        <w:sz w:val="21"/>
                      </w:rPr>
                    </w:pPr>
                    <w:r>
                      <w:rPr>
                        <w:rFonts w:ascii="Arial"/>
                        <w:color w:val="010202"/>
                        <w:sz w:val="21"/>
                      </w:rPr>
                      <w:t>While</w:t>
                    </w:r>
                    <w:r>
                      <w:rPr>
                        <w:rFonts w:ascii="Arial"/>
                        <w:color w:val="010202"/>
                        <w:spacing w:val="-3"/>
                        <w:sz w:val="21"/>
                      </w:rPr>
                      <w:t> </w:t>
                    </w:r>
                    <w:r>
                      <w:rPr>
                        <w:rFonts w:ascii="Arial"/>
                        <w:color w:val="010202"/>
                        <w:sz w:val="21"/>
                      </w:rPr>
                      <w:t>telehealth</w:t>
                    </w:r>
                    <w:r>
                      <w:rPr>
                        <w:rFonts w:ascii="Arial"/>
                        <w:color w:val="010202"/>
                        <w:spacing w:val="-2"/>
                        <w:sz w:val="21"/>
                      </w:rPr>
                      <w:t> </w:t>
                    </w:r>
                    <w:r>
                      <w:rPr>
                        <w:rFonts w:ascii="Arial"/>
                        <w:color w:val="010202"/>
                        <w:sz w:val="21"/>
                      </w:rPr>
                      <w:t>has</w:t>
                    </w:r>
                    <w:r>
                      <w:rPr>
                        <w:rFonts w:ascii="Arial"/>
                        <w:color w:val="010202"/>
                        <w:spacing w:val="-3"/>
                        <w:sz w:val="21"/>
                      </w:rPr>
                      <w:t> </w:t>
                    </w:r>
                    <w:r>
                      <w:rPr>
                        <w:rFonts w:ascii="Arial"/>
                        <w:color w:val="010202"/>
                        <w:sz w:val="21"/>
                      </w:rPr>
                      <w:t>many</w:t>
                    </w:r>
                    <w:r>
                      <w:rPr>
                        <w:rFonts w:ascii="Arial"/>
                        <w:color w:val="010202"/>
                        <w:spacing w:val="-3"/>
                        <w:sz w:val="21"/>
                      </w:rPr>
                      <w:t> </w:t>
                    </w:r>
                    <w:r>
                      <w:rPr>
                        <w:rFonts w:ascii="Arial"/>
                        <w:color w:val="010202"/>
                        <w:sz w:val="21"/>
                      </w:rPr>
                      <w:t>benefits,</w:t>
                    </w:r>
                    <w:r>
                      <w:rPr>
                        <w:rFonts w:ascii="Arial"/>
                        <w:color w:val="010202"/>
                        <w:spacing w:val="-3"/>
                        <w:sz w:val="21"/>
                      </w:rPr>
                      <w:t> </w:t>
                    </w:r>
                    <w:r>
                      <w:rPr>
                        <w:rFonts w:ascii="Arial"/>
                        <w:color w:val="010202"/>
                        <w:sz w:val="21"/>
                      </w:rPr>
                      <w:t>concerns</w:t>
                    </w:r>
                    <w:r>
                      <w:rPr>
                        <w:rFonts w:ascii="Arial"/>
                        <w:color w:val="010202"/>
                        <w:spacing w:val="-2"/>
                        <w:sz w:val="21"/>
                      </w:rPr>
                      <w:t> </w:t>
                    </w:r>
                    <w:r>
                      <w:rPr>
                        <w:rFonts w:ascii="Arial"/>
                        <w:color w:val="010202"/>
                        <w:sz w:val="21"/>
                      </w:rPr>
                      <w:t>around</w:t>
                    </w:r>
                    <w:r>
                      <w:rPr>
                        <w:rFonts w:ascii="Arial"/>
                        <w:color w:val="010202"/>
                        <w:spacing w:val="-3"/>
                        <w:sz w:val="21"/>
                      </w:rPr>
                      <w:t> </w:t>
                    </w:r>
                    <w:r>
                      <w:rPr>
                        <w:rFonts w:ascii="Arial"/>
                        <w:color w:val="010202"/>
                        <w:sz w:val="21"/>
                      </w:rPr>
                      <w:t>access</w:t>
                    </w:r>
                    <w:r>
                      <w:rPr>
                        <w:rFonts w:ascii="Arial"/>
                        <w:color w:val="010202"/>
                        <w:spacing w:val="-3"/>
                        <w:sz w:val="21"/>
                      </w:rPr>
                      <w:t> </w:t>
                    </w:r>
                    <w:r>
                      <w:rPr>
                        <w:rFonts w:ascii="Arial"/>
                        <w:color w:val="010202"/>
                        <w:sz w:val="21"/>
                      </w:rPr>
                      <w:t>to</w:t>
                    </w:r>
                    <w:r>
                      <w:rPr>
                        <w:rFonts w:ascii="Arial"/>
                        <w:color w:val="010202"/>
                        <w:spacing w:val="-3"/>
                        <w:sz w:val="21"/>
                      </w:rPr>
                      <w:t> </w:t>
                    </w:r>
                    <w:r>
                      <w:rPr>
                        <w:rFonts w:ascii="Arial"/>
                        <w:color w:val="010202"/>
                        <w:sz w:val="21"/>
                      </w:rPr>
                      <w:t>telehealth</w:t>
                    </w:r>
                    <w:r>
                      <w:rPr>
                        <w:rFonts w:ascii="Arial"/>
                        <w:color w:val="010202"/>
                        <w:spacing w:val="-2"/>
                        <w:sz w:val="21"/>
                      </w:rPr>
                      <w:t> </w:t>
                    </w:r>
                    <w:r>
                      <w:rPr>
                        <w:rFonts w:ascii="Arial"/>
                        <w:color w:val="010202"/>
                        <w:sz w:val="21"/>
                      </w:rPr>
                      <w:t>and</w:t>
                    </w:r>
                    <w:r>
                      <w:rPr>
                        <w:rFonts w:ascii="Arial"/>
                        <w:color w:val="010202"/>
                        <w:spacing w:val="-3"/>
                        <w:sz w:val="21"/>
                      </w:rPr>
                      <w:t> </w:t>
                    </w:r>
                    <w:r>
                      <w:rPr>
                        <w:rFonts w:ascii="Arial"/>
                        <w:color w:val="010202"/>
                        <w:sz w:val="21"/>
                      </w:rPr>
                      <w:t>telemedicine</w:t>
                    </w:r>
                    <w:r>
                      <w:rPr>
                        <w:rFonts w:ascii="Arial"/>
                        <w:color w:val="010202"/>
                        <w:spacing w:val="-3"/>
                        <w:sz w:val="21"/>
                      </w:rPr>
                      <w:t> </w:t>
                    </w:r>
                    <w:r>
                      <w:rPr>
                        <w:rFonts w:ascii="Arial"/>
                        <w:color w:val="010202"/>
                        <w:sz w:val="21"/>
                      </w:rPr>
                      <w:t>services,</w:t>
                    </w:r>
                    <w:r>
                      <w:rPr>
                        <w:rFonts w:ascii="Arial"/>
                        <w:color w:val="010202"/>
                        <w:spacing w:val="-2"/>
                        <w:sz w:val="21"/>
                      </w:rPr>
                      <w:t> </w:t>
                    </w:r>
                    <w:r>
                      <w:rPr>
                        <w:rFonts w:ascii="Arial"/>
                        <w:color w:val="010202"/>
                        <w:sz w:val="21"/>
                      </w:rPr>
                      <w:t>especially</w:t>
                    </w:r>
                  </w:p>
                  <w:p>
                    <w:pPr>
                      <w:spacing w:before="19"/>
                      <w:ind w:left="180" w:right="0" w:firstLine="0"/>
                      <w:jc w:val="left"/>
                      <w:rPr>
                        <w:rFonts w:ascii="Arial"/>
                        <w:sz w:val="12"/>
                      </w:rPr>
                    </w:pPr>
                    <w:r>
                      <w:rPr>
                        <w:rFonts w:ascii="Arial"/>
                        <w:color w:val="010202"/>
                        <w:sz w:val="21"/>
                      </w:rPr>
                      <w:t>for those</w:t>
                    </w:r>
                    <w:r>
                      <w:rPr>
                        <w:rFonts w:ascii="Arial"/>
                        <w:color w:val="010202"/>
                        <w:spacing w:val="1"/>
                        <w:sz w:val="21"/>
                      </w:rPr>
                      <w:t> </w:t>
                    </w:r>
                    <w:r>
                      <w:rPr>
                        <w:rFonts w:ascii="Arial"/>
                        <w:color w:val="010202"/>
                        <w:sz w:val="21"/>
                      </w:rPr>
                      <w:t>with low</w:t>
                    </w:r>
                    <w:r>
                      <w:rPr>
                        <w:rFonts w:ascii="Arial"/>
                        <w:color w:val="010202"/>
                        <w:spacing w:val="1"/>
                        <w:sz w:val="21"/>
                      </w:rPr>
                      <w:t> </w:t>
                    </w:r>
                    <w:r>
                      <w:rPr>
                        <w:rFonts w:ascii="Arial"/>
                        <w:color w:val="010202"/>
                        <w:sz w:val="21"/>
                      </w:rPr>
                      <w:t>technology literacy</w:t>
                    </w:r>
                    <w:r>
                      <w:rPr>
                        <w:rFonts w:ascii="Arial"/>
                        <w:color w:val="010202"/>
                        <w:spacing w:val="1"/>
                        <w:sz w:val="21"/>
                      </w:rPr>
                      <w:t> </w:t>
                    </w:r>
                    <w:r>
                      <w:rPr>
                        <w:rFonts w:ascii="Arial"/>
                        <w:color w:val="010202"/>
                        <w:sz w:val="21"/>
                      </w:rPr>
                      <w:t>or</w:t>
                    </w:r>
                    <w:r>
                      <w:rPr>
                        <w:rFonts w:ascii="Arial"/>
                        <w:color w:val="010202"/>
                        <w:spacing w:val="1"/>
                        <w:sz w:val="21"/>
                      </w:rPr>
                      <w:t> </w:t>
                    </w:r>
                    <w:r>
                      <w:rPr>
                        <w:rFonts w:ascii="Arial"/>
                        <w:color w:val="010202"/>
                        <w:sz w:val="21"/>
                      </w:rPr>
                      <w:t>disabilities, remain.</w:t>
                    </w:r>
                    <w:r>
                      <w:rPr>
                        <w:rFonts w:ascii="Arial"/>
                        <w:color w:val="010202"/>
                        <w:position w:val="7"/>
                        <w:sz w:val="12"/>
                      </w:rPr>
                      <w:t>71-73</w:t>
                    </w:r>
                  </w:p>
                  <w:p>
                    <w:pPr>
                      <w:numPr>
                        <w:ilvl w:val="0"/>
                        <w:numId w:val="7"/>
                      </w:numPr>
                      <w:tabs>
                        <w:tab w:pos="899" w:val="left" w:leader="none"/>
                        <w:tab w:pos="900" w:val="left" w:leader="none"/>
                      </w:tabs>
                      <w:spacing w:line="256" w:lineRule="auto" w:before="184"/>
                      <w:ind w:left="899" w:right="455" w:hanging="360"/>
                      <w:jc w:val="left"/>
                      <w:rPr>
                        <w:rFonts w:ascii="Arial"/>
                        <w:sz w:val="12"/>
                      </w:rPr>
                    </w:pPr>
                    <w:r>
                      <w:rPr>
                        <w:rFonts w:ascii="Arial"/>
                        <w:color w:val="010202"/>
                        <w:sz w:val="21"/>
                      </w:rPr>
                      <w:t>Americans aged 65 and older (18 percent of the population) are most likely to have a chronic disease,</w:t>
                    </w:r>
                    <w:r>
                      <w:rPr>
                        <w:rFonts w:ascii="Arial"/>
                        <w:color w:val="010202"/>
                        <w:spacing w:val="-57"/>
                        <w:sz w:val="21"/>
                      </w:rPr>
                      <w:t> </w:t>
                    </w:r>
                    <w:r>
                      <w:rPr>
                        <w:rFonts w:ascii="Arial"/>
                        <w:color w:val="010202"/>
                        <w:sz w:val="21"/>
                      </w:rPr>
                      <w:t>but almost half (40 to 45 percent) do not own a smartphone or have broadband Internet</w:t>
                    </w:r>
                    <w:r>
                      <w:rPr>
                        <w:rFonts w:ascii="Arial"/>
                        <w:color w:val="010202"/>
                        <w:spacing w:val="1"/>
                        <w:sz w:val="21"/>
                      </w:rPr>
                      <w:t> </w:t>
                    </w:r>
                    <w:r>
                      <w:rPr>
                        <w:rFonts w:ascii="Arial"/>
                        <w:color w:val="010202"/>
                        <w:sz w:val="21"/>
                      </w:rPr>
                      <w:t>access.</w:t>
                    </w:r>
                    <w:r>
                      <w:rPr>
                        <w:rFonts w:ascii="Arial"/>
                        <w:color w:val="010202"/>
                        <w:position w:val="7"/>
                        <w:sz w:val="12"/>
                      </w:rPr>
                      <w:t>71</w:t>
                    </w:r>
                  </w:p>
                  <w:p>
                    <w:pPr>
                      <w:numPr>
                        <w:ilvl w:val="0"/>
                        <w:numId w:val="7"/>
                      </w:numPr>
                      <w:tabs>
                        <w:tab w:pos="899" w:val="left" w:leader="none"/>
                        <w:tab w:pos="900" w:val="left" w:leader="none"/>
                      </w:tabs>
                      <w:spacing w:line="256" w:lineRule="auto" w:before="76"/>
                      <w:ind w:left="899" w:right="534" w:hanging="360"/>
                      <w:jc w:val="left"/>
                      <w:rPr>
                        <w:rFonts w:ascii="Arial"/>
                        <w:sz w:val="12"/>
                      </w:rPr>
                    </w:pPr>
                    <w:r>
                      <w:rPr>
                        <w:rFonts w:ascii="Arial"/>
                        <w:color w:val="010202"/>
                        <w:sz w:val="21"/>
                      </w:rPr>
                      <w:t>People experiencing poverty report lower rates of smartphone ownership (71 percent), broadband</w:t>
                    </w:r>
                    <w:r>
                      <w:rPr>
                        <w:rFonts w:ascii="Arial"/>
                        <w:color w:val="010202"/>
                        <w:spacing w:val="1"/>
                        <w:sz w:val="21"/>
                      </w:rPr>
                      <w:t> </w:t>
                    </w:r>
                    <w:r>
                      <w:rPr>
                        <w:rFonts w:ascii="Arial"/>
                        <w:color w:val="010202"/>
                        <w:sz w:val="21"/>
                      </w:rPr>
                      <w:t>Internet</w:t>
                    </w:r>
                    <w:r>
                      <w:rPr>
                        <w:rFonts w:ascii="Arial"/>
                        <w:color w:val="010202"/>
                        <w:spacing w:val="-1"/>
                        <w:sz w:val="21"/>
                      </w:rPr>
                      <w:t> </w:t>
                    </w:r>
                    <w:r>
                      <w:rPr>
                        <w:rFonts w:ascii="Arial"/>
                        <w:color w:val="010202"/>
                        <w:sz w:val="21"/>
                      </w:rPr>
                      <w:t>access</w:t>
                    </w:r>
                    <w:r>
                      <w:rPr>
                        <w:rFonts w:ascii="Arial"/>
                        <w:color w:val="010202"/>
                        <w:spacing w:val="-1"/>
                        <w:sz w:val="21"/>
                      </w:rPr>
                      <w:t> </w:t>
                    </w:r>
                    <w:r>
                      <w:rPr>
                        <w:rFonts w:ascii="Arial"/>
                        <w:color w:val="010202"/>
                        <w:sz w:val="21"/>
                      </w:rPr>
                      <w:t>(59</w:t>
                    </w:r>
                    <w:r>
                      <w:rPr>
                        <w:rFonts w:ascii="Arial"/>
                        <w:color w:val="010202"/>
                        <w:spacing w:val="-1"/>
                        <w:sz w:val="21"/>
                      </w:rPr>
                      <w:t> </w:t>
                    </w:r>
                    <w:r>
                      <w:rPr>
                        <w:rFonts w:ascii="Arial"/>
                        <w:color w:val="010202"/>
                        <w:sz w:val="21"/>
                      </w:rPr>
                      <w:t>percent), and</w:t>
                    </w:r>
                    <w:r>
                      <w:rPr>
                        <w:rFonts w:ascii="Arial"/>
                        <w:color w:val="010202"/>
                        <w:spacing w:val="-1"/>
                        <w:sz w:val="21"/>
                      </w:rPr>
                      <w:t> </w:t>
                    </w:r>
                    <w:r>
                      <w:rPr>
                        <w:rFonts w:ascii="Arial"/>
                        <w:color w:val="010202"/>
                        <w:sz w:val="21"/>
                      </w:rPr>
                      <w:t>digital</w:t>
                    </w:r>
                    <w:r>
                      <w:rPr>
                        <w:rFonts w:ascii="Arial"/>
                        <w:color w:val="010202"/>
                        <w:spacing w:val="-1"/>
                        <w:sz w:val="21"/>
                      </w:rPr>
                      <w:t> </w:t>
                    </w:r>
                    <w:r>
                      <w:rPr>
                        <w:rFonts w:ascii="Arial"/>
                        <w:color w:val="010202"/>
                        <w:sz w:val="21"/>
                      </w:rPr>
                      <w:t>literacy</w:t>
                    </w:r>
                    <w:r>
                      <w:rPr>
                        <w:rFonts w:ascii="Arial"/>
                        <w:color w:val="010202"/>
                        <w:spacing w:val="-1"/>
                        <w:sz w:val="21"/>
                      </w:rPr>
                      <w:t> </w:t>
                    </w:r>
                    <w:r>
                      <w:rPr>
                        <w:rFonts w:ascii="Arial"/>
                        <w:color w:val="010202"/>
                        <w:sz w:val="21"/>
                      </w:rPr>
                      <w:t>(53 percent)</w:t>
                    </w:r>
                    <w:r>
                      <w:rPr>
                        <w:rFonts w:ascii="Arial"/>
                        <w:color w:val="010202"/>
                        <w:spacing w:val="-1"/>
                        <w:sz w:val="21"/>
                      </w:rPr>
                      <w:t> </w:t>
                    </w:r>
                    <w:r>
                      <w:rPr>
                        <w:rFonts w:ascii="Arial"/>
                        <w:color w:val="010202"/>
                        <w:sz w:val="21"/>
                      </w:rPr>
                      <w:t>compared</w:t>
                    </w:r>
                    <w:r>
                      <w:rPr>
                        <w:rFonts w:ascii="Arial"/>
                        <w:color w:val="010202"/>
                        <w:spacing w:val="-1"/>
                        <w:sz w:val="21"/>
                      </w:rPr>
                      <w:t> </w:t>
                    </w:r>
                    <w:r>
                      <w:rPr>
                        <w:rFonts w:ascii="Arial"/>
                        <w:color w:val="010202"/>
                        <w:sz w:val="21"/>
                      </w:rPr>
                      <w:t>to</w:t>
                    </w:r>
                    <w:r>
                      <w:rPr>
                        <w:rFonts w:ascii="Arial"/>
                        <w:color w:val="010202"/>
                        <w:spacing w:val="-1"/>
                        <w:sz w:val="21"/>
                      </w:rPr>
                      <w:t> </w:t>
                    </w:r>
                    <w:r>
                      <w:rPr>
                        <w:rFonts w:ascii="Arial"/>
                        <w:color w:val="010202"/>
                        <w:sz w:val="21"/>
                      </w:rPr>
                      <w:t>the general</w:t>
                    </w:r>
                    <w:r>
                      <w:rPr>
                        <w:rFonts w:ascii="Arial"/>
                        <w:color w:val="010202"/>
                        <w:spacing w:val="-1"/>
                        <w:sz w:val="21"/>
                      </w:rPr>
                      <w:t> </w:t>
                    </w:r>
                    <w:r>
                      <w:rPr>
                        <w:rFonts w:ascii="Arial"/>
                        <w:color w:val="010202"/>
                        <w:sz w:val="21"/>
                      </w:rPr>
                      <w:t>population.</w:t>
                    </w:r>
                    <w:r>
                      <w:rPr>
                        <w:rFonts w:ascii="Arial"/>
                        <w:color w:val="010202"/>
                        <w:position w:val="7"/>
                        <w:sz w:val="12"/>
                      </w:rPr>
                      <w:t>74, 75</w:t>
                    </w:r>
                  </w:p>
                  <w:p>
                    <w:pPr>
                      <w:numPr>
                        <w:ilvl w:val="0"/>
                        <w:numId w:val="7"/>
                      </w:numPr>
                      <w:tabs>
                        <w:tab w:pos="899" w:val="left" w:leader="none"/>
                        <w:tab w:pos="900" w:val="left" w:leader="none"/>
                      </w:tabs>
                      <w:spacing w:line="256" w:lineRule="auto" w:before="77"/>
                      <w:ind w:left="899" w:right="234" w:hanging="360"/>
                      <w:jc w:val="left"/>
                      <w:rPr>
                        <w:rFonts w:ascii="Arial"/>
                        <w:sz w:val="12"/>
                      </w:rPr>
                    </w:pPr>
                    <w:r>
                      <w:rPr>
                        <w:rFonts w:ascii="Arial"/>
                        <w:color w:val="010202"/>
                        <w:sz w:val="21"/>
                      </w:rPr>
                      <w:t>People who are Black or Hispanic report having lower computer ownership (Black: 58 percent; Hispanic:</w:t>
                    </w:r>
                    <w:r>
                      <w:rPr>
                        <w:rFonts w:ascii="Arial"/>
                        <w:color w:val="010202"/>
                        <w:spacing w:val="-57"/>
                        <w:sz w:val="21"/>
                      </w:rPr>
                      <w:t> </w:t>
                    </w:r>
                    <w:r>
                      <w:rPr>
                        <w:rFonts w:ascii="Arial"/>
                        <w:color w:val="010202"/>
                        <w:sz w:val="21"/>
                      </w:rPr>
                      <w:t>57 percent) or home broadband Internet access (Black: 66 percent; Hispanic: 61 percent) than White</w:t>
                    </w:r>
                    <w:r>
                      <w:rPr>
                        <w:rFonts w:ascii="Arial"/>
                        <w:color w:val="010202"/>
                        <w:spacing w:val="1"/>
                        <w:sz w:val="21"/>
                      </w:rPr>
                      <w:t> </w:t>
                    </w:r>
                    <w:r>
                      <w:rPr>
                        <w:rFonts w:ascii="Arial"/>
                        <w:color w:val="010202"/>
                        <w:sz w:val="21"/>
                      </w:rPr>
                      <w:t>respondents (82 and 79 percent, respectively), although smartphone access is nearly equal (Black: 80</w:t>
                    </w:r>
                    <w:r>
                      <w:rPr>
                        <w:rFonts w:ascii="Arial"/>
                        <w:color w:val="010202"/>
                        <w:spacing w:val="1"/>
                        <w:sz w:val="21"/>
                      </w:rPr>
                      <w:t> </w:t>
                    </w:r>
                    <w:r>
                      <w:rPr>
                        <w:rFonts w:ascii="Arial"/>
                        <w:color w:val="010202"/>
                        <w:sz w:val="21"/>
                      </w:rPr>
                      <w:t>percent; Hispanic: 79 percent; White: 82 percent).</w:t>
                    </w:r>
                    <w:r>
                      <w:rPr>
                        <w:rFonts w:ascii="Arial"/>
                        <w:color w:val="010202"/>
                        <w:position w:val="7"/>
                        <w:sz w:val="12"/>
                      </w:rPr>
                      <w:t>76</w:t>
                    </w:r>
                  </w:p>
                  <w:p>
                    <w:pPr>
                      <w:spacing w:before="93"/>
                      <w:ind w:left="180" w:right="0" w:firstLine="0"/>
                      <w:jc w:val="left"/>
                      <w:rPr>
                        <w:rFonts w:ascii="Arial"/>
                        <w:sz w:val="12"/>
                      </w:rPr>
                    </w:pPr>
                    <w:r>
                      <w:rPr>
                        <w:rFonts w:ascii="Arial"/>
                        <w:color w:val="010202"/>
                        <w:sz w:val="21"/>
                      </w:rPr>
                      <w:t>Due</w:t>
                    </w:r>
                    <w:r>
                      <w:rPr>
                        <w:rFonts w:ascii="Arial"/>
                        <w:color w:val="010202"/>
                        <w:spacing w:val="-3"/>
                        <w:sz w:val="21"/>
                      </w:rPr>
                      <w:t> </w:t>
                    </w:r>
                    <w:r>
                      <w:rPr>
                        <w:rFonts w:ascii="Arial"/>
                        <w:color w:val="010202"/>
                        <w:sz w:val="21"/>
                      </w:rPr>
                      <w:t>to</w:t>
                    </w:r>
                    <w:r>
                      <w:rPr>
                        <w:rFonts w:ascii="Arial"/>
                        <w:color w:val="010202"/>
                        <w:spacing w:val="-1"/>
                        <w:sz w:val="21"/>
                      </w:rPr>
                      <w:t> </w:t>
                    </w:r>
                    <w:r>
                      <w:rPr>
                        <w:rFonts w:ascii="Arial"/>
                        <w:color w:val="010202"/>
                        <w:sz w:val="21"/>
                      </w:rPr>
                      <w:t>these</w:t>
                    </w:r>
                    <w:r>
                      <w:rPr>
                        <w:rFonts w:ascii="Arial"/>
                        <w:color w:val="010202"/>
                        <w:spacing w:val="-1"/>
                        <w:sz w:val="21"/>
                      </w:rPr>
                      <w:t> </w:t>
                    </w:r>
                    <w:r>
                      <w:rPr>
                        <w:rFonts w:ascii="Arial"/>
                        <w:color w:val="010202"/>
                        <w:sz w:val="21"/>
                      </w:rPr>
                      <w:t>limitations,</w:t>
                    </w:r>
                    <w:r>
                      <w:rPr>
                        <w:rFonts w:ascii="Arial"/>
                        <w:color w:val="010202"/>
                        <w:spacing w:val="-3"/>
                        <w:sz w:val="21"/>
                      </w:rPr>
                      <w:t> </w:t>
                    </w:r>
                    <w:r>
                      <w:rPr>
                        <w:rFonts w:ascii="Arial"/>
                        <w:color w:val="010202"/>
                        <w:sz w:val="21"/>
                      </w:rPr>
                      <w:t>some</w:t>
                    </w:r>
                    <w:r>
                      <w:rPr>
                        <w:rFonts w:ascii="Arial"/>
                        <w:color w:val="010202"/>
                        <w:spacing w:val="-1"/>
                        <w:sz w:val="21"/>
                      </w:rPr>
                      <w:t> </w:t>
                    </w:r>
                    <w:r>
                      <w:rPr>
                        <w:rFonts w:ascii="Arial"/>
                        <w:color w:val="010202"/>
                        <w:sz w:val="21"/>
                      </w:rPr>
                      <w:t>clients</w:t>
                    </w:r>
                    <w:r>
                      <w:rPr>
                        <w:rFonts w:ascii="Arial"/>
                        <w:color w:val="010202"/>
                        <w:spacing w:val="-1"/>
                        <w:sz w:val="21"/>
                      </w:rPr>
                      <w:t> </w:t>
                    </w:r>
                    <w:r>
                      <w:rPr>
                        <w:rFonts w:ascii="Arial"/>
                        <w:color w:val="010202"/>
                        <w:sz w:val="21"/>
                      </w:rPr>
                      <w:t>may</w:t>
                    </w:r>
                    <w:r>
                      <w:rPr>
                        <w:rFonts w:ascii="Arial"/>
                        <w:color w:val="010202"/>
                        <w:spacing w:val="-1"/>
                        <w:sz w:val="21"/>
                      </w:rPr>
                      <w:t> </w:t>
                    </w:r>
                    <w:r>
                      <w:rPr>
                        <w:rFonts w:ascii="Arial"/>
                        <w:color w:val="010202"/>
                        <w:sz w:val="21"/>
                      </w:rPr>
                      <w:t>not</w:t>
                    </w:r>
                    <w:r>
                      <w:rPr>
                        <w:rFonts w:ascii="Arial"/>
                        <w:color w:val="010202"/>
                        <w:spacing w:val="-3"/>
                        <w:sz w:val="21"/>
                      </w:rPr>
                      <w:t> </w:t>
                    </w:r>
                    <w:r>
                      <w:rPr>
                        <w:rFonts w:ascii="Arial"/>
                        <w:color w:val="010202"/>
                        <w:sz w:val="21"/>
                      </w:rPr>
                      <w:t>benefit</w:t>
                    </w:r>
                    <w:r>
                      <w:rPr>
                        <w:rFonts w:ascii="Arial"/>
                        <w:color w:val="010202"/>
                        <w:spacing w:val="-2"/>
                        <w:sz w:val="21"/>
                      </w:rPr>
                      <w:t> </w:t>
                    </w:r>
                    <w:r>
                      <w:rPr>
                        <w:rFonts w:ascii="Arial"/>
                        <w:color w:val="010202"/>
                        <w:sz w:val="21"/>
                      </w:rPr>
                      <w:t>from</w:t>
                    </w:r>
                    <w:r>
                      <w:rPr>
                        <w:rFonts w:ascii="Arial"/>
                        <w:color w:val="010202"/>
                        <w:spacing w:val="-1"/>
                        <w:sz w:val="21"/>
                      </w:rPr>
                      <w:t> </w:t>
                    </w:r>
                    <w:r>
                      <w:rPr>
                        <w:rFonts w:ascii="Arial"/>
                        <w:color w:val="010202"/>
                        <w:sz w:val="21"/>
                      </w:rPr>
                      <w:t>telehealth.</w:t>
                    </w:r>
                    <w:r>
                      <w:rPr>
                        <w:rFonts w:ascii="Arial"/>
                        <w:color w:val="010202"/>
                        <w:position w:val="7"/>
                        <w:sz w:val="12"/>
                      </w:rPr>
                      <w:t>77,</w:t>
                    </w:r>
                    <w:r>
                      <w:rPr>
                        <w:rFonts w:ascii="Arial"/>
                        <w:color w:val="010202"/>
                        <w:spacing w:val="-1"/>
                        <w:position w:val="7"/>
                        <w:sz w:val="12"/>
                      </w:rPr>
                      <w:t> </w:t>
                    </w:r>
                    <w:r>
                      <w:rPr>
                        <w:rFonts w:ascii="Arial"/>
                        <w:color w:val="010202"/>
                        <w:position w:val="7"/>
                        <w:sz w:val="12"/>
                      </w:rPr>
                      <w:t>78</w:t>
                    </w:r>
                  </w:p>
                </w:txbxContent>
              </v:textbox>
              <w10:wrap type="none"/>
            </v:shape>
          </v:group>
        </w:pict>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spacing w:before="1"/>
        <w:rPr>
          <w:sz w:val="26"/>
        </w:rPr>
      </w:pPr>
    </w:p>
    <w:p>
      <w:pPr>
        <w:spacing w:after="0"/>
        <w:rPr>
          <w:sz w:val="26"/>
        </w:rPr>
        <w:sectPr>
          <w:pgSz w:w="12240" w:h="15840"/>
          <w:pgMar w:header="0" w:footer="666" w:top="380" w:bottom="860" w:left="600" w:right="0"/>
        </w:sectPr>
      </w:pPr>
    </w:p>
    <w:p>
      <w:pPr>
        <w:pStyle w:val="ListParagraph"/>
        <w:numPr>
          <w:ilvl w:val="1"/>
          <w:numId w:val="6"/>
        </w:numPr>
        <w:tabs>
          <w:tab w:pos="1199" w:val="left" w:leader="none"/>
          <w:tab w:pos="1200" w:val="left" w:leader="none"/>
        </w:tabs>
        <w:spacing w:line="249" w:lineRule="auto" w:before="100" w:after="0"/>
        <w:ind w:left="1199" w:right="89" w:hanging="360"/>
        <w:jc w:val="left"/>
        <w:rPr>
          <w:sz w:val="22"/>
        </w:rPr>
      </w:pPr>
      <w:r>
        <w:rPr>
          <w:b/>
          <w:color w:val="010202"/>
          <w:sz w:val="22"/>
        </w:rPr>
        <w:t>Reduction in stigma associated with</w:t>
      </w:r>
      <w:r>
        <w:rPr>
          <w:b/>
          <w:color w:val="010202"/>
          <w:spacing w:val="1"/>
          <w:sz w:val="22"/>
        </w:rPr>
        <w:t> </w:t>
      </w:r>
      <w:r>
        <w:rPr>
          <w:b/>
          <w:color w:val="010202"/>
          <w:sz w:val="22"/>
        </w:rPr>
        <w:t>experiencing SMI and SUD and accessing</w:t>
      </w:r>
      <w:r>
        <w:rPr>
          <w:b/>
          <w:color w:val="010202"/>
          <w:spacing w:val="-52"/>
          <w:sz w:val="22"/>
        </w:rPr>
        <w:t> </w:t>
      </w:r>
      <w:r>
        <w:rPr>
          <w:b/>
          <w:color w:val="010202"/>
          <w:sz w:val="22"/>
        </w:rPr>
        <w:t>treatment.</w:t>
      </w:r>
      <w:r>
        <w:rPr>
          <w:b/>
          <w:color w:val="010202"/>
          <w:spacing w:val="-1"/>
          <w:sz w:val="22"/>
        </w:rPr>
        <w:t> </w:t>
      </w:r>
      <w:r>
        <w:rPr>
          <w:color w:val="010202"/>
          <w:sz w:val="22"/>
        </w:rPr>
        <w:t>Through telehealth, clients</w:t>
      </w:r>
    </w:p>
    <w:p>
      <w:pPr>
        <w:pStyle w:val="BodyText"/>
        <w:spacing w:line="249" w:lineRule="auto" w:before="1"/>
        <w:ind w:left="1199" w:right="264"/>
      </w:pPr>
      <w:r>
        <w:rPr>
          <w:color w:val="010202"/>
        </w:rPr>
        <w:t>can disclose their SUD and/or SMI from</w:t>
      </w:r>
      <w:r>
        <w:rPr>
          <w:color w:val="010202"/>
          <w:spacing w:val="1"/>
        </w:rPr>
        <w:t> </w:t>
      </w:r>
      <w:r>
        <w:rPr>
          <w:color w:val="010202"/>
        </w:rPr>
        <w:t>the privacy of their own home.</w:t>
      </w:r>
      <w:r>
        <w:rPr>
          <w:color w:val="010202"/>
          <w:vertAlign w:val="superscript"/>
        </w:rPr>
        <w:t>63</w:t>
      </w:r>
      <w:r>
        <w:rPr>
          <w:color w:val="010202"/>
          <w:vertAlign w:val="baseline"/>
        </w:rPr>
        <w:t> In rural</w:t>
      </w:r>
      <w:r>
        <w:rPr>
          <w:color w:val="010202"/>
          <w:spacing w:val="1"/>
          <w:vertAlign w:val="baseline"/>
        </w:rPr>
        <w:t> </w:t>
      </w:r>
      <w:r>
        <w:rPr>
          <w:color w:val="010202"/>
          <w:vertAlign w:val="baseline"/>
        </w:rPr>
        <w:t>communities with fewer behavioral health</w:t>
      </w:r>
      <w:r>
        <w:rPr>
          <w:color w:val="010202"/>
          <w:spacing w:val="-52"/>
          <w:vertAlign w:val="baseline"/>
        </w:rPr>
        <w:t> </w:t>
      </w:r>
      <w:r>
        <w:rPr>
          <w:color w:val="010202"/>
          <w:vertAlign w:val="baseline"/>
        </w:rPr>
        <w:t>providers, telehealth can connect clients</w:t>
      </w:r>
    </w:p>
    <w:p>
      <w:pPr>
        <w:pStyle w:val="BodyText"/>
        <w:spacing w:line="249" w:lineRule="auto" w:before="4"/>
        <w:ind w:left="1199" w:right="48"/>
        <w:jc w:val="both"/>
      </w:pPr>
      <w:r>
        <w:rPr>
          <w:color w:val="010202"/>
        </w:rPr>
        <w:t>with providers in other geographic locations,</w:t>
      </w:r>
      <w:r>
        <w:rPr>
          <w:color w:val="010202"/>
          <w:spacing w:val="-52"/>
        </w:rPr>
        <w:t> </w:t>
      </w:r>
      <w:r>
        <w:rPr>
          <w:color w:val="010202"/>
        </w:rPr>
        <w:t>which can increase their privacy and protect</w:t>
      </w:r>
      <w:r>
        <w:rPr>
          <w:color w:val="010202"/>
          <w:spacing w:val="1"/>
        </w:rPr>
        <w:t> </w:t>
      </w:r>
      <w:r>
        <w:rPr>
          <w:color w:val="010202"/>
          <w:w w:val="95"/>
        </w:rPr>
        <w:t>their</w:t>
      </w:r>
      <w:r>
        <w:rPr>
          <w:color w:val="010202"/>
          <w:spacing w:val="19"/>
          <w:w w:val="95"/>
        </w:rPr>
        <w:t> </w:t>
      </w:r>
      <w:r>
        <w:rPr>
          <w:color w:val="010202"/>
          <w:w w:val="95"/>
        </w:rPr>
        <w:t>anonymity</w:t>
      </w:r>
      <w:r>
        <w:rPr>
          <w:color w:val="010202"/>
          <w:spacing w:val="20"/>
          <w:w w:val="95"/>
        </w:rPr>
        <w:t> </w:t>
      </w:r>
      <w:r>
        <w:rPr>
          <w:color w:val="010202"/>
          <w:w w:val="95"/>
        </w:rPr>
        <w:t>when</w:t>
      </w:r>
      <w:r>
        <w:rPr>
          <w:color w:val="010202"/>
          <w:spacing w:val="20"/>
          <w:w w:val="95"/>
        </w:rPr>
        <w:t> </w:t>
      </w:r>
      <w:r>
        <w:rPr>
          <w:color w:val="010202"/>
          <w:w w:val="95"/>
        </w:rPr>
        <w:t>accessing</w:t>
      </w:r>
      <w:r>
        <w:rPr>
          <w:color w:val="010202"/>
          <w:spacing w:val="20"/>
          <w:w w:val="95"/>
        </w:rPr>
        <w:t> </w:t>
      </w:r>
      <w:r>
        <w:rPr>
          <w:color w:val="010202"/>
          <w:w w:val="95"/>
        </w:rPr>
        <w:t>care.</w:t>
      </w:r>
      <w:r>
        <w:rPr>
          <w:color w:val="010202"/>
          <w:w w:val="95"/>
          <w:vertAlign w:val="superscript"/>
        </w:rPr>
        <w:t>38,</w:t>
      </w:r>
      <w:r>
        <w:rPr>
          <w:color w:val="010202"/>
          <w:spacing w:val="-10"/>
          <w:w w:val="95"/>
          <w:vertAlign w:val="baseline"/>
        </w:rPr>
        <w:t> </w:t>
      </w:r>
      <w:r>
        <w:rPr>
          <w:color w:val="010202"/>
          <w:w w:val="95"/>
          <w:vertAlign w:val="superscript"/>
        </w:rPr>
        <w:t>64-66</w:t>
      </w:r>
    </w:p>
    <w:p>
      <w:pPr>
        <w:pStyle w:val="Heading5"/>
        <w:numPr>
          <w:ilvl w:val="1"/>
          <w:numId w:val="6"/>
        </w:numPr>
        <w:tabs>
          <w:tab w:pos="1200" w:val="left" w:leader="none"/>
        </w:tabs>
        <w:spacing w:line="256" w:lineRule="exact" w:before="0" w:after="0"/>
        <w:ind w:left="1199" w:right="0" w:hanging="361"/>
        <w:jc w:val="both"/>
        <w:rPr>
          <w:rFonts w:ascii="Times New Roman" w:hAnsi="Times New Roman"/>
        </w:rPr>
      </w:pPr>
      <w:r>
        <w:rPr>
          <w:rFonts w:ascii="Times New Roman" w:hAnsi="Times New Roman"/>
          <w:color w:val="010202"/>
        </w:rPr>
        <w:t>Satisfaction</w:t>
      </w:r>
      <w:r>
        <w:rPr>
          <w:rFonts w:ascii="Times New Roman" w:hAnsi="Times New Roman"/>
          <w:color w:val="010202"/>
          <w:spacing w:val="-6"/>
        </w:rPr>
        <w:t> </w:t>
      </w:r>
      <w:r>
        <w:rPr>
          <w:rFonts w:ascii="Times New Roman" w:hAnsi="Times New Roman"/>
          <w:color w:val="010202"/>
        </w:rPr>
        <w:t>with</w:t>
      </w:r>
      <w:r>
        <w:rPr>
          <w:rFonts w:ascii="Times New Roman" w:hAnsi="Times New Roman"/>
          <w:color w:val="010202"/>
          <w:spacing w:val="-5"/>
        </w:rPr>
        <w:t> </w:t>
      </w:r>
      <w:r>
        <w:rPr>
          <w:rFonts w:ascii="Times New Roman" w:hAnsi="Times New Roman"/>
          <w:color w:val="010202"/>
        </w:rPr>
        <w:t>care</w:t>
      </w:r>
      <w:r>
        <w:rPr>
          <w:rFonts w:ascii="Times New Roman" w:hAnsi="Times New Roman"/>
          <w:color w:val="010202"/>
          <w:spacing w:val="-4"/>
        </w:rPr>
        <w:t> </w:t>
      </w:r>
      <w:r>
        <w:rPr>
          <w:rFonts w:ascii="Times New Roman" w:hAnsi="Times New Roman"/>
          <w:color w:val="010202"/>
        </w:rPr>
        <w:t>consistent</w:t>
      </w:r>
      <w:r>
        <w:rPr>
          <w:rFonts w:ascii="Times New Roman" w:hAnsi="Times New Roman"/>
          <w:color w:val="010202"/>
          <w:spacing w:val="-4"/>
        </w:rPr>
        <w:t> </w:t>
      </w:r>
      <w:r>
        <w:rPr>
          <w:rFonts w:ascii="Times New Roman" w:hAnsi="Times New Roman"/>
          <w:color w:val="010202"/>
        </w:rPr>
        <w:t>with</w:t>
      </w:r>
    </w:p>
    <w:p>
      <w:pPr>
        <w:pStyle w:val="BodyText"/>
        <w:spacing w:line="249" w:lineRule="auto" w:before="10"/>
        <w:ind w:left="1199" w:right="179"/>
      </w:pPr>
      <w:r>
        <w:rPr>
          <w:b/>
          <w:color w:val="010202"/>
        </w:rPr>
        <w:t>in-person treatment. </w:t>
      </w:r>
      <w:r>
        <w:rPr>
          <w:color w:val="010202"/>
        </w:rPr>
        <w:t>Despite some initial</w:t>
      </w:r>
      <w:r>
        <w:rPr>
          <w:color w:val="010202"/>
          <w:spacing w:val="1"/>
        </w:rPr>
        <w:t> </w:t>
      </w:r>
      <w:r>
        <w:rPr>
          <w:color w:val="010202"/>
        </w:rPr>
        <w:t>client hesitancy towards using telehealth,</w:t>
      </w:r>
      <w:r>
        <w:rPr>
          <w:color w:val="010202"/>
          <w:spacing w:val="1"/>
        </w:rPr>
        <w:t> </w:t>
      </w:r>
      <w:r>
        <w:rPr>
          <w:color w:val="010202"/>
        </w:rPr>
        <w:t>clients often report comparable satisfaction</w:t>
      </w:r>
      <w:r>
        <w:rPr>
          <w:color w:val="010202"/>
          <w:spacing w:val="-52"/>
        </w:rPr>
        <w:t> </w:t>
      </w:r>
      <w:r>
        <w:rPr>
          <w:color w:val="010202"/>
        </w:rPr>
        <w:t>between</w:t>
      </w:r>
      <w:r>
        <w:rPr>
          <w:color w:val="010202"/>
          <w:spacing w:val="-6"/>
        </w:rPr>
        <w:t> </w:t>
      </w:r>
      <w:r>
        <w:rPr>
          <w:color w:val="010202"/>
        </w:rPr>
        <w:t>telehealth</w:t>
      </w:r>
      <w:r>
        <w:rPr>
          <w:color w:val="010202"/>
          <w:spacing w:val="-5"/>
        </w:rPr>
        <w:t> </w:t>
      </w:r>
      <w:r>
        <w:rPr>
          <w:color w:val="010202"/>
        </w:rPr>
        <w:t>and</w:t>
      </w:r>
      <w:r>
        <w:rPr>
          <w:color w:val="010202"/>
          <w:spacing w:val="-5"/>
        </w:rPr>
        <w:t> </w:t>
      </w:r>
      <w:r>
        <w:rPr>
          <w:color w:val="010202"/>
        </w:rPr>
        <w:t>in-person</w:t>
      </w:r>
      <w:r>
        <w:rPr>
          <w:color w:val="010202"/>
          <w:spacing w:val="-5"/>
        </w:rPr>
        <w:t> </w:t>
      </w:r>
      <w:r>
        <w:rPr>
          <w:color w:val="010202"/>
        </w:rPr>
        <w:t>care.</w:t>
      </w:r>
      <w:r>
        <w:rPr>
          <w:color w:val="010202"/>
          <w:vertAlign w:val="superscript"/>
        </w:rPr>
        <w:t>67-70</w:t>
      </w:r>
    </w:p>
    <w:p>
      <w:pPr>
        <w:pStyle w:val="ListParagraph"/>
        <w:numPr>
          <w:ilvl w:val="0"/>
          <w:numId w:val="4"/>
        </w:numPr>
        <w:tabs>
          <w:tab w:pos="480" w:val="left" w:leader="none"/>
        </w:tabs>
        <w:spacing w:line="266" w:lineRule="auto" w:before="200" w:after="0"/>
        <w:ind w:left="479" w:right="332" w:hanging="360"/>
        <w:jc w:val="left"/>
        <w:rPr>
          <w:sz w:val="22"/>
        </w:rPr>
      </w:pPr>
      <w:r>
        <w:rPr>
          <w:b/>
          <w:i/>
          <w:color w:val="010202"/>
          <w:spacing w:val="-4"/>
          <w:sz w:val="22"/>
        </w:rPr>
        <w:t>Population health. </w:t>
      </w:r>
      <w:r>
        <w:rPr>
          <w:color w:val="010202"/>
          <w:spacing w:val="-3"/>
          <w:sz w:val="22"/>
        </w:rPr>
        <w:t>Treatments delivered through</w:t>
      </w:r>
      <w:r>
        <w:rPr>
          <w:color w:val="010202"/>
          <w:spacing w:val="-2"/>
          <w:sz w:val="22"/>
        </w:rPr>
        <w:t> </w:t>
      </w:r>
      <w:r>
        <w:rPr>
          <w:color w:val="010202"/>
          <w:spacing w:val="-1"/>
          <w:sz w:val="22"/>
        </w:rPr>
        <w:t>telehealth have been shown to improve </w:t>
      </w:r>
      <w:r>
        <w:rPr>
          <w:color w:val="010202"/>
          <w:sz w:val="22"/>
        </w:rPr>
        <w:t>health</w:t>
      </w:r>
      <w:r>
        <w:rPr>
          <w:color w:val="010202"/>
          <w:spacing w:val="1"/>
          <w:sz w:val="22"/>
        </w:rPr>
        <w:t> </w:t>
      </w:r>
      <w:r>
        <w:rPr>
          <w:color w:val="010202"/>
          <w:spacing w:val="-3"/>
          <w:sz w:val="22"/>
        </w:rPr>
        <w:t>outcomes, including </w:t>
      </w:r>
      <w:r>
        <w:rPr>
          <w:color w:val="010202"/>
          <w:spacing w:val="-2"/>
          <w:sz w:val="22"/>
        </w:rPr>
        <w:t>improved quality of life and</w:t>
      </w:r>
      <w:r>
        <w:rPr>
          <w:color w:val="010202"/>
          <w:spacing w:val="-1"/>
          <w:sz w:val="22"/>
        </w:rPr>
        <w:t> </w:t>
      </w:r>
      <w:r>
        <w:rPr>
          <w:color w:val="010202"/>
          <w:spacing w:val="-3"/>
          <w:sz w:val="22"/>
        </w:rPr>
        <w:t>access</w:t>
      </w:r>
      <w:r>
        <w:rPr>
          <w:color w:val="010202"/>
          <w:spacing w:val="-10"/>
          <w:sz w:val="22"/>
        </w:rPr>
        <w:t> </w:t>
      </w:r>
      <w:r>
        <w:rPr>
          <w:color w:val="010202"/>
          <w:spacing w:val="-3"/>
          <w:sz w:val="22"/>
        </w:rPr>
        <w:t>to</w:t>
      </w:r>
      <w:r>
        <w:rPr>
          <w:color w:val="010202"/>
          <w:spacing w:val="-10"/>
          <w:sz w:val="22"/>
        </w:rPr>
        <w:t> </w:t>
      </w:r>
      <w:r>
        <w:rPr>
          <w:color w:val="010202"/>
          <w:spacing w:val="-3"/>
          <w:sz w:val="22"/>
        </w:rPr>
        <w:t>health</w:t>
      </w:r>
      <w:r>
        <w:rPr>
          <w:color w:val="010202"/>
          <w:spacing w:val="-9"/>
          <w:sz w:val="22"/>
        </w:rPr>
        <w:t> </w:t>
      </w:r>
      <w:r>
        <w:rPr>
          <w:color w:val="010202"/>
          <w:spacing w:val="-3"/>
          <w:sz w:val="22"/>
        </w:rPr>
        <w:t>care.</w:t>
      </w:r>
      <w:r>
        <w:rPr>
          <w:color w:val="010202"/>
          <w:spacing w:val="-10"/>
          <w:sz w:val="22"/>
        </w:rPr>
        <w:t> </w:t>
      </w:r>
      <w:r>
        <w:rPr>
          <w:color w:val="010202"/>
          <w:spacing w:val="-3"/>
          <w:sz w:val="22"/>
        </w:rPr>
        <w:t>For</w:t>
      </w:r>
      <w:r>
        <w:rPr>
          <w:color w:val="010202"/>
          <w:spacing w:val="-10"/>
          <w:sz w:val="22"/>
        </w:rPr>
        <w:t> </w:t>
      </w:r>
      <w:r>
        <w:rPr>
          <w:color w:val="010202"/>
          <w:spacing w:val="-3"/>
          <w:sz w:val="22"/>
        </w:rPr>
        <w:t>people</w:t>
      </w:r>
      <w:r>
        <w:rPr>
          <w:color w:val="010202"/>
          <w:spacing w:val="-9"/>
          <w:sz w:val="22"/>
        </w:rPr>
        <w:t> </w:t>
      </w:r>
      <w:r>
        <w:rPr>
          <w:color w:val="010202"/>
          <w:spacing w:val="-3"/>
          <w:sz w:val="22"/>
        </w:rPr>
        <w:t>experiencing</w:t>
      </w:r>
      <w:r>
        <w:rPr>
          <w:color w:val="010202"/>
          <w:spacing w:val="-10"/>
          <w:sz w:val="22"/>
        </w:rPr>
        <w:t> </w:t>
      </w:r>
      <w:r>
        <w:rPr>
          <w:color w:val="010202"/>
          <w:spacing w:val="-2"/>
          <w:sz w:val="22"/>
        </w:rPr>
        <w:t>SMI,</w:t>
      </w:r>
      <w:r>
        <w:rPr>
          <w:color w:val="010202"/>
          <w:spacing w:val="-52"/>
          <w:sz w:val="22"/>
        </w:rPr>
        <w:t> </w:t>
      </w:r>
      <w:r>
        <w:rPr>
          <w:color w:val="010202"/>
          <w:spacing w:val="-2"/>
          <w:sz w:val="22"/>
        </w:rPr>
        <w:t>telehealth has the potential to improve quality </w:t>
      </w:r>
      <w:r>
        <w:rPr>
          <w:color w:val="010202"/>
          <w:spacing w:val="-1"/>
          <w:sz w:val="22"/>
        </w:rPr>
        <w:t>of</w:t>
      </w:r>
      <w:r>
        <w:rPr>
          <w:color w:val="010202"/>
          <w:sz w:val="22"/>
        </w:rPr>
        <w:t> </w:t>
      </w:r>
      <w:r>
        <w:rPr>
          <w:color w:val="010202"/>
          <w:spacing w:val="-3"/>
          <w:sz w:val="22"/>
        </w:rPr>
        <w:t>life and general mental </w:t>
      </w:r>
      <w:r>
        <w:rPr>
          <w:color w:val="010202"/>
          <w:spacing w:val="-2"/>
          <w:sz w:val="22"/>
        </w:rPr>
        <w:t>health, reduce depressive</w:t>
      </w:r>
      <w:r>
        <w:rPr>
          <w:color w:val="010202"/>
          <w:spacing w:val="-1"/>
          <w:sz w:val="22"/>
        </w:rPr>
        <w:t> </w:t>
      </w:r>
      <w:r>
        <w:rPr>
          <w:color w:val="010202"/>
          <w:spacing w:val="-2"/>
          <w:sz w:val="22"/>
        </w:rPr>
        <w:t>symptoms, build more confidence in managing</w:t>
      </w:r>
      <w:r>
        <w:rPr>
          <w:color w:val="010202"/>
          <w:spacing w:val="-1"/>
          <w:sz w:val="22"/>
        </w:rPr>
        <w:t> </w:t>
      </w:r>
      <w:r>
        <w:rPr>
          <w:color w:val="010202"/>
          <w:spacing w:val="-3"/>
          <w:sz w:val="22"/>
        </w:rPr>
        <w:t>depression,</w:t>
      </w:r>
      <w:r>
        <w:rPr>
          <w:color w:val="010202"/>
          <w:spacing w:val="-11"/>
          <w:sz w:val="22"/>
        </w:rPr>
        <w:t> </w:t>
      </w:r>
      <w:r>
        <w:rPr>
          <w:color w:val="010202"/>
          <w:spacing w:val="-3"/>
          <w:sz w:val="22"/>
        </w:rPr>
        <w:t>and</w:t>
      </w:r>
      <w:r>
        <w:rPr>
          <w:color w:val="010202"/>
          <w:spacing w:val="-10"/>
          <w:sz w:val="22"/>
        </w:rPr>
        <w:t> </w:t>
      </w:r>
      <w:r>
        <w:rPr>
          <w:color w:val="010202"/>
          <w:spacing w:val="-3"/>
          <w:sz w:val="22"/>
        </w:rPr>
        <w:t>increase</w:t>
      </w:r>
      <w:r>
        <w:rPr>
          <w:color w:val="010202"/>
          <w:spacing w:val="-10"/>
          <w:sz w:val="22"/>
        </w:rPr>
        <w:t> </w:t>
      </w:r>
      <w:r>
        <w:rPr>
          <w:color w:val="010202"/>
          <w:spacing w:val="-3"/>
          <w:sz w:val="22"/>
        </w:rPr>
        <w:t>satisfaction</w:t>
      </w:r>
      <w:r>
        <w:rPr>
          <w:color w:val="010202"/>
          <w:spacing w:val="-10"/>
          <w:sz w:val="22"/>
        </w:rPr>
        <w:t> </w:t>
      </w:r>
      <w:r>
        <w:rPr>
          <w:color w:val="010202"/>
          <w:spacing w:val="-2"/>
          <w:sz w:val="22"/>
        </w:rPr>
        <w:t>with</w:t>
      </w:r>
      <w:r>
        <w:rPr>
          <w:color w:val="010202"/>
          <w:spacing w:val="-10"/>
          <w:sz w:val="22"/>
        </w:rPr>
        <w:t> </w:t>
      </w:r>
      <w:r>
        <w:rPr>
          <w:color w:val="010202"/>
          <w:spacing w:val="-2"/>
          <w:sz w:val="22"/>
        </w:rPr>
        <w:t>mental</w:t>
      </w:r>
    </w:p>
    <w:p>
      <w:pPr>
        <w:pStyle w:val="BodyText"/>
        <w:spacing w:line="266" w:lineRule="auto"/>
        <w:ind w:left="479" w:right="24"/>
      </w:pPr>
      <w:r>
        <w:rPr>
          <w:color w:val="010202"/>
          <w:spacing w:val="-3"/>
        </w:rPr>
        <w:t>health and coping skills (when </w:t>
      </w:r>
      <w:r>
        <w:rPr>
          <w:color w:val="010202"/>
          <w:spacing w:val="-2"/>
        </w:rPr>
        <w:t>compared to treatment</w:t>
      </w:r>
      <w:r>
        <w:rPr>
          <w:color w:val="010202"/>
          <w:spacing w:val="-1"/>
        </w:rPr>
        <w:t> </w:t>
      </w:r>
      <w:r>
        <w:rPr>
          <w:color w:val="010202"/>
          <w:w w:val="95"/>
        </w:rPr>
        <w:t>offered in-person only).</w:t>
      </w:r>
      <w:r>
        <w:rPr>
          <w:color w:val="010202"/>
          <w:w w:val="95"/>
          <w:vertAlign w:val="superscript"/>
        </w:rPr>
        <w:t>8,</w:t>
      </w:r>
      <w:r>
        <w:rPr>
          <w:color w:val="010202"/>
          <w:w w:val="95"/>
          <w:vertAlign w:val="baseline"/>
        </w:rPr>
        <w:t> </w:t>
      </w:r>
      <w:r>
        <w:rPr>
          <w:color w:val="010202"/>
          <w:w w:val="95"/>
          <w:vertAlign w:val="superscript"/>
        </w:rPr>
        <w:t>79-83</w:t>
      </w:r>
      <w:r>
        <w:rPr>
          <w:color w:val="010202"/>
          <w:w w:val="95"/>
          <w:vertAlign w:val="baseline"/>
        </w:rPr>
        <w:t> For people experiencing</w:t>
      </w:r>
      <w:r>
        <w:rPr>
          <w:color w:val="010202"/>
          <w:spacing w:val="1"/>
          <w:w w:val="95"/>
          <w:vertAlign w:val="baseline"/>
        </w:rPr>
        <w:t> </w:t>
      </w:r>
      <w:r>
        <w:rPr>
          <w:color w:val="010202"/>
          <w:spacing w:val="-3"/>
          <w:vertAlign w:val="baseline"/>
        </w:rPr>
        <w:t>SUD, treatments delivered </w:t>
      </w:r>
      <w:r>
        <w:rPr>
          <w:color w:val="010202"/>
          <w:spacing w:val="-2"/>
          <w:vertAlign w:val="baseline"/>
        </w:rPr>
        <w:t>through telehealth have</w:t>
      </w:r>
      <w:r>
        <w:rPr>
          <w:color w:val="010202"/>
          <w:spacing w:val="-1"/>
          <w:vertAlign w:val="baseline"/>
        </w:rPr>
        <w:t> </w:t>
      </w:r>
      <w:r>
        <w:rPr>
          <w:color w:val="010202"/>
          <w:vertAlign w:val="baseline"/>
        </w:rPr>
        <w:t>resulted in reductions in alcohol consumption,</w:t>
      </w:r>
      <w:r>
        <w:rPr>
          <w:color w:val="010202"/>
          <w:spacing w:val="1"/>
          <w:vertAlign w:val="baseline"/>
        </w:rPr>
        <w:t> </w:t>
      </w:r>
      <w:r>
        <w:rPr>
          <w:color w:val="010202"/>
          <w:spacing w:val="-4"/>
          <w:vertAlign w:val="baseline"/>
        </w:rPr>
        <w:t>increased tobacco cessation, </w:t>
      </w:r>
      <w:r>
        <w:rPr>
          <w:color w:val="010202"/>
          <w:spacing w:val="-3"/>
          <w:vertAlign w:val="baseline"/>
        </w:rPr>
        <w:t>and increased engagement</w:t>
      </w:r>
      <w:r>
        <w:rPr>
          <w:color w:val="010202"/>
          <w:spacing w:val="-52"/>
          <w:vertAlign w:val="baseline"/>
        </w:rPr>
        <w:t> </w:t>
      </w:r>
      <w:r>
        <w:rPr>
          <w:color w:val="010202"/>
          <w:spacing w:val="-1"/>
          <w:vertAlign w:val="baseline"/>
        </w:rPr>
        <w:t>and</w:t>
      </w:r>
      <w:r>
        <w:rPr>
          <w:color w:val="010202"/>
          <w:spacing w:val="-13"/>
          <w:vertAlign w:val="baseline"/>
        </w:rPr>
        <w:t> </w:t>
      </w:r>
      <w:r>
        <w:rPr>
          <w:color w:val="010202"/>
          <w:spacing w:val="-1"/>
          <w:vertAlign w:val="baseline"/>
        </w:rPr>
        <w:t>retention</w:t>
      </w:r>
      <w:r>
        <w:rPr>
          <w:color w:val="010202"/>
          <w:spacing w:val="-13"/>
          <w:vertAlign w:val="baseline"/>
        </w:rPr>
        <w:t> </w:t>
      </w:r>
      <w:r>
        <w:rPr>
          <w:color w:val="010202"/>
          <w:spacing w:val="-1"/>
          <w:vertAlign w:val="baseline"/>
        </w:rPr>
        <w:t>in</w:t>
      </w:r>
      <w:r>
        <w:rPr>
          <w:color w:val="010202"/>
          <w:spacing w:val="-13"/>
          <w:vertAlign w:val="baseline"/>
        </w:rPr>
        <w:t> </w:t>
      </w:r>
      <w:r>
        <w:rPr>
          <w:color w:val="010202"/>
          <w:spacing w:val="-1"/>
          <w:vertAlign w:val="baseline"/>
        </w:rPr>
        <w:t>opioid</w:t>
      </w:r>
      <w:r>
        <w:rPr>
          <w:color w:val="010202"/>
          <w:spacing w:val="-12"/>
          <w:vertAlign w:val="baseline"/>
        </w:rPr>
        <w:t> </w:t>
      </w:r>
      <w:r>
        <w:rPr>
          <w:color w:val="010202"/>
          <w:spacing w:val="-1"/>
          <w:vertAlign w:val="baseline"/>
        </w:rPr>
        <w:t>use</w:t>
      </w:r>
      <w:r>
        <w:rPr>
          <w:color w:val="010202"/>
          <w:spacing w:val="-13"/>
          <w:vertAlign w:val="baseline"/>
        </w:rPr>
        <w:t> </w:t>
      </w:r>
      <w:r>
        <w:rPr>
          <w:color w:val="010202"/>
          <w:spacing w:val="-1"/>
          <w:vertAlign w:val="baseline"/>
        </w:rPr>
        <w:t>disorder</w:t>
      </w:r>
      <w:r>
        <w:rPr>
          <w:color w:val="010202"/>
          <w:spacing w:val="-13"/>
          <w:vertAlign w:val="baseline"/>
        </w:rPr>
        <w:t> </w:t>
      </w:r>
      <w:r>
        <w:rPr>
          <w:color w:val="010202"/>
          <w:spacing w:val="-1"/>
          <w:vertAlign w:val="baseline"/>
        </w:rPr>
        <w:t>treatment.</w:t>
      </w:r>
      <w:r>
        <w:rPr>
          <w:color w:val="010202"/>
          <w:spacing w:val="-1"/>
          <w:vertAlign w:val="superscript"/>
        </w:rPr>
        <w:t>84</w:t>
      </w:r>
    </w:p>
    <w:p>
      <w:pPr>
        <w:pStyle w:val="ListParagraph"/>
        <w:numPr>
          <w:ilvl w:val="0"/>
          <w:numId w:val="4"/>
        </w:numPr>
        <w:tabs>
          <w:tab w:pos="480" w:val="left" w:leader="none"/>
        </w:tabs>
        <w:spacing w:line="266" w:lineRule="auto" w:before="148" w:after="0"/>
        <w:ind w:left="479" w:right="249" w:hanging="360"/>
        <w:jc w:val="left"/>
        <w:rPr>
          <w:sz w:val="22"/>
        </w:rPr>
      </w:pPr>
      <w:r>
        <w:rPr>
          <w:b/>
          <w:i/>
          <w:color w:val="010202"/>
          <w:sz w:val="22"/>
        </w:rPr>
        <w:t>Costs</w:t>
      </w:r>
      <w:r>
        <w:rPr>
          <w:b/>
          <w:color w:val="010202"/>
          <w:sz w:val="22"/>
        </w:rPr>
        <w:t>. </w:t>
      </w:r>
      <w:r>
        <w:rPr>
          <w:color w:val="010202"/>
          <w:sz w:val="22"/>
        </w:rPr>
        <w:t>In rural communities in particular,</w:t>
      </w:r>
      <w:r>
        <w:rPr>
          <w:color w:val="010202"/>
          <w:spacing w:val="1"/>
          <w:sz w:val="22"/>
        </w:rPr>
        <w:t> </w:t>
      </w:r>
      <w:r>
        <w:rPr>
          <w:color w:val="010202"/>
          <w:sz w:val="22"/>
        </w:rPr>
        <w:t>implementing telehealth services reduces</w:t>
      </w:r>
      <w:r>
        <w:rPr>
          <w:color w:val="010202"/>
          <w:spacing w:val="1"/>
          <w:sz w:val="22"/>
        </w:rPr>
        <w:t> </w:t>
      </w:r>
      <w:r>
        <w:rPr>
          <w:color w:val="010202"/>
          <w:sz w:val="22"/>
        </w:rPr>
        <w:t>organizational costs by replacing the budget for a</w:t>
      </w:r>
      <w:r>
        <w:rPr>
          <w:color w:val="010202"/>
          <w:spacing w:val="1"/>
          <w:sz w:val="22"/>
        </w:rPr>
        <w:t> </w:t>
      </w:r>
      <w:r>
        <w:rPr>
          <w:color w:val="010202"/>
          <w:sz w:val="22"/>
        </w:rPr>
        <w:t>full-time, onsite behavioral health provider with as</w:t>
      </w:r>
      <w:r>
        <w:rPr>
          <w:color w:val="010202"/>
          <w:spacing w:val="-52"/>
          <w:sz w:val="22"/>
        </w:rPr>
        <w:t> </w:t>
      </w:r>
      <w:r>
        <w:rPr>
          <w:color w:val="010202"/>
          <w:sz w:val="22"/>
        </w:rPr>
        <w:t>needed</w:t>
      </w:r>
      <w:r>
        <w:rPr>
          <w:color w:val="010202"/>
          <w:spacing w:val="-1"/>
          <w:sz w:val="22"/>
        </w:rPr>
        <w:t> </w:t>
      </w:r>
      <w:r>
        <w:rPr>
          <w:color w:val="010202"/>
          <w:sz w:val="22"/>
        </w:rPr>
        <w:t>hourly fees.</w:t>
      </w:r>
      <w:r>
        <w:rPr>
          <w:color w:val="010202"/>
          <w:sz w:val="22"/>
          <w:vertAlign w:val="superscript"/>
        </w:rPr>
        <w:t>36</w:t>
      </w:r>
    </w:p>
    <w:p>
      <w:pPr>
        <w:pStyle w:val="Heading5"/>
        <w:spacing w:before="126"/>
      </w:pPr>
      <w:r>
        <w:rPr>
          <w:b w:val="0"/>
        </w:rPr>
        <w:br w:type="column"/>
      </w:r>
      <w:r>
        <w:rPr>
          <w:color w:val="CE384B"/>
        </w:rPr>
        <w:t>Implementation</w:t>
      </w:r>
      <w:r>
        <w:rPr>
          <w:color w:val="CE384B"/>
          <w:spacing w:val="-9"/>
        </w:rPr>
        <w:t> </w:t>
      </w:r>
      <w:r>
        <w:rPr>
          <w:color w:val="CE384B"/>
        </w:rPr>
        <w:t>of</w:t>
      </w:r>
      <w:r>
        <w:rPr>
          <w:color w:val="CE384B"/>
          <w:spacing w:val="-8"/>
        </w:rPr>
        <w:t> </w:t>
      </w:r>
      <w:r>
        <w:rPr>
          <w:color w:val="CE384B"/>
        </w:rPr>
        <w:t>Telehealth</w:t>
      </w:r>
    </w:p>
    <w:p>
      <w:pPr>
        <w:pStyle w:val="BodyText"/>
        <w:spacing w:line="266" w:lineRule="auto" w:before="118"/>
        <w:ind w:left="120" w:right="763"/>
      </w:pPr>
      <w:r>
        <w:rPr>
          <w:color w:val="231F20"/>
        </w:rPr>
        <w:t>While the use of telehealth as a mode of service delivery</w:t>
      </w:r>
      <w:r>
        <w:rPr>
          <w:color w:val="231F20"/>
          <w:spacing w:val="-52"/>
        </w:rPr>
        <w:t> </w:t>
      </w:r>
      <w:r>
        <w:rPr>
          <w:color w:val="231F20"/>
        </w:rPr>
        <w:t>is increasing, providers, clients, and healthcare settings</w:t>
      </w:r>
      <w:r>
        <w:rPr>
          <w:color w:val="231F20"/>
          <w:spacing w:val="1"/>
        </w:rPr>
        <w:t> </w:t>
      </w:r>
      <w:r>
        <w:rPr>
          <w:color w:val="231F20"/>
        </w:rPr>
        <w:t>continue to experience challenges related to adoption</w:t>
      </w:r>
      <w:r>
        <w:rPr>
          <w:color w:val="231F20"/>
          <w:spacing w:val="1"/>
        </w:rPr>
        <w:t> </w:t>
      </w:r>
      <w:r>
        <w:rPr>
          <w:color w:val="231F20"/>
        </w:rPr>
        <w:t>and implementation. For example, uptake of telehealth</w:t>
      </w:r>
      <w:r>
        <w:rPr>
          <w:color w:val="231F20"/>
          <w:spacing w:val="1"/>
        </w:rPr>
        <w:t> </w:t>
      </w:r>
      <w:r>
        <w:rPr>
          <w:color w:val="231F20"/>
        </w:rPr>
        <w:t>can be hindered by disparities in access to appropriate</w:t>
      </w:r>
      <w:r>
        <w:rPr>
          <w:color w:val="231F20"/>
          <w:spacing w:val="1"/>
        </w:rPr>
        <w:t> </w:t>
      </w:r>
      <w:r>
        <w:rPr>
          <w:color w:val="231F20"/>
        </w:rPr>
        <w:t>and</w:t>
      </w:r>
      <w:r>
        <w:rPr>
          <w:color w:val="231F20"/>
          <w:spacing w:val="-1"/>
        </w:rPr>
        <w:t> </w:t>
      </w:r>
      <w:r>
        <w:rPr>
          <w:color w:val="231F20"/>
        </w:rPr>
        <w:t>needed technology.</w:t>
      </w:r>
    </w:p>
    <w:p>
      <w:pPr>
        <w:pStyle w:val="BodyText"/>
        <w:spacing w:line="266" w:lineRule="auto" w:before="175"/>
        <w:ind w:left="120" w:right="997"/>
      </w:pPr>
      <w:r>
        <w:rPr>
          <w:color w:val="231F20"/>
          <w:spacing w:val="-5"/>
        </w:rPr>
        <w:t>Recent advances </w:t>
      </w:r>
      <w:r>
        <w:rPr>
          <w:color w:val="231F20"/>
          <w:spacing w:val="-4"/>
        </w:rPr>
        <w:t>in technology and access to personal</w:t>
      </w:r>
      <w:r>
        <w:rPr>
          <w:color w:val="231F20"/>
          <w:spacing w:val="-3"/>
        </w:rPr>
        <w:t> </w:t>
      </w:r>
      <w:r>
        <w:rPr>
          <w:color w:val="231F20"/>
          <w:spacing w:val="-4"/>
        </w:rPr>
        <w:t>computing devices and mobile phones </w:t>
      </w:r>
      <w:r>
        <w:rPr>
          <w:color w:val="231F20"/>
          <w:spacing w:val="-3"/>
        </w:rPr>
        <w:t>have led to a</w:t>
      </w:r>
      <w:r>
        <w:rPr>
          <w:color w:val="231F20"/>
          <w:spacing w:val="-2"/>
        </w:rPr>
        <w:t> </w:t>
      </w:r>
      <w:r>
        <w:rPr>
          <w:color w:val="231F20"/>
          <w:spacing w:val="-5"/>
        </w:rPr>
        <w:t>rapid</w:t>
      </w:r>
      <w:r>
        <w:rPr>
          <w:color w:val="231F20"/>
          <w:spacing w:val="-9"/>
        </w:rPr>
        <w:t> </w:t>
      </w:r>
      <w:r>
        <w:rPr>
          <w:color w:val="231F20"/>
          <w:spacing w:val="-5"/>
        </w:rPr>
        <w:t>increase</w:t>
      </w:r>
      <w:r>
        <w:rPr>
          <w:color w:val="231F20"/>
          <w:spacing w:val="-9"/>
        </w:rPr>
        <w:t> </w:t>
      </w:r>
      <w:r>
        <w:rPr>
          <w:color w:val="231F20"/>
          <w:spacing w:val="-4"/>
        </w:rPr>
        <w:t>in</w:t>
      </w:r>
      <w:r>
        <w:rPr>
          <w:color w:val="231F20"/>
          <w:spacing w:val="-8"/>
        </w:rPr>
        <w:t> </w:t>
      </w:r>
      <w:r>
        <w:rPr>
          <w:color w:val="231F20"/>
          <w:spacing w:val="-4"/>
        </w:rPr>
        <w:t>the</w:t>
      </w:r>
      <w:r>
        <w:rPr>
          <w:color w:val="231F20"/>
          <w:spacing w:val="-9"/>
        </w:rPr>
        <w:t> </w:t>
      </w:r>
      <w:r>
        <w:rPr>
          <w:color w:val="231F20"/>
          <w:spacing w:val="-4"/>
        </w:rPr>
        <w:t>application</w:t>
      </w:r>
      <w:r>
        <w:rPr>
          <w:color w:val="231F20"/>
          <w:spacing w:val="-9"/>
        </w:rPr>
        <w:t> </w:t>
      </w:r>
      <w:r>
        <w:rPr>
          <w:color w:val="231F20"/>
          <w:spacing w:val="-4"/>
        </w:rPr>
        <w:t>of</w:t>
      </w:r>
      <w:r>
        <w:rPr>
          <w:color w:val="231F20"/>
          <w:spacing w:val="-8"/>
        </w:rPr>
        <w:t> </w:t>
      </w:r>
      <w:r>
        <w:rPr>
          <w:color w:val="231F20"/>
          <w:spacing w:val="-4"/>
        </w:rPr>
        <w:t>telehealth</w:t>
      </w:r>
      <w:r>
        <w:rPr>
          <w:color w:val="231F20"/>
          <w:spacing w:val="-9"/>
        </w:rPr>
        <w:t> </w:t>
      </w:r>
      <w:r>
        <w:rPr>
          <w:color w:val="231F20"/>
          <w:spacing w:val="-4"/>
        </w:rPr>
        <w:t>across</w:t>
      </w:r>
      <w:r>
        <w:rPr>
          <w:color w:val="231F20"/>
          <w:spacing w:val="-9"/>
        </w:rPr>
        <w:t> </w:t>
      </w:r>
      <w:r>
        <w:rPr>
          <w:color w:val="231F20"/>
          <w:spacing w:val="-4"/>
        </w:rPr>
        <w:t>the</w:t>
      </w:r>
    </w:p>
    <w:p>
      <w:pPr>
        <w:pStyle w:val="BodyText"/>
        <w:spacing w:line="266" w:lineRule="auto"/>
        <w:ind w:left="120" w:right="763"/>
      </w:pPr>
      <w:r>
        <w:rPr>
          <w:color w:val="231F20"/>
          <w:spacing w:val="-5"/>
        </w:rPr>
        <w:t>continuum of care (i.e., assessment, </w:t>
      </w:r>
      <w:r>
        <w:rPr>
          <w:color w:val="231F20"/>
          <w:spacing w:val="-4"/>
        </w:rPr>
        <w:t>treatment, medication</w:t>
      </w:r>
      <w:r>
        <w:rPr>
          <w:color w:val="231F20"/>
          <w:spacing w:val="-3"/>
        </w:rPr>
        <w:t> </w:t>
      </w:r>
      <w:r>
        <w:rPr>
          <w:color w:val="231F20"/>
          <w:spacing w:val="-5"/>
        </w:rPr>
        <w:t>management/monitoring, recovery </w:t>
      </w:r>
      <w:r>
        <w:rPr>
          <w:color w:val="231F20"/>
          <w:spacing w:val="-4"/>
        </w:rPr>
        <w:t>supports). Both</w:t>
      </w:r>
      <w:r>
        <w:rPr>
          <w:color w:val="231F20"/>
          <w:spacing w:val="-3"/>
        </w:rPr>
        <w:t> </w:t>
      </w:r>
      <w:r>
        <w:rPr>
          <w:color w:val="231F20"/>
          <w:spacing w:val="-5"/>
        </w:rPr>
        <w:t>providers</w:t>
      </w:r>
      <w:r>
        <w:rPr>
          <w:color w:val="231F20"/>
          <w:spacing w:val="-9"/>
        </w:rPr>
        <w:t> </w:t>
      </w:r>
      <w:r>
        <w:rPr>
          <w:color w:val="231F20"/>
          <w:spacing w:val="-5"/>
        </w:rPr>
        <w:t>and</w:t>
      </w:r>
      <w:r>
        <w:rPr>
          <w:color w:val="231F20"/>
          <w:spacing w:val="-9"/>
        </w:rPr>
        <w:t> </w:t>
      </w:r>
      <w:r>
        <w:rPr>
          <w:color w:val="231F20"/>
          <w:spacing w:val="-5"/>
        </w:rPr>
        <w:t>clients</w:t>
      </w:r>
      <w:r>
        <w:rPr>
          <w:color w:val="231F20"/>
          <w:spacing w:val="-9"/>
        </w:rPr>
        <w:t> </w:t>
      </w:r>
      <w:r>
        <w:rPr>
          <w:color w:val="231F20"/>
          <w:spacing w:val="-4"/>
        </w:rPr>
        <w:t>need</w:t>
      </w:r>
      <w:r>
        <w:rPr>
          <w:color w:val="231F20"/>
          <w:spacing w:val="-8"/>
        </w:rPr>
        <w:t> </w:t>
      </w:r>
      <w:r>
        <w:rPr>
          <w:color w:val="231F20"/>
          <w:spacing w:val="-4"/>
        </w:rPr>
        <w:t>access</w:t>
      </w:r>
      <w:r>
        <w:rPr>
          <w:color w:val="231F20"/>
          <w:spacing w:val="-9"/>
        </w:rPr>
        <w:t> </w:t>
      </w:r>
      <w:r>
        <w:rPr>
          <w:color w:val="231F20"/>
          <w:spacing w:val="-4"/>
        </w:rPr>
        <w:t>to</w:t>
      </w:r>
      <w:r>
        <w:rPr>
          <w:color w:val="231F20"/>
          <w:spacing w:val="-9"/>
        </w:rPr>
        <w:t> </w:t>
      </w:r>
      <w:r>
        <w:rPr>
          <w:color w:val="231F20"/>
          <w:spacing w:val="-4"/>
        </w:rPr>
        <w:t>appropriate</w:t>
      </w:r>
      <w:r>
        <w:rPr>
          <w:color w:val="231F20"/>
          <w:spacing w:val="-9"/>
        </w:rPr>
        <w:t> </w:t>
      </w:r>
      <w:r>
        <w:rPr>
          <w:color w:val="231F20"/>
          <w:spacing w:val="-4"/>
        </w:rPr>
        <w:t>technology</w:t>
      </w:r>
      <w:r>
        <w:rPr>
          <w:color w:val="231F20"/>
          <w:spacing w:val="-52"/>
        </w:rPr>
        <w:t> </w:t>
      </w:r>
      <w:r>
        <w:rPr>
          <w:color w:val="231F20"/>
          <w:spacing w:val="-5"/>
        </w:rPr>
        <w:t>to</w:t>
      </w:r>
      <w:r>
        <w:rPr>
          <w:color w:val="231F20"/>
          <w:spacing w:val="-9"/>
        </w:rPr>
        <w:t> </w:t>
      </w:r>
      <w:r>
        <w:rPr>
          <w:color w:val="231F20"/>
          <w:spacing w:val="-5"/>
        </w:rPr>
        <w:t>benefit</w:t>
      </w:r>
      <w:r>
        <w:rPr>
          <w:color w:val="231F20"/>
          <w:spacing w:val="-8"/>
        </w:rPr>
        <w:t> </w:t>
      </w:r>
      <w:r>
        <w:rPr>
          <w:color w:val="231F20"/>
          <w:spacing w:val="-5"/>
        </w:rPr>
        <w:t>from</w:t>
      </w:r>
      <w:r>
        <w:rPr>
          <w:color w:val="231F20"/>
          <w:spacing w:val="-8"/>
        </w:rPr>
        <w:t> </w:t>
      </w:r>
      <w:r>
        <w:rPr>
          <w:color w:val="231F20"/>
          <w:spacing w:val="-5"/>
        </w:rPr>
        <w:t>synchronous</w:t>
      </w:r>
      <w:r>
        <w:rPr>
          <w:color w:val="231F20"/>
          <w:spacing w:val="-8"/>
        </w:rPr>
        <w:t> </w:t>
      </w:r>
      <w:r>
        <w:rPr>
          <w:color w:val="231F20"/>
          <w:spacing w:val="-5"/>
        </w:rPr>
        <w:t>or</w:t>
      </w:r>
      <w:r>
        <w:rPr>
          <w:color w:val="231F20"/>
          <w:spacing w:val="-8"/>
        </w:rPr>
        <w:t> </w:t>
      </w:r>
      <w:r>
        <w:rPr>
          <w:color w:val="231F20"/>
          <w:spacing w:val="-5"/>
        </w:rPr>
        <w:t>asynchronous</w:t>
      </w:r>
      <w:r>
        <w:rPr>
          <w:color w:val="231F20"/>
          <w:spacing w:val="-8"/>
        </w:rPr>
        <w:t> </w:t>
      </w:r>
      <w:r>
        <w:rPr>
          <w:color w:val="231F20"/>
          <w:spacing w:val="-4"/>
        </w:rPr>
        <w:t>telehealth.</w:t>
      </w:r>
    </w:p>
    <w:p>
      <w:pPr>
        <w:pStyle w:val="BodyText"/>
        <w:spacing w:line="266" w:lineRule="auto"/>
        <w:ind w:left="120" w:right="1077"/>
      </w:pPr>
      <w:r>
        <w:rPr>
          <w:color w:val="231F20"/>
          <w:spacing w:val="-5"/>
        </w:rPr>
        <w:t>Practitioners can </w:t>
      </w:r>
      <w:r>
        <w:rPr>
          <w:color w:val="231F20"/>
          <w:spacing w:val="-4"/>
        </w:rPr>
        <w:t>provide synchronous SMI and SUD</w:t>
      </w:r>
      <w:r>
        <w:rPr>
          <w:color w:val="231F20"/>
          <w:spacing w:val="-3"/>
        </w:rPr>
        <w:t> </w:t>
      </w:r>
      <w:r>
        <w:rPr>
          <w:color w:val="231F20"/>
          <w:spacing w:val="-5"/>
        </w:rPr>
        <w:t>treatment through relatively low-tech </w:t>
      </w:r>
      <w:r>
        <w:rPr>
          <w:color w:val="231F20"/>
          <w:spacing w:val="-4"/>
        </w:rPr>
        <w:t>options, including</w:t>
      </w:r>
      <w:r>
        <w:rPr>
          <w:color w:val="231F20"/>
          <w:spacing w:val="-52"/>
        </w:rPr>
        <w:t> </w:t>
      </w:r>
      <w:r>
        <w:rPr>
          <w:color w:val="231F20"/>
          <w:spacing w:val="-1"/>
          <w:w w:val="95"/>
        </w:rPr>
        <w:t>telephones,</w:t>
      </w:r>
      <w:r>
        <w:rPr>
          <w:color w:val="231F20"/>
          <w:spacing w:val="-7"/>
          <w:w w:val="95"/>
        </w:rPr>
        <w:t> </w:t>
      </w:r>
      <w:r>
        <w:rPr>
          <w:color w:val="231F20"/>
          <w:spacing w:val="-1"/>
          <w:w w:val="95"/>
        </w:rPr>
        <w:t>smartphones,</w:t>
      </w:r>
      <w:r>
        <w:rPr>
          <w:color w:val="231F20"/>
          <w:spacing w:val="-6"/>
          <w:w w:val="95"/>
        </w:rPr>
        <w:t> </w:t>
      </w:r>
      <w:r>
        <w:rPr>
          <w:color w:val="231F20"/>
          <w:spacing w:val="-1"/>
          <w:w w:val="95"/>
        </w:rPr>
        <w:t>tablets,</w:t>
      </w:r>
      <w:r>
        <w:rPr>
          <w:color w:val="231F20"/>
          <w:spacing w:val="-6"/>
          <w:w w:val="95"/>
        </w:rPr>
        <w:t> </w:t>
      </w:r>
      <w:r>
        <w:rPr>
          <w:color w:val="231F20"/>
          <w:w w:val="95"/>
        </w:rPr>
        <w:t>and</w:t>
      </w:r>
      <w:r>
        <w:rPr>
          <w:color w:val="231F20"/>
          <w:spacing w:val="-6"/>
          <w:w w:val="95"/>
        </w:rPr>
        <w:t> </w:t>
      </w:r>
      <w:r>
        <w:rPr>
          <w:color w:val="231F20"/>
          <w:w w:val="95"/>
        </w:rPr>
        <w:t>laptops.</w:t>
      </w:r>
      <w:r>
        <w:rPr>
          <w:color w:val="231F20"/>
          <w:w w:val="95"/>
          <w:vertAlign w:val="superscript"/>
        </w:rPr>
        <w:t>10,</w:t>
      </w:r>
      <w:r>
        <w:rPr>
          <w:color w:val="231F20"/>
          <w:spacing w:val="-26"/>
          <w:w w:val="95"/>
          <w:vertAlign w:val="baseline"/>
        </w:rPr>
        <w:t> </w:t>
      </w:r>
      <w:r>
        <w:rPr>
          <w:color w:val="231F20"/>
          <w:w w:val="95"/>
          <w:vertAlign w:val="superscript"/>
        </w:rPr>
        <w:t>14</w:t>
      </w:r>
    </w:p>
    <w:p>
      <w:pPr>
        <w:pStyle w:val="BodyText"/>
        <w:spacing w:line="266" w:lineRule="auto" w:before="172"/>
        <w:ind w:left="120" w:right="997"/>
      </w:pPr>
      <w:r>
        <w:rPr>
          <w:color w:val="231F20"/>
        </w:rPr>
        <w:t>The age, usability, and functionality of clients’</w:t>
      </w:r>
      <w:r>
        <w:rPr>
          <w:color w:val="231F20"/>
          <w:spacing w:val="1"/>
        </w:rPr>
        <w:t> </w:t>
      </w:r>
      <w:r>
        <w:rPr>
          <w:color w:val="231F20"/>
        </w:rPr>
        <w:t>devices may inhibit their use (e.g., ability to utilize</w:t>
      </w:r>
      <w:r>
        <w:rPr>
          <w:color w:val="231F20"/>
          <w:spacing w:val="1"/>
        </w:rPr>
        <w:t> </w:t>
      </w:r>
      <w:r>
        <w:rPr>
          <w:color w:val="231F20"/>
        </w:rPr>
        <w:t>various</w:t>
      </w:r>
      <w:r>
        <w:rPr>
          <w:color w:val="231F20"/>
          <w:spacing w:val="-4"/>
        </w:rPr>
        <w:t> </w:t>
      </w:r>
      <w:r>
        <w:rPr>
          <w:color w:val="231F20"/>
        </w:rPr>
        <w:t>mHealth</w:t>
      </w:r>
      <w:r>
        <w:rPr>
          <w:color w:val="231F20"/>
          <w:spacing w:val="-3"/>
        </w:rPr>
        <w:t> </w:t>
      </w:r>
      <w:r>
        <w:rPr>
          <w:color w:val="231F20"/>
        </w:rPr>
        <w:t>applications,</w:t>
      </w:r>
      <w:r>
        <w:rPr>
          <w:color w:val="231F20"/>
          <w:spacing w:val="-3"/>
        </w:rPr>
        <w:t> </w:t>
      </w:r>
      <w:r>
        <w:rPr>
          <w:color w:val="231F20"/>
        </w:rPr>
        <w:t>appropriate</w:t>
      </w:r>
      <w:r>
        <w:rPr>
          <w:color w:val="231F20"/>
          <w:spacing w:val="-3"/>
        </w:rPr>
        <w:t> </w:t>
      </w:r>
      <w:r>
        <w:rPr>
          <w:color w:val="231F20"/>
        </w:rPr>
        <w:t>data</w:t>
      </w:r>
      <w:r>
        <w:rPr>
          <w:color w:val="231F20"/>
          <w:spacing w:val="-3"/>
        </w:rPr>
        <w:t> </w:t>
      </w:r>
      <w:r>
        <w:rPr>
          <w:color w:val="231F20"/>
        </w:rPr>
        <w:t>plans).</w:t>
      </w:r>
    </w:p>
    <w:p>
      <w:pPr>
        <w:pStyle w:val="BodyText"/>
        <w:spacing w:line="266" w:lineRule="auto"/>
        <w:ind w:left="120" w:right="785"/>
      </w:pPr>
      <w:r>
        <w:rPr>
          <w:color w:val="231F20"/>
        </w:rPr>
        <w:t>Additionally,</w:t>
      </w:r>
      <w:r>
        <w:rPr>
          <w:color w:val="231F20"/>
          <w:spacing w:val="-5"/>
        </w:rPr>
        <w:t> </w:t>
      </w:r>
      <w:r>
        <w:rPr>
          <w:color w:val="231F20"/>
        </w:rPr>
        <w:t>clients</w:t>
      </w:r>
      <w:r>
        <w:rPr>
          <w:color w:val="231F20"/>
          <w:spacing w:val="-4"/>
        </w:rPr>
        <w:t> </w:t>
      </w:r>
      <w:r>
        <w:rPr>
          <w:color w:val="231F20"/>
        </w:rPr>
        <w:t>may</w:t>
      </w:r>
      <w:r>
        <w:rPr>
          <w:color w:val="231F20"/>
          <w:spacing w:val="-4"/>
        </w:rPr>
        <w:t> </w:t>
      </w:r>
      <w:r>
        <w:rPr>
          <w:color w:val="231F20"/>
        </w:rPr>
        <w:t>be</w:t>
      </w:r>
      <w:r>
        <w:rPr>
          <w:color w:val="231F20"/>
          <w:spacing w:val="-5"/>
        </w:rPr>
        <w:t> </w:t>
      </w:r>
      <w:r>
        <w:rPr>
          <w:color w:val="231F20"/>
        </w:rPr>
        <w:t>sharing</w:t>
      </w:r>
      <w:r>
        <w:rPr>
          <w:color w:val="231F20"/>
          <w:spacing w:val="-4"/>
        </w:rPr>
        <w:t> </w:t>
      </w:r>
      <w:r>
        <w:rPr>
          <w:color w:val="231F20"/>
        </w:rPr>
        <w:t>devices</w:t>
      </w:r>
      <w:r>
        <w:rPr>
          <w:color w:val="231F20"/>
          <w:spacing w:val="-4"/>
        </w:rPr>
        <w:t> </w:t>
      </w:r>
      <w:r>
        <w:rPr>
          <w:color w:val="231F20"/>
        </w:rPr>
        <w:t>with</w:t>
      </w:r>
      <w:r>
        <w:rPr>
          <w:color w:val="231F20"/>
          <w:spacing w:val="-5"/>
        </w:rPr>
        <w:t> </w:t>
      </w:r>
      <w:r>
        <w:rPr>
          <w:color w:val="231F20"/>
        </w:rPr>
        <w:t>family</w:t>
      </w:r>
      <w:r>
        <w:rPr>
          <w:color w:val="231F20"/>
          <w:spacing w:val="-52"/>
        </w:rPr>
        <w:t> </w:t>
      </w:r>
      <w:r>
        <w:rPr>
          <w:color w:val="231F20"/>
        </w:rPr>
        <w:t>members</w:t>
      </w:r>
      <w:r>
        <w:rPr>
          <w:color w:val="231F20"/>
          <w:spacing w:val="-1"/>
        </w:rPr>
        <w:t> </w:t>
      </w:r>
      <w:r>
        <w:rPr>
          <w:color w:val="231F20"/>
        </w:rPr>
        <w:t>or others in a household, limiting the types</w:t>
      </w:r>
    </w:p>
    <w:p>
      <w:pPr>
        <w:pStyle w:val="BodyText"/>
        <w:spacing w:line="266" w:lineRule="auto"/>
        <w:ind w:left="120" w:right="1065"/>
      </w:pPr>
      <w:r>
        <w:rPr>
          <w:color w:val="231F20"/>
        </w:rPr>
        <w:t>of data a client</w:t>
      </w:r>
      <w:r>
        <w:rPr>
          <w:color w:val="231F20"/>
          <w:spacing w:val="1"/>
        </w:rPr>
        <w:t> </w:t>
      </w:r>
      <w:r>
        <w:rPr>
          <w:color w:val="231F20"/>
        </w:rPr>
        <w:t>would want to</w:t>
      </w:r>
      <w:r>
        <w:rPr>
          <w:color w:val="231F20"/>
          <w:spacing w:val="1"/>
        </w:rPr>
        <w:t> </w:t>
      </w:r>
      <w:r>
        <w:rPr>
          <w:color w:val="231F20"/>
        </w:rPr>
        <w:t>store or share</w:t>
      </w:r>
      <w:r>
        <w:rPr>
          <w:color w:val="231F20"/>
          <w:spacing w:val="1"/>
        </w:rPr>
        <w:t> </w:t>
      </w:r>
      <w:r>
        <w:rPr>
          <w:color w:val="231F20"/>
        </w:rPr>
        <w:t>through</w:t>
      </w:r>
      <w:r>
        <w:rPr>
          <w:color w:val="231F20"/>
          <w:spacing w:val="1"/>
        </w:rPr>
        <w:t> </w:t>
      </w:r>
      <w:r>
        <w:rPr>
          <w:color w:val="231F20"/>
        </w:rPr>
        <w:t>a</w:t>
      </w:r>
      <w:r>
        <w:rPr>
          <w:color w:val="231F20"/>
          <w:spacing w:val="-3"/>
        </w:rPr>
        <w:t> </w:t>
      </w:r>
      <w:r>
        <w:rPr>
          <w:color w:val="231F20"/>
        </w:rPr>
        <w:t>device.</w:t>
      </w:r>
      <w:r>
        <w:rPr>
          <w:color w:val="231F20"/>
          <w:spacing w:val="-2"/>
        </w:rPr>
        <w:t> </w:t>
      </w:r>
      <w:r>
        <w:rPr>
          <w:color w:val="231F20"/>
        </w:rPr>
        <w:t>For</w:t>
      </w:r>
      <w:r>
        <w:rPr>
          <w:color w:val="231F20"/>
          <w:spacing w:val="-2"/>
        </w:rPr>
        <w:t> </w:t>
      </w:r>
      <w:r>
        <w:rPr>
          <w:color w:val="231F20"/>
        </w:rPr>
        <w:t>providers,</w:t>
      </w:r>
      <w:r>
        <w:rPr>
          <w:color w:val="231F20"/>
          <w:spacing w:val="-2"/>
        </w:rPr>
        <w:t> </w:t>
      </w:r>
      <w:r>
        <w:rPr>
          <w:color w:val="231F20"/>
        </w:rPr>
        <w:t>some</w:t>
      </w:r>
      <w:r>
        <w:rPr>
          <w:color w:val="231F20"/>
          <w:spacing w:val="-2"/>
        </w:rPr>
        <w:t> </w:t>
      </w:r>
      <w:r>
        <w:rPr>
          <w:color w:val="231F20"/>
        </w:rPr>
        <w:t>clinics</w:t>
      </w:r>
      <w:r>
        <w:rPr>
          <w:color w:val="231F20"/>
          <w:spacing w:val="-2"/>
        </w:rPr>
        <w:t> </w:t>
      </w:r>
      <w:r>
        <w:rPr>
          <w:color w:val="231F20"/>
        </w:rPr>
        <w:t>struggle</w:t>
      </w:r>
      <w:r>
        <w:rPr>
          <w:color w:val="231F20"/>
          <w:spacing w:val="-2"/>
        </w:rPr>
        <w:t> </w:t>
      </w:r>
      <w:r>
        <w:rPr>
          <w:color w:val="231F20"/>
        </w:rPr>
        <w:t>to</w:t>
      </w:r>
      <w:r>
        <w:rPr>
          <w:color w:val="231F20"/>
          <w:spacing w:val="-3"/>
        </w:rPr>
        <w:t> </w:t>
      </w:r>
      <w:r>
        <w:rPr>
          <w:color w:val="231F20"/>
        </w:rPr>
        <w:t>have</w:t>
      </w:r>
    </w:p>
    <w:p>
      <w:pPr>
        <w:pStyle w:val="BodyText"/>
        <w:spacing w:line="266" w:lineRule="auto"/>
        <w:ind w:left="120" w:right="904"/>
      </w:pPr>
      <w:r>
        <w:rPr>
          <w:color w:val="231F20"/>
        </w:rPr>
        <w:t>enough laptops to support staff working from home or</w:t>
      </w:r>
      <w:r>
        <w:rPr>
          <w:color w:val="231F20"/>
          <w:spacing w:val="1"/>
        </w:rPr>
        <w:t> </w:t>
      </w:r>
      <w:r>
        <w:rPr>
          <w:color w:val="231F20"/>
          <w:w w:val="95"/>
        </w:rPr>
        <w:t>outside</w:t>
      </w:r>
      <w:r>
        <w:rPr>
          <w:color w:val="231F20"/>
          <w:spacing w:val="1"/>
          <w:w w:val="95"/>
        </w:rPr>
        <w:t> </w:t>
      </w:r>
      <w:r>
        <w:rPr>
          <w:color w:val="231F20"/>
          <w:w w:val="95"/>
        </w:rPr>
        <w:t>of</w:t>
      </w:r>
      <w:r>
        <w:rPr>
          <w:color w:val="231F20"/>
          <w:spacing w:val="1"/>
          <w:w w:val="95"/>
        </w:rPr>
        <w:t> </w:t>
      </w:r>
      <w:r>
        <w:rPr>
          <w:color w:val="231F20"/>
          <w:w w:val="95"/>
        </w:rPr>
        <w:t>typical</w:t>
      </w:r>
      <w:r>
        <w:rPr>
          <w:color w:val="231F20"/>
          <w:spacing w:val="1"/>
          <w:w w:val="95"/>
        </w:rPr>
        <w:t> </w:t>
      </w:r>
      <w:r>
        <w:rPr>
          <w:color w:val="231F20"/>
          <w:w w:val="95"/>
        </w:rPr>
        <w:t>shared</w:t>
      </w:r>
      <w:r>
        <w:rPr>
          <w:color w:val="231F20"/>
          <w:spacing w:val="1"/>
          <w:w w:val="95"/>
        </w:rPr>
        <w:t> </w:t>
      </w:r>
      <w:r>
        <w:rPr>
          <w:color w:val="231F20"/>
          <w:w w:val="95"/>
        </w:rPr>
        <w:t>office</w:t>
      </w:r>
      <w:r>
        <w:rPr>
          <w:color w:val="231F20"/>
          <w:spacing w:val="49"/>
        </w:rPr>
        <w:t> </w:t>
      </w:r>
      <w:r>
        <w:rPr>
          <w:color w:val="231F20"/>
          <w:w w:val="95"/>
        </w:rPr>
        <w:t>space,</w:t>
      </w:r>
      <w:r>
        <w:rPr>
          <w:color w:val="231F20"/>
          <w:w w:val="95"/>
          <w:vertAlign w:val="superscript"/>
        </w:rPr>
        <w:t>73,</w:t>
      </w:r>
      <w:r>
        <w:rPr>
          <w:color w:val="231F20"/>
          <w:w w:val="95"/>
          <w:vertAlign w:val="baseline"/>
        </w:rPr>
        <w:t> </w:t>
      </w:r>
      <w:r>
        <w:rPr>
          <w:color w:val="231F20"/>
          <w:w w:val="95"/>
          <w:vertAlign w:val="superscript"/>
        </w:rPr>
        <w:t>85-88</w:t>
      </w:r>
      <w:r>
        <w:rPr>
          <w:color w:val="231F20"/>
          <w:spacing w:val="50"/>
          <w:vertAlign w:val="baseline"/>
        </w:rPr>
        <w:t> </w:t>
      </w:r>
      <w:r>
        <w:rPr>
          <w:color w:val="231F20"/>
          <w:w w:val="95"/>
          <w:vertAlign w:val="baseline"/>
        </w:rPr>
        <w:t>and</w:t>
      </w:r>
      <w:r>
        <w:rPr>
          <w:color w:val="231F20"/>
          <w:spacing w:val="49"/>
          <w:vertAlign w:val="baseline"/>
        </w:rPr>
        <w:t> </w:t>
      </w:r>
      <w:r>
        <w:rPr>
          <w:color w:val="231F20"/>
          <w:w w:val="95"/>
          <w:vertAlign w:val="baseline"/>
        </w:rPr>
        <w:t>may</w:t>
      </w:r>
      <w:r>
        <w:rPr>
          <w:color w:val="231F20"/>
          <w:spacing w:val="-50"/>
          <w:w w:val="95"/>
          <w:vertAlign w:val="baseline"/>
        </w:rPr>
        <w:t> </w:t>
      </w:r>
      <w:r>
        <w:rPr>
          <w:color w:val="231F20"/>
          <w:vertAlign w:val="baseline"/>
        </w:rPr>
        <w:t>not</w:t>
      </w:r>
      <w:r>
        <w:rPr>
          <w:color w:val="231F20"/>
          <w:spacing w:val="-2"/>
          <w:vertAlign w:val="baseline"/>
        </w:rPr>
        <w:t> </w:t>
      </w:r>
      <w:r>
        <w:rPr>
          <w:color w:val="231F20"/>
          <w:vertAlign w:val="baseline"/>
        </w:rPr>
        <w:t>have</w:t>
      </w:r>
      <w:r>
        <w:rPr>
          <w:color w:val="231F20"/>
          <w:spacing w:val="-2"/>
          <w:vertAlign w:val="baseline"/>
        </w:rPr>
        <w:t> </w:t>
      </w:r>
      <w:r>
        <w:rPr>
          <w:color w:val="231F20"/>
          <w:vertAlign w:val="baseline"/>
        </w:rPr>
        <w:t>updated</w:t>
      </w:r>
      <w:r>
        <w:rPr>
          <w:color w:val="231F20"/>
          <w:spacing w:val="-1"/>
          <w:vertAlign w:val="baseline"/>
        </w:rPr>
        <w:t> </w:t>
      </w:r>
      <w:r>
        <w:rPr>
          <w:color w:val="231F20"/>
          <w:vertAlign w:val="baseline"/>
        </w:rPr>
        <w:t>devices</w:t>
      </w:r>
      <w:r>
        <w:rPr>
          <w:color w:val="231F20"/>
          <w:spacing w:val="-2"/>
          <w:vertAlign w:val="baseline"/>
        </w:rPr>
        <w:t> </w:t>
      </w:r>
      <w:r>
        <w:rPr>
          <w:color w:val="231F20"/>
          <w:vertAlign w:val="baseline"/>
        </w:rPr>
        <w:t>or</w:t>
      </w:r>
      <w:r>
        <w:rPr>
          <w:color w:val="231F20"/>
          <w:spacing w:val="-1"/>
          <w:vertAlign w:val="baseline"/>
        </w:rPr>
        <w:t> </w:t>
      </w:r>
      <w:r>
        <w:rPr>
          <w:color w:val="231F20"/>
          <w:vertAlign w:val="baseline"/>
        </w:rPr>
        <w:t>software</w:t>
      </w:r>
      <w:r>
        <w:rPr>
          <w:color w:val="231F20"/>
          <w:spacing w:val="-3"/>
          <w:vertAlign w:val="baseline"/>
        </w:rPr>
        <w:t> </w:t>
      </w:r>
      <w:r>
        <w:rPr>
          <w:color w:val="231F20"/>
          <w:vertAlign w:val="baseline"/>
        </w:rPr>
        <w:t>systems</w:t>
      </w:r>
      <w:r>
        <w:rPr>
          <w:color w:val="231F20"/>
          <w:spacing w:val="-2"/>
          <w:vertAlign w:val="baseline"/>
        </w:rPr>
        <w:t> </w:t>
      </w:r>
      <w:r>
        <w:rPr>
          <w:color w:val="231F20"/>
          <w:vertAlign w:val="baseline"/>
        </w:rPr>
        <w:t>to</w:t>
      </w:r>
      <w:r>
        <w:rPr>
          <w:color w:val="231F20"/>
          <w:spacing w:val="-2"/>
          <w:vertAlign w:val="baseline"/>
        </w:rPr>
        <w:t> </w:t>
      </w:r>
      <w:r>
        <w:rPr>
          <w:color w:val="231F20"/>
          <w:vertAlign w:val="baseline"/>
        </w:rPr>
        <w:t>utilize</w:t>
      </w:r>
      <w:r>
        <w:rPr>
          <w:color w:val="231F20"/>
          <w:spacing w:val="-52"/>
          <w:vertAlign w:val="baseline"/>
        </w:rPr>
        <w:t> </w:t>
      </w:r>
      <w:r>
        <w:rPr>
          <w:color w:val="231F20"/>
          <w:vertAlign w:val="baseline"/>
        </w:rPr>
        <w:t>available telehealth applications.</w:t>
      </w:r>
    </w:p>
    <w:p>
      <w:pPr>
        <w:pStyle w:val="BodyText"/>
        <w:spacing w:line="266" w:lineRule="auto" w:before="171"/>
        <w:ind w:left="120" w:right="1109"/>
      </w:pPr>
      <w:r>
        <w:rPr>
          <w:color w:val="231F20"/>
        </w:rPr>
        <w:t>Barriers associated with access to technology are</w:t>
      </w:r>
      <w:r>
        <w:rPr>
          <w:color w:val="231F20"/>
          <w:spacing w:val="1"/>
        </w:rPr>
        <w:t> </w:t>
      </w:r>
      <w:r>
        <w:rPr>
          <w:color w:val="231F20"/>
        </w:rPr>
        <w:t>compounded by challenges experienced on multiple,</w:t>
      </w:r>
      <w:r>
        <w:rPr>
          <w:color w:val="231F20"/>
          <w:spacing w:val="-52"/>
        </w:rPr>
        <w:t> </w:t>
      </w:r>
      <w:r>
        <w:rPr>
          <w:color w:val="231F20"/>
        </w:rPr>
        <w:t>interrelated</w:t>
      </w:r>
      <w:r>
        <w:rPr>
          <w:color w:val="231F20"/>
          <w:spacing w:val="-1"/>
        </w:rPr>
        <w:t> </w:t>
      </w:r>
      <w:r>
        <w:rPr>
          <w:color w:val="231F20"/>
        </w:rPr>
        <w:t>levels (further discussed in Chapter 3).</w:t>
      </w:r>
    </w:p>
    <w:p>
      <w:pPr>
        <w:spacing w:after="0" w:line="266" w:lineRule="auto"/>
        <w:sectPr>
          <w:type w:val="continuous"/>
          <w:pgSz w:w="12240" w:h="15840"/>
          <w:pgMar w:header="0" w:footer="666" w:top="1500" w:bottom="0" w:left="600" w:right="0"/>
          <w:cols w:num="2" w:equalWidth="0">
            <w:col w:w="5198" w:space="562"/>
            <w:col w:w="5880"/>
          </w:cols>
        </w:sectPr>
      </w:pPr>
    </w:p>
    <w:p>
      <w:pPr>
        <w:pStyle w:val="BodyText"/>
        <w:spacing w:before="4"/>
        <w:rPr>
          <w:sz w:val="13"/>
        </w:rPr>
      </w:pPr>
    </w:p>
    <w:p>
      <w:pPr>
        <w:pStyle w:val="BodyText"/>
        <w:ind w:left="502"/>
        <w:rPr>
          <w:sz w:val="20"/>
        </w:rPr>
      </w:pPr>
      <w:r>
        <w:rPr>
          <w:sz w:val="20"/>
        </w:rPr>
        <w:drawing>
          <wp:inline distT="0" distB="0" distL="0" distR="0">
            <wp:extent cx="6411464" cy="2208276"/>
            <wp:effectExtent l="0" t="0" r="0" b="0"/>
            <wp:docPr id="7" name="image6.jpeg" descr="This graphic depicts five pie charts with data on internet access, computer tablet access, and cell phone access. In 2021, 90 percent of U.S. adults use the internet, 73 percent have home broadband, 74 percent own a desktop or laptop computer, 52 percent own a tablet computer, and 96 percent own a cell phone.  "/>
            <wp:cNvGraphicFramePr>
              <a:graphicFrameLocks noChangeAspect="1"/>
            </wp:cNvGraphicFramePr>
            <a:graphic>
              <a:graphicData uri="http://schemas.openxmlformats.org/drawingml/2006/picture">
                <pic:pic>
                  <pic:nvPicPr>
                    <pic:cNvPr id="8" name="image6.jpeg"/>
                    <pic:cNvPicPr/>
                  </pic:nvPicPr>
                  <pic:blipFill>
                    <a:blip r:embed="rId18" cstate="print"/>
                    <a:stretch>
                      <a:fillRect/>
                    </a:stretch>
                  </pic:blipFill>
                  <pic:spPr>
                    <a:xfrm>
                      <a:off x="0" y="0"/>
                      <a:ext cx="6411464" cy="2208276"/>
                    </a:xfrm>
                    <a:prstGeom prst="rect">
                      <a:avLst/>
                    </a:prstGeom>
                  </pic:spPr>
                </pic:pic>
              </a:graphicData>
            </a:graphic>
          </wp:inline>
        </w:drawing>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rPr>
          <w:sz w:val="20"/>
        </w:rPr>
      </w:pPr>
    </w:p>
    <w:p>
      <w:pPr>
        <w:pStyle w:val="BodyText"/>
        <w:spacing w:before="10" w:after="1"/>
        <w:rPr>
          <w:sz w:val="17"/>
        </w:rPr>
      </w:pPr>
    </w:p>
    <w:tbl>
      <w:tblPr>
        <w:tblW w:w="0" w:type="auto"/>
        <w:jc w:val="left"/>
        <w:tblInd w:w="15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4675"/>
        <w:gridCol w:w="6105"/>
      </w:tblGrid>
      <w:tr>
        <w:trPr>
          <w:trHeight w:val="285" w:hRule="atLeast"/>
        </w:trPr>
        <w:tc>
          <w:tcPr>
            <w:tcW w:w="4675" w:type="dxa"/>
            <w:shd w:val="clear" w:color="auto" w:fill="CE384B"/>
          </w:tcPr>
          <w:p>
            <w:pPr>
              <w:pStyle w:val="TableParagraph"/>
              <w:ind w:left="0"/>
              <w:rPr>
                <w:rFonts w:ascii="Times New Roman"/>
                <w:sz w:val="20"/>
              </w:rPr>
            </w:pPr>
          </w:p>
        </w:tc>
        <w:tc>
          <w:tcPr>
            <w:tcW w:w="6105" w:type="dxa"/>
            <w:shd w:val="clear" w:color="auto" w:fill="CE384B"/>
          </w:tcPr>
          <w:p>
            <w:pPr>
              <w:pStyle w:val="TableParagraph"/>
              <w:ind w:left="0"/>
              <w:rPr>
                <w:rFonts w:ascii="Times New Roman"/>
                <w:sz w:val="20"/>
              </w:rPr>
            </w:pPr>
          </w:p>
        </w:tc>
      </w:tr>
      <w:tr>
        <w:trPr>
          <w:trHeight w:val="285" w:hRule="atLeast"/>
        </w:trPr>
        <w:tc>
          <w:tcPr>
            <w:tcW w:w="4675" w:type="dxa"/>
          </w:tcPr>
          <w:p>
            <w:pPr>
              <w:pStyle w:val="TableParagraph"/>
              <w:spacing w:before="28"/>
              <w:ind w:left="80"/>
              <w:rPr>
                <w:sz w:val="20"/>
              </w:rPr>
            </w:pPr>
            <w:r>
              <w:rPr>
                <w:color w:val="231F20"/>
                <w:sz w:val="20"/>
              </w:rPr>
              <w:t>Individual</w:t>
            </w:r>
            <w:r>
              <w:rPr>
                <w:color w:val="231F20"/>
                <w:spacing w:val="-1"/>
                <w:sz w:val="20"/>
              </w:rPr>
              <w:t> </w:t>
            </w:r>
            <w:r>
              <w:rPr>
                <w:color w:val="231F20"/>
                <w:sz w:val="20"/>
              </w:rPr>
              <w:t>client and provider</w:t>
            </w:r>
          </w:p>
        </w:tc>
        <w:tc>
          <w:tcPr>
            <w:tcW w:w="6105" w:type="dxa"/>
          </w:tcPr>
          <w:p>
            <w:pPr>
              <w:pStyle w:val="TableParagraph"/>
              <w:numPr>
                <w:ilvl w:val="0"/>
                <w:numId w:val="8"/>
              </w:numPr>
              <w:tabs>
                <w:tab w:pos="439" w:val="left" w:leader="none"/>
                <w:tab w:pos="440" w:val="left" w:leader="none"/>
              </w:tabs>
              <w:spacing w:line="240" w:lineRule="auto" w:before="14" w:after="0"/>
              <w:ind w:left="440" w:right="0" w:hanging="360"/>
              <w:jc w:val="left"/>
              <w:rPr>
                <w:sz w:val="20"/>
              </w:rPr>
            </w:pPr>
            <w:r>
              <w:rPr>
                <w:color w:val="231F20"/>
                <w:sz w:val="20"/>
              </w:rPr>
              <w:t>Increasing</w:t>
            </w:r>
            <w:r>
              <w:rPr>
                <w:color w:val="231F20"/>
                <w:spacing w:val="-1"/>
                <w:sz w:val="20"/>
              </w:rPr>
              <w:t> </w:t>
            </w:r>
            <w:r>
              <w:rPr>
                <w:color w:val="231F20"/>
                <w:sz w:val="20"/>
              </w:rPr>
              <w:t>access to and comfort using telehealth</w:t>
            </w:r>
          </w:p>
        </w:tc>
      </w:tr>
      <w:tr>
        <w:trPr>
          <w:trHeight w:val="615" w:hRule="atLeast"/>
        </w:trPr>
        <w:tc>
          <w:tcPr>
            <w:tcW w:w="4675" w:type="dxa"/>
          </w:tcPr>
          <w:p>
            <w:pPr>
              <w:pStyle w:val="TableParagraph"/>
              <w:spacing w:before="28"/>
              <w:ind w:left="80"/>
              <w:rPr>
                <w:sz w:val="20"/>
              </w:rPr>
            </w:pPr>
            <w:r>
              <w:rPr>
                <w:color w:val="231F20"/>
                <w:sz w:val="20"/>
              </w:rPr>
              <w:t>Interpersonal</w:t>
            </w:r>
            <w:r>
              <w:rPr>
                <w:color w:val="231F20"/>
                <w:spacing w:val="-1"/>
                <w:sz w:val="20"/>
              </w:rPr>
              <w:t> </w:t>
            </w:r>
            <w:r>
              <w:rPr>
                <w:color w:val="231F20"/>
                <w:sz w:val="20"/>
              </w:rPr>
              <w:t>client-provider relationships</w:t>
            </w:r>
          </w:p>
        </w:tc>
        <w:tc>
          <w:tcPr>
            <w:tcW w:w="6105" w:type="dxa"/>
          </w:tcPr>
          <w:p>
            <w:pPr>
              <w:pStyle w:val="TableParagraph"/>
              <w:numPr>
                <w:ilvl w:val="0"/>
                <w:numId w:val="9"/>
              </w:numPr>
              <w:tabs>
                <w:tab w:pos="439" w:val="left" w:leader="none"/>
                <w:tab w:pos="440" w:val="left" w:leader="none"/>
              </w:tabs>
              <w:spacing w:line="240" w:lineRule="auto" w:before="14" w:after="0"/>
              <w:ind w:left="440" w:right="0" w:hanging="360"/>
              <w:jc w:val="left"/>
              <w:rPr>
                <w:sz w:val="20"/>
              </w:rPr>
            </w:pPr>
            <w:r>
              <w:rPr>
                <w:color w:val="231F20"/>
                <w:sz w:val="20"/>
              </w:rPr>
              <w:t>Preparing</w:t>
            </w:r>
            <w:r>
              <w:rPr>
                <w:color w:val="231F20"/>
                <w:spacing w:val="-1"/>
                <w:sz w:val="20"/>
              </w:rPr>
              <w:t> </w:t>
            </w:r>
            <w:r>
              <w:rPr>
                <w:color w:val="231F20"/>
                <w:sz w:val="20"/>
              </w:rPr>
              <w:t>clients to use telehealth</w:t>
            </w:r>
          </w:p>
          <w:p>
            <w:pPr>
              <w:pStyle w:val="TableParagraph"/>
              <w:numPr>
                <w:ilvl w:val="0"/>
                <w:numId w:val="9"/>
              </w:numPr>
              <w:tabs>
                <w:tab w:pos="439" w:val="left" w:leader="none"/>
                <w:tab w:pos="440" w:val="left" w:leader="none"/>
              </w:tabs>
              <w:spacing w:line="240" w:lineRule="auto" w:before="85" w:after="0"/>
              <w:ind w:left="440" w:right="0" w:hanging="360"/>
              <w:jc w:val="left"/>
              <w:rPr>
                <w:sz w:val="20"/>
              </w:rPr>
            </w:pPr>
            <w:r>
              <w:rPr>
                <w:color w:val="231F20"/>
                <w:sz w:val="20"/>
              </w:rPr>
              <w:t>Building</w:t>
            </w:r>
            <w:r>
              <w:rPr>
                <w:color w:val="231F20"/>
                <w:spacing w:val="-1"/>
                <w:sz w:val="20"/>
              </w:rPr>
              <w:t> </w:t>
            </w:r>
            <w:r>
              <w:rPr>
                <w:color w:val="231F20"/>
                <w:sz w:val="20"/>
              </w:rPr>
              <w:t>a therapeutic relationship</w:t>
            </w:r>
          </w:p>
        </w:tc>
      </w:tr>
      <w:tr>
        <w:trPr>
          <w:trHeight w:val="1185" w:hRule="atLeast"/>
        </w:trPr>
        <w:tc>
          <w:tcPr>
            <w:tcW w:w="4675" w:type="dxa"/>
          </w:tcPr>
          <w:p>
            <w:pPr>
              <w:pStyle w:val="TableParagraph"/>
              <w:spacing w:before="28"/>
              <w:ind w:left="80"/>
              <w:rPr>
                <w:sz w:val="20"/>
              </w:rPr>
            </w:pPr>
            <w:r>
              <w:rPr>
                <w:color w:val="231F20"/>
                <w:sz w:val="20"/>
              </w:rPr>
              <w:t>Organizational</w:t>
            </w:r>
          </w:p>
        </w:tc>
        <w:tc>
          <w:tcPr>
            <w:tcW w:w="6105" w:type="dxa"/>
          </w:tcPr>
          <w:p>
            <w:pPr>
              <w:pStyle w:val="TableParagraph"/>
              <w:numPr>
                <w:ilvl w:val="0"/>
                <w:numId w:val="10"/>
              </w:numPr>
              <w:tabs>
                <w:tab w:pos="439" w:val="left" w:leader="none"/>
                <w:tab w:pos="440" w:val="left" w:leader="none"/>
              </w:tabs>
              <w:spacing w:line="240" w:lineRule="auto" w:before="14" w:after="0"/>
              <w:ind w:left="440" w:right="0" w:hanging="360"/>
              <w:jc w:val="left"/>
              <w:rPr>
                <w:sz w:val="20"/>
              </w:rPr>
            </w:pPr>
            <w:r>
              <w:rPr>
                <w:color w:val="231F20"/>
                <w:sz w:val="20"/>
              </w:rPr>
              <w:t>Assessing</w:t>
            </w:r>
            <w:r>
              <w:rPr>
                <w:color w:val="231F20"/>
                <w:spacing w:val="-1"/>
                <w:sz w:val="20"/>
              </w:rPr>
              <w:t> </w:t>
            </w:r>
            <w:r>
              <w:rPr>
                <w:color w:val="231F20"/>
                <w:sz w:val="20"/>
              </w:rPr>
              <w:t>organizational needs</w:t>
            </w:r>
          </w:p>
          <w:p>
            <w:pPr>
              <w:pStyle w:val="TableParagraph"/>
              <w:numPr>
                <w:ilvl w:val="0"/>
                <w:numId w:val="10"/>
              </w:numPr>
              <w:tabs>
                <w:tab w:pos="439" w:val="left" w:leader="none"/>
                <w:tab w:pos="440" w:val="left" w:leader="none"/>
              </w:tabs>
              <w:spacing w:line="247" w:lineRule="auto" w:before="85" w:after="0"/>
              <w:ind w:left="440" w:right="175" w:hanging="360"/>
              <w:jc w:val="left"/>
              <w:rPr>
                <w:sz w:val="20"/>
              </w:rPr>
            </w:pPr>
            <w:r>
              <w:rPr>
                <w:color w:val="231F20"/>
                <w:sz w:val="20"/>
              </w:rPr>
              <w:t>Increasing</w:t>
            </w:r>
            <w:r>
              <w:rPr>
                <w:color w:val="231F20"/>
                <w:spacing w:val="-3"/>
                <w:sz w:val="20"/>
              </w:rPr>
              <w:t> </w:t>
            </w:r>
            <w:r>
              <w:rPr>
                <w:color w:val="231F20"/>
                <w:sz w:val="20"/>
              </w:rPr>
              <w:t>organizational</w:t>
            </w:r>
            <w:r>
              <w:rPr>
                <w:color w:val="231F20"/>
                <w:spacing w:val="-3"/>
                <w:sz w:val="20"/>
              </w:rPr>
              <w:t> </w:t>
            </w:r>
            <w:r>
              <w:rPr>
                <w:color w:val="231F20"/>
                <w:sz w:val="20"/>
              </w:rPr>
              <w:t>readiness</w:t>
            </w:r>
            <w:r>
              <w:rPr>
                <w:color w:val="231F20"/>
                <w:spacing w:val="-3"/>
                <w:sz w:val="20"/>
              </w:rPr>
              <w:t> </w:t>
            </w:r>
            <w:r>
              <w:rPr>
                <w:color w:val="231F20"/>
                <w:sz w:val="20"/>
              </w:rPr>
              <w:t>and</w:t>
            </w:r>
            <w:r>
              <w:rPr>
                <w:color w:val="231F20"/>
                <w:spacing w:val="-3"/>
                <w:sz w:val="20"/>
              </w:rPr>
              <w:t> </w:t>
            </w:r>
            <w:r>
              <w:rPr>
                <w:color w:val="231F20"/>
                <w:sz w:val="20"/>
              </w:rPr>
              <w:t>workforce</w:t>
            </w:r>
            <w:r>
              <w:rPr>
                <w:color w:val="231F20"/>
                <w:spacing w:val="-3"/>
                <w:sz w:val="20"/>
              </w:rPr>
              <w:t> </w:t>
            </w:r>
            <w:r>
              <w:rPr>
                <w:color w:val="231F20"/>
                <w:sz w:val="20"/>
              </w:rPr>
              <w:t>capacity</w:t>
            </w:r>
            <w:r>
              <w:rPr>
                <w:color w:val="231F20"/>
                <w:spacing w:val="-3"/>
                <w:sz w:val="20"/>
              </w:rPr>
              <w:t> </w:t>
            </w:r>
            <w:r>
              <w:rPr>
                <w:color w:val="231F20"/>
                <w:sz w:val="20"/>
              </w:rPr>
              <w:t>to</w:t>
            </w:r>
            <w:r>
              <w:rPr>
                <w:color w:val="231F20"/>
                <w:spacing w:val="-53"/>
                <w:sz w:val="20"/>
              </w:rPr>
              <w:t> </w:t>
            </w:r>
            <w:r>
              <w:rPr>
                <w:color w:val="231F20"/>
                <w:sz w:val="20"/>
              </w:rPr>
              <w:t>participate in</w:t>
            </w:r>
            <w:r>
              <w:rPr>
                <w:color w:val="231F20"/>
                <w:spacing w:val="-1"/>
                <w:sz w:val="20"/>
              </w:rPr>
              <w:t> </w:t>
            </w:r>
            <w:r>
              <w:rPr>
                <w:color w:val="231F20"/>
                <w:sz w:val="20"/>
              </w:rPr>
              <w:t>telehealth</w:t>
            </w:r>
          </w:p>
          <w:p>
            <w:pPr>
              <w:pStyle w:val="TableParagraph"/>
              <w:numPr>
                <w:ilvl w:val="0"/>
                <w:numId w:val="10"/>
              </w:numPr>
              <w:tabs>
                <w:tab w:pos="439" w:val="left" w:leader="none"/>
                <w:tab w:pos="440" w:val="left" w:leader="none"/>
              </w:tabs>
              <w:spacing w:line="240" w:lineRule="auto" w:before="81" w:after="0"/>
              <w:ind w:left="440" w:right="0" w:hanging="360"/>
              <w:jc w:val="left"/>
              <w:rPr>
                <w:sz w:val="20"/>
              </w:rPr>
            </w:pPr>
            <w:r>
              <w:rPr>
                <w:color w:val="231F20"/>
                <w:sz w:val="20"/>
              </w:rPr>
              <w:t>Ensuring</w:t>
            </w:r>
            <w:r>
              <w:rPr>
                <w:color w:val="231F20"/>
                <w:spacing w:val="-1"/>
                <w:sz w:val="20"/>
              </w:rPr>
              <w:t> </w:t>
            </w:r>
            <w:r>
              <w:rPr>
                <w:color w:val="231F20"/>
                <w:sz w:val="20"/>
              </w:rPr>
              <w:t>security and</w:t>
            </w:r>
            <w:r>
              <w:rPr>
                <w:color w:val="231F20"/>
                <w:spacing w:val="-2"/>
                <w:sz w:val="20"/>
              </w:rPr>
              <w:t> </w:t>
            </w:r>
            <w:r>
              <w:rPr>
                <w:color w:val="231F20"/>
                <w:sz w:val="20"/>
              </w:rPr>
              <w:t>confidentiality</w:t>
            </w:r>
          </w:p>
        </w:tc>
      </w:tr>
      <w:tr>
        <w:trPr>
          <w:trHeight w:val="329" w:hRule="atLeast"/>
        </w:trPr>
        <w:tc>
          <w:tcPr>
            <w:tcW w:w="4675" w:type="dxa"/>
          </w:tcPr>
          <w:p>
            <w:pPr>
              <w:pStyle w:val="TableParagraph"/>
              <w:spacing w:before="28"/>
              <w:ind w:left="80"/>
              <w:rPr>
                <w:sz w:val="20"/>
              </w:rPr>
            </w:pPr>
            <w:r>
              <w:rPr>
                <w:color w:val="231F20"/>
                <w:sz w:val="20"/>
              </w:rPr>
              <w:t>Regulatory</w:t>
            </w:r>
            <w:r>
              <w:rPr>
                <w:color w:val="231F20"/>
                <w:spacing w:val="-1"/>
                <w:sz w:val="20"/>
              </w:rPr>
              <w:t> </w:t>
            </w:r>
            <w:r>
              <w:rPr>
                <w:color w:val="231F20"/>
                <w:sz w:val="20"/>
              </w:rPr>
              <w:t>and reimbursement environments</w:t>
            </w:r>
          </w:p>
        </w:tc>
        <w:tc>
          <w:tcPr>
            <w:tcW w:w="6105" w:type="dxa"/>
          </w:tcPr>
          <w:p>
            <w:pPr>
              <w:pStyle w:val="TableParagraph"/>
              <w:numPr>
                <w:ilvl w:val="0"/>
                <w:numId w:val="11"/>
              </w:numPr>
              <w:tabs>
                <w:tab w:pos="439" w:val="left" w:leader="none"/>
                <w:tab w:pos="440" w:val="left" w:leader="none"/>
              </w:tabs>
              <w:spacing w:line="240" w:lineRule="auto" w:before="14" w:after="0"/>
              <w:ind w:left="440" w:right="0" w:hanging="360"/>
              <w:jc w:val="left"/>
              <w:rPr>
                <w:sz w:val="20"/>
              </w:rPr>
            </w:pPr>
            <w:r>
              <w:rPr>
                <w:color w:val="231F20"/>
                <w:sz w:val="20"/>
              </w:rPr>
              <w:t>Complying</w:t>
            </w:r>
            <w:r>
              <w:rPr>
                <w:color w:val="231F20"/>
                <w:spacing w:val="-1"/>
                <w:sz w:val="20"/>
              </w:rPr>
              <w:t> </w:t>
            </w:r>
            <w:r>
              <w:rPr>
                <w:color w:val="231F20"/>
                <w:sz w:val="20"/>
              </w:rPr>
              <w:t>with federal, state, and local regulations</w:t>
            </w:r>
          </w:p>
        </w:tc>
      </w:tr>
    </w:tbl>
    <w:p>
      <w:pPr>
        <w:pStyle w:val="BodyText"/>
        <w:spacing w:before="2"/>
        <w:rPr>
          <w:sz w:val="25"/>
        </w:rPr>
      </w:pPr>
    </w:p>
    <w:p>
      <w:pPr>
        <w:spacing w:after="0"/>
        <w:rPr>
          <w:sz w:val="25"/>
        </w:rPr>
        <w:sectPr>
          <w:pgSz w:w="12240" w:h="15840"/>
          <w:pgMar w:header="0" w:footer="666" w:top="380" w:bottom="860" w:left="600" w:right="0"/>
        </w:sectPr>
      </w:pPr>
    </w:p>
    <w:p>
      <w:pPr>
        <w:pStyle w:val="Heading5"/>
        <w:spacing w:before="97"/>
      </w:pPr>
      <w:r>
        <w:rPr>
          <w:color w:val="CE384B"/>
        </w:rPr>
        <w:t>Future</w:t>
      </w:r>
      <w:r>
        <w:rPr>
          <w:color w:val="CE384B"/>
          <w:spacing w:val="-6"/>
        </w:rPr>
        <w:t> </w:t>
      </w:r>
      <w:r>
        <w:rPr>
          <w:color w:val="CE384B"/>
        </w:rPr>
        <w:t>of</w:t>
      </w:r>
      <w:r>
        <w:rPr>
          <w:color w:val="CE384B"/>
          <w:spacing w:val="-5"/>
        </w:rPr>
        <w:t> </w:t>
      </w:r>
      <w:r>
        <w:rPr>
          <w:color w:val="CE384B"/>
        </w:rPr>
        <w:t>Telehealth</w:t>
      </w:r>
    </w:p>
    <w:p>
      <w:pPr>
        <w:pStyle w:val="BodyText"/>
        <w:spacing w:line="266" w:lineRule="auto" w:before="118"/>
        <w:ind w:left="120" w:right="38"/>
      </w:pPr>
      <w:r>
        <w:rPr>
          <w:color w:val="231F20"/>
        </w:rPr>
        <w:t>The use of telehealth has increased substantially in</w:t>
      </w:r>
      <w:r>
        <w:rPr>
          <w:color w:val="231F20"/>
          <w:spacing w:val="1"/>
        </w:rPr>
        <w:t> </w:t>
      </w:r>
      <w:r>
        <w:rPr>
          <w:color w:val="231F20"/>
        </w:rPr>
        <w:t>recent years and has accelerated rapidly with the</w:t>
      </w:r>
      <w:r>
        <w:rPr>
          <w:color w:val="231F20"/>
          <w:spacing w:val="1"/>
        </w:rPr>
        <w:t> </w:t>
      </w:r>
      <w:r>
        <w:rPr>
          <w:color w:val="231F20"/>
        </w:rPr>
        <w:t>COVID-19</w:t>
      </w:r>
      <w:r>
        <w:rPr>
          <w:color w:val="231F20"/>
          <w:spacing w:val="-3"/>
        </w:rPr>
        <w:t> </w:t>
      </w:r>
      <w:r>
        <w:rPr>
          <w:color w:val="231F20"/>
        </w:rPr>
        <w:t>pandemic.</w:t>
      </w:r>
      <w:r>
        <w:rPr>
          <w:color w:val="231F20"/>
          <w:spacing w:val="-7"/>
        </w:rPr>
        <w:t> </w:t>
      </w:r>
      <w:r>
        <w:rPr>
          <w:color w:val="231F20"/>
        </w:rPr>
        <w:t>While</w:t>
      </w:r>
      <w:r>
        <w:rPr>
          <w:color w:val="231F20"/>
          <w:spacing w:val="-2"/>
        </w:rPr>
        <w:t> </w:t>
      </w:r>
      <w:r>
        <w:rPr>
          <w:color w:val="231F20"/>
        </w:rPr>
        <w:t>the</w:t>
      </w:r>
      <w:r>
        <w:rPr>
          <w:color w:val="231F20"/>
          <w:spacing w:val="-2"/>
        </w:rPr>
        <w:t> </w:t>
      </w:r>
      <w:r>
        <w:rPr>
          <w:color w:val="231F20"/>
        </w:rPr>
        <w:t>landscape</w:t>
      </w:r>
      <w:r>
        <w:rPr>
          <w:color w:val="231F20"/>
          <w:spacing w:val="-3"/>
        </w:rPr>
        <w:t> </w:t>
      </w:r>
      <w:r>
        <w:rPr>
          <w:color w:val="231F20"/>
        </w:rPr>
        <w:t>of</w:t>
      </w:r>
      <w:r>
        <w:rPr>
          <w:color w:val="231F20"/>
          <w:spacing w:val="-2"/>
        </w:rPr>
        <w:t> </w:t>
      </w:r>
      <w:r>
        <w:rPr>
          <w:color w:val="231F20"/>
        </w:rPr>
        <w:t>telehealth</w:t>
      </w:r>
      <w:r>
        <w:rPr>
          <w:color w:val="231F20"/>
          <w:spacing w:val="-52"/>
        </w:rPr>
        <w:t> </w:t>
      </w:r>
      <w:r>
        <w:rPr>
          <w:color w:val="231F20"/>
        </w:rPr>
        <w:t>is</w:t>
      </w:r>
      <w:r>
        <w:rPr>
          <w:color w:val="231F20"/>
          <w:spacing w:val="-5"/>
        </w:rPr>
        <w:t> </w:t>
      </w:r>
      <w:r>
        <w:rPr>
          <w:color w:val="231F20"/>
        </w:rPr>
        <w:t>continually</w:t>
      </w:r>
      <w:r>
        <w:rPr>
          <w:color w:val="231F20"/>
          <w:spacing w:val="-4"/>
        </w:rPr>
        <w:t> </w:t>
      </w:r>
      <w:r>
        <w:rPr>
          <w:color w:val="231F20"/>
        </w:rPr>
        <w:t>evolving,</w:t>
      </w:r>
      <w:r>
        <w:rPr>
          <w:color w:val="231F20"/>
          <w:spacing w:val="-4"/>
        </w:rPr>
        <w:t> </w:t>
      </w:r>
      <w:r>
        <w:rPr>
          <w:color w:val="231F20"/>
        </w:rPr>
        <w:t>and</w:t>
      </w:r>
      <w:r>
        <w:rPr>
          <w:color w:val="231F20"/>
          <w:spacing w:val="-4"/>
        </w:rPr>
        <w:t> </w:t>
      </w:r>
      <w:r>
        <w:rPr>
          <w:color w:val="231F20"/>
        </w:rPr>
        <w:t>provider,</w:t>
      </w:r>
      <w:r>
        <w:rPr>
          <w:color w:val="231F20"/>
          <w:spacing w:val="-4"/>
        </w:rPr>
        <w:t> </w:t>
      </w:r>
      <w:r>
        <w:rPr>
          <w:color w:val="231F20"/>
        </w:rPr>
        <w:t>client,</w:t>
      </w:r>
      <w:r>
        <w:rPr>
          <w:color w:val="231F20"/>
          <w:spacing w:val="-4"/>
        </w:rPr>
        <w:t> </w:t>
      </w:r>
      <w:r>
        <w:rPr>
          <w:color w:val="231F20"/>
        </w:rPr>
        <w:t>population,</w:t>
      </w:r>
    </w:p>
    <w:p>
      <w:pPr>
        <w:pStyle w:val="BodyText"/>
        <w:spacing w:line="266" w:lineRule="auto" w:before="90"/>
        <w:ind w:left="120" w:right="1211"/>
      </w:pPr>
      <w:r>
        <w:rPr/>
        <w:br w:type="column"/>
      </w:r>
      <w:r>
        <w:rPr>
          <w:color w:val="231F20"/>
        </w:rPr>
        <w:t>and cost benefits are emerging, the practices and</w:t>
      </w:r>
      <w:r>
        <w:rPr>
          <w:color w:val="231F20"/>
          <w:spacing w:val="1"/>
        </w:rPr>
        <w:t> </w:t>
      </w:r>
      <w:r>
        <w:rPr>
          <w:color w:val="231F20"/>
        </w:rPr>
        <w:t>programs included in Chapter 2 have demonstrated</w:t>
      </w:r>
      <w:r>
        <w:rPr>
          <w:color w:val="231F20"/>
          <w:spacing w:val="-52"/>
        </w:rPr>
        <w:t> </w:t>
      </w:r>
      <w:r>
        <w:rPr>
          <w:color w:val="231F20"/>
        </w:rPr>
        <w:t>efficacy</w:t>
      </w:r>
      <w:r>
        <w:rPr>
          <w:color w:val="231F20"/>
          <w:spacing w:val="-5"/>
        </w:rPr>
        <w:t> </w:t>
      </w:r>
      <w:r>
        <w:rPr>
          <w:color w:val="231F20"/>
        </w:rPr>
        <w:t>in</w:t>
      </w:r>
      <w:r>
        <w:rPr>
          <w:color w:val="231F20"/>
          <w:spacing w:val="-5"/>
        </w:rPr>
        <w:t> </w:t>
      </w:r>
      <w:r>
        <w:rPr>
          <w:color w:val="231F20"/>
        </w:rPr>
        <w:t>improving</w:t>
      </w:r>
      <w:r>
        <w:rPr>
          <w:color w:val="231F20"/>
          <w:spacing w:val="-5"/>
        </w:rPr>
        <w:t> </w:t>
      </w:r>
      <w:r>
        <w:rPr>
          <w:color w:val="231F20"/>
        </w:rPr>
        <w:t>client</w:t>
      </w:r>
      <w:r>
        <w:rPr>
          <w:color w:val="231F20"/>
          <w:spacing w:val="-5"/>
        </w:rPr>
        <w:t> </w:t>
      </w:r>
      <w:r>
        <w:rPr>
          <w:color w:val="231F20"/>
        </w:rPr>
        <w:t>mental</w:t>
      </w:r>
      <w:r>
        <w:rPr>
          <w:color w:val="231F20"/>
          <w:spacing w:val="-5"/>
        </w:rPr>
        <w:t> </w:t>
      </w:r>
      <w:r>
        <w:rPr>
          <w:color w:val="231F20"/>
        </w:rPr>
        <w:t>health</w:t>
      </w:r>
      <w:r>
        <w:rPr>
          <w:color w:val="231F20"/>
          <w:spacing w:val="-5"/>
        </w:rPr>
        <w:t> </w:t>
      </w:r>
      <w:r>
        <w:rPr>
          <w:color w:val="231F20"/>
        </w:rPr>
        <w:t>and</w:t>
      </w:r>
      <w:r>
        <w:rPr>
          <w:color w:val="231F20"/>
          <w:spacing w:val="-5"/>
        </w:rPr>
        <w:t> </w:t>
      </w:r>
      <w:r>
        <w:rPr>
          <w:color w:val="231F20"/>
        </w:rPr>
        <w:t>SUD</w:t>
      </w:r>
      <w:r>
        <w:rPr>
          <w:color w:val="231F20"/>
          <w:spacing w:val="-52"/>
        </w:rPr>
        <w:t> </w:t>
      </w:r>
      <w:r>
        <w:rPr>
          <w:color w:val="231F20"/>
        </w:rPr>
        <w:t>outcomes in multiple</w:t>
      </w:r>
      <w:r>
        <w:rPr>
          <w:color w:val="231F20"/>
          <w:spacing w:val="-1"/>
        </w:rPr>
        <w:t> </w:t>
      </w:r>
      <w:r>
        <w:rPr>
          <w:color w:val="231F20"/>
        </w:rPr>
        <w:t>settings and contexts.</w:t>
      </w:r>
    </w:p>
    <w:p>
      <w:pPr>
        <w:spacing w:after="0" w:line="266" w:lineRule="auto"/>
        <w:sectPr>
          <w:type w:val="continuous"/>
          <w:pgSz w:w="12240" w:h="15840"/>
          <w:pgMar w:header="0" w:footer="666" w:top="1500" w:bottom="0" w:left="600" w:right="0"/>
          <w:cols w:num="2" w:equalWidth="0">
            <w:col w:w="5101" w:space="659"/>
            <w:col w:w="5880"/>
          </w:cols>
        </w:sectPr>
      </w:pPr>
    </w:p>
    <w:p>
      <w:pPr>
        <w:pStyle w:val="BodyText"/>
        <w:spacing w:before="1"/>
        <w:rPr>
          <w:sz w:val="18"/>
        </w:rPr>
      </w:pPr>
    </w:p>
    <w:p>
      <w:pPr>
        <w:pStyle w:val="BodyText"/>
        <w:ind w:left="120"/>
        <w:rPr>
          <w:sz w:val="20"/>
        </w:rPr>
      </w:pPr>
      <w:r>
        <w:rPr>
          <w:sz w:val="20"/>
        </w:rPr>
        <w:drawing>
          <wp:inline distT="0" distB="0" distL="0" distR="0">
            <wp:extent cx="6752748" cy="5334666"/>
            <wp:effectExtent l="0" t="0" r="0" b="0"/>
            <wp:docPr id="9" name="image7.png" descr="Picture of an elderly person talking to a physician through a laptop.   "/>
            <wp:cNvGraphicFramePr>
              <a:graphicFrameLocks noChangeAspect="1"/>
            </wp:cNvGraphicFramePr>
            <a:graphic>
              <a:graphicData uri="http://schemas.openxmlformats.org/drawingml/2006/picture">
                <pic:pic>
                  <pic:nvPicPr>
                    <pic:cNvPr id="10" name="image7.png"/>
                    <pic:cNvPicPr/>
                  </pic:nvPicPr>
                  <pic:blipFill>
                    <a:blip r:embed="rId19" cstate="print"/>
                    <a:stretch>
                      <a:fillRect/>
                    </a:stretch>
                  </pic:blipFill>
                  <pic:spPr>
                    <a:xfrm>
                      <a:off x="0" y="0"/>
                      <a:ext cx="6752748" cy="5334666"/>
                    </a:xfrm>
                    <a:prstGeom prst="rect">
                      <a:avLst/>
                    </a:prstGeom>
                  </pic:spPr>
                </pic:pic>
              </a:graphicData>
            </a:graphic>
          </wp:inline>
        </w:drawing>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rPr>
          <w:sz w:val="20"/>
        </w:rPr>
      </w:pPr>
    </w:p>
    <w:p>
      <w:pPr>
        <w:pStyle w:val="BodyText"/>
        <w:rPr>
          <w:sz w:val="20"/>
        </w:rPr>
      </w:pPr>
    </w:p>
    <w:p>
      <w:pPr>
        <w:pStyle w:val="Heading2"/>
      </w:pPr>
      <w:r>
        <w:rPr>
          <w:color w:val="231F20"/>
        </w:rPr>
        <w:t>Reference</w:t>
      </w:r>
      <w:r>
        <w:rPr>
          <w:color w:val="231F20"/>
          <w:spacing w:val="-6"/>
        </w:rPr>
        <w:t> </w:t>
      </w:r>
      <w:r>
        <w:rPr>
          <w:color w:val="231F20"/>
        </w:rPr>
        <w:t>List</w:t>
      </w:r>
    </w:p>
    <w:p>
      <w:pPr>
        <w:pStyle w:val="BodyText"/>
        <w:rPr>
          <w:rFonts w:ascii="Arial Black"/>
          <w:sz w:val="20"/>
        </w:rPr>
      </w:pPr>
    </w:p>
    <w:p>
      <w:pPr>
        <w:pStyle w:val="BodyText"/>
        <w:rPr>
          <w:rFonts w:ascii="Arial Black"/>
          <w:sz w:val="20"/>
        </w:rPr>
      </w:pPr>
    </w:p>
    <w:p>
      <w:pPr>
        <w:pStyle w:val="BodyText"/>
        <w:spacing w:before="13"/>
        <w:rPr>
          <w:rFonts w:ascii="Arial Black"/>
          <w:sz w:val="16"/>
        </w:rPr>
      </w:pPr>
    </w:p>
    <w:p>
      <w:pPr>
        <w:spacing w:after="0"/>
        <w:rPr>
          <w:rFonts w:ascii="Arial Black"/>
          <w:sz w:val="16"/>
        </w:rPr>
        <w:sectPr>
          <w:pgSz w:w="12240" w:h="15840"/>
          <w:pgMar w:header="0" w:footer="666" w:top="380" w:bottom="860" w:left="600" w:right="0"/>
        </w:sectPr>
      </w:pPr>
    </w:p>
    <w:p>
      <w:pPr>
        <w:tabs>
          <w:tab w:pos="479" w:val="left" w:leader="none"/>
        </w:tabs>
        <w:spacing w:line="228" w:lineRule="auto" w:before="101"/>
        <w:ind w:left="479" w:right="55" w:hanging="360"/>
        <w:jc w:val="left"/>
        <w:rPr>
          <w:sz w:val="22"/>
        </w:rPr>
      </w:pPr>
      <w:r>
        <w:rPr/>
        <w:pict>
          <v:rect style="position:absolute;margin-left:0pt;margin-top:116.330101pt;width:612pt;height:1pt;mso-position-horizontal-relative:page;mso-position-vertical-relative:page;z-index:-17882624" id="docshape58" filled="true" fillcolor="#ce372e" stroked="false">
            <v:fill type="solid"/>
            <w10:wrap type="none"/>
          </v:rect>
        </w:pict>
      </w:r>
      <w:r>
        <w:rPr>
          <w:color w:val="231F20"/>
          <w:sz w:val="22"/>
          <w:vertAlign w:val="superscript"/>
        </w:rPr>
        <w:t>1</w:t>
      </w:r>
      <w:r>
        <w:rPr>
          <w:color w:val="231F20"/>
          <w:sz w:val="22"/>
          <w:vertAlign w:val="baseline"/>
        </w:rPr>
        <w:tab/>
        <w:t>Substance Abuse and Mental Health Services</w:t>
      </w:r>
      <w:r>
        <w:rPr>
          <w:color w:val="231F20"/>
          <w:spacing w:val="1"/>
          <w:sz w:val="22"/>
          <w:vertAlign w:val="baseline"/>
        </w:rPr>
        <w:t> </w:t>
      </w:r>
      <w:r>
        <w:rPr>
          <w:color w:val="231F20"/>
          <w:sz w:val="22"/>
          <w:vertAlign w:val="baseline"/>
        </w:rPr>
        <w:t>Administration. (2020). </w:t>
      </w:r>
      <w:r>
        <w:rPr>
          <w:i/>
          <w:color w:val="231F20"/>
          <w:sz w:val="22"/>
          <w:vertAlign w:val="baseline"/>
        </w:rPr>
        <w:t>CCBHCs using telehealth or</w:t>
      </w:r>
      <w:r>
        <w:rPr>
          <w:i/>
          <w:color w:val="231F20"/>
          <w:spacing w:val="-52"/>
          <w:sz w:val="22"/>
          <w:vertAlign w:val="baseline"/>
        </w:rPr>
        <w:t> </w:t>
      </w:r>
      <w:r>
        <w:rPr>
          <w:i/>
          <w:color w:val="231F20"/>
          <w:sz w:val="22"/>
          <w:vertAlign w:val="baseline"/>
        </w:rPr>
        <w:t>telemedicine</w:t>
      </w:r>
      <w:r>
        <w:rPr>
          <w:color w:val="231F20"/>
          <w:sz w:val="22"/>
          <w:vertAlign w:val="baseline"/>
        </w:rPr>
        <w:t>. </w:t>
      </w:r>
      <w:hyperlink r:id="rId20">
        <w:r>
          <w:rPr>
            <w:color w:val="3953A4"/>
            <w:sz w:val="22"/>
            <w:u w:val="single" w:color="3953A4"/>
            <w:vertAlign w:val="baseline"/>
          </w:rPr>
          <w:t>https://www.samhsa.gov/section-223/</w:t>
        </w:r>
      </w:hyperlink>
      <w:r>
        <w:rPr>
          <w:color w:val="3953A4"/>
          <w:spacing w:val="1"/>
          <w:sz w:val="22"/>
          <w:vertAlign w:val="baseline"/>
        </w:rPr>
        <w:t> </w:t>
      </w:r>
      <w:hyperlink r:id="rId20">
        <w:r>
          <w:rPr>
            <w:color w:val="3953A4"/>
            <w:sz w:val="22"/>
            <w:u w:val="single" w:color="3953A4"/>
            <w:vertAlign w:val="baseline"/>
          </w:rPr>
          <w:t>care-coordination/telehealth-telemedicine</w:t>
        </w:r>
      </w:hyperlink>
    </w:p>
    <w:p>
      <w:pPr>
        <w:pStyle w:val="BodyText"/>
        <w:tabs>
          <w:tab w:pos="479" w:val="left" w:leader="none"/>
        </w:tabs>
        <w:spacing w:line="228" w:lineRule="auto" w:before="89"/>
        <w:ind w:left="480" w:right="258" w:hanging="360"/>
      </w:pPr>
      <w:r>
        <w:rPr>
          <w:color w:val="231F20"/>
          <w:vertAlign w:val="superscript"/>
        </w:rPr>
        <w:t>2</w:t>
      </w:r>
      <w:r>
        <w:rPr>
          <w:color w:val="231F20"/>
          <w:vertAlign w:val="baseline"/>
        </w:rPr>
        <w:tab/>
        <w:t>Health Resources and Services Administration.</w:t>
      </w:r>
      <w:r>
        <w:rPr>
          <w:color w:val="231F20"/>
          <w:spacing w:val="1"/>
          <w:vertAlign w:val="baseline"/>
        </w:rPr>
        <w:t> </w:t>
      </w:r>
      <w:r>
        <w:rPr>
          <w:color w:val="231F20"/>
          <w:vertAlign w:val="baseline"/>
        </w:rPr>
        <w:t>(2021). </w:t>
      </w:r>
      <w:r>
        <w:rPr>
          <w:i/>
          <w:color w:val="231F20"/>
          <w:vertAlign w:val="baseline"/>
        </w:rPr>
        <w:t>What is telehealth? </w:t>
      </w:r>
      <w:hyperlink r:id="rId21">
        <w:r>
          <w:rPr>
            <w:color w:val="3953A4"/>
            <w:u w:val="single" w:color="3953A4"/>
            <w:vertAlign w:val="baseline"/>
          </w:rPr>
          <w:t>https://telehealth.hhs.</w:t>
        </w:r>
      </w:hyperlink>
      <w:r>
        <w:rPr>
          <w:color w:val="3953A4"/>
          <w:spacing w:val="1"/>
          <w:vertAlign w:val="baseline"/>
        </w:rPr>
        <w:t> </w:t>
      </w:r>
      <w:hyperlink r:id="rId21">
        <w:r>
          <w:rPr>
            <w:color w:val="3953A4"/>
            <w:u w:val="single" w:color="3953A4"/>
            <w:vertAlign w:val="baseline"/>
          </w:rPr>
          <w:t>gov/patients/understanding-telehealth/#what-does-</w:t>
        </w:r>
        <w:r>
          <w:rPr>
            <w:color w:val="3953A4"/>
            <w:spacing w:val="-53"/>
            <w:vertAlign w:val="baseline"/>
          </w:rPr>
          <w:t> </w:t>
        </w:r>
        <w:r>
          <w:rPr>
            <w:color w:val="3953A4"/>
            <w:u w:val="single" w:color="3953A4"/>
            <w:vertAlign w:val="baseline"/>
          </w:rPr>
          <w:t>telehealth-mean</w:t>
        </w:r>
      </w:hyperlink>
    </w:p>
    <w:p>
      <w:pPr>
        <w:pStyle w:val="BodyText"/>
        <w:tabs>
          <w:tab w:pos="479" w:val="left" w:leader="none"/>
        </w:tabs>
        <w:spacing w:line="228" w:lineRule="auto" w:before="88"/>
        <w:ind w:left="480" w:right="196" w:hanging="360"/>
      </w:pPr>
      <w:r>
        <w:rPr>
          <w:color w:val="231F20"/>
          <w:vertAlign w:val="superscript"/>
        </w:rPr>
        <w:t>3</w:t>
      </w:r>
      <w:r>
        <w:rPr>
          <w:color w:val="231F20"/>
          <w:vertAlign w:val="baseline"/>
        </w:rPr>
        <w:tab/>
        <w:t>National Institute of Mental Health. (2020). </w:t>
      </w:r>
      <w:r>
        <w:rPr>
          <w:i/>
          <w:color w:val="231F20"/>
          <w:vertAlign w:val="baseline"/>
        </w:rPr>
        <w:t>Mental</w:t>
      </w:r>
      <w:r>
        <w:rPr>
          <w:i/>
          <w:color w:val="231F20"/>
          <w:spacing w:val="-52"/>
          <w:vertAlign w:val="baseline"/>
        </w:rPr>
        <w:t> </w:t>
      </w:r>
      <w:r>
        <w:rPr>
          <w:i/>
          <w:color w:val="231F20"/>
          <w:vertAlign w:val="baseline"/>
        </w:rPr>
        <w:t>illness</w:t>
      </w:r>
      <w:r>
        <w:rPr>
          <w:color w:val="231F20"/>
          <w:vertAlign w:val="baseline"/>
        </w:rPr>
        <w:t>. </w:t>
      </w:r>
      <w:hyperlink r:id="rId22">
        <w:r>
          <w:rPr>
            <w:color w:val="3953A4"/>
            <w:u w:val="single" w:color="3953A4"/>
            <w:vertAlign w:val="baseline"/>
          </w:rPr>
          <w:t>https://www.nimh.nih.gov/health/statistics/</w:t>
        </w:r>
      </w:hyperlink>
      <w:r>
        <w:rPr>
          <w:color w:val="3953A4"/>
          <w:spacing w:val="1"/>
          <w:vertAlign w:val="baseline"/>
        </w:rPr>
        <w:t> </w:t>
      </w:r>
      <w:r>
        <w:rPr>
          <w:color w:val="3953A4"/>
          <w:u w:val="single" w:color="3953A4"/>
          <w:vertAlign w:val="baseline"/>
        </w:rPr>
        <w:t>mental-illness.shtml#:~:text=Two%20broad%20</w:t>
      </w:r>
      <w:r>
        <w:rPr>
          <w:color w:val="3953A4"/>
          <w:spacing w:val="1"/>
          <w:vertAlign w:val="baseline"/>
        </w:rPr>
        <w:t> </w:t>
      </w:r>
      <w:r>
        <w:rPr>
          <w:color w:val="3953A4"/>
          <w:u w:val="single" w:color="3953A4"/>
          <w:vertAlign w:val="baseline"/>
        </w:rPr>
        <w:t>categories%20can%20be,the%20NIMH%20</w:t>
      </w:r>
      <w:r>
        <w:rPr>
          <w:color w:val="3953A4"/>
          <w:spacing w:val="1"/>
          <w:vertAlign w:val="baseline"/>
        </w:rPr>
        <w:t> </w:t>
      </w:r>
      <w:r>
        <w:rPr>
          <w:color w:val="3953A4"/>
          <w:u w:val="single" w:color="3953A4"/>
          <w:vertAlign w:val="baseline"/>
        </w:rPr>
        <w:t>Health%20Topics%20Pages</w:t>
      </w:r>
    </w:p>
    <w:p>
      <w:pPr>
        <w:tabs>
          <w:tab w:pos="479" w:val="left" w:leader="none"/>
        </w:tabs>
        <w:spacing w:line="228" w:lineRule="auto" w:before="89"/>
        <w:ind w:left="479" w:right="43" w:hanging="360"/>
        <w:jc w:val="left"/>
        <w:rPr>
          <w:sz w:val="22"/>
        </w:rPr>
      </w:pPr>
      <w:r>
        <w:rPr>
          <w:color w:val="231F20"/>
          <w:sz w:val="22"/>
          <w:vertAlign w:val="superscript"/>
        </w:rPr>
        <w:t>4</w:t>
      </w:r>
      <w:r>
        <w:rPr>
          <w:color w:val="231F20"/>
          <w:sz w:val="22"/>
          <w:vertAlign w:val="baseline"/>
        </w:rPr>
        <w:tab/>
        <w:t>Substance Abuse and Mental Health Services</w:t>
      </w:r>
      <w:r>
        <w:rPr>
          <w:color w:val="231F20"/>
          <w:spacing w:val="1"/>
          <w:sz w:val="22"/>
          <w:vertAlign w:val="baseline"/>
        </w:rPr>
        <w:t> </w:t>
      </w:r>
      <w:r>
        <w:rPr>
          <w:color w:val="231F20"/>
          <w:sz w:val="22"/>
          <w:vertAlign w:val="baseline"/>
        </w:rPr>
        <w:t>Administration. (2020). </w:t>
      </w:r>
      <w:r>
        <w:rPr>
          <w:i/>
          <w:color w:val="231F20"/>
          <w:sz w:val="22"/>
          <w:vertAlign w:val="baseline"/>
        </w:rPr>
        <w:t>Mental health and substance</w:t>
      </w:r>
      <w:r>
        <w:rPr>
          <w:i/>
          <w:color w:val="231F20"/>
          <w:spacing w:val="-52"/>
          <w:sz w:val="22"/>
          <w:vertAlign w:val="baseline"/>
        </w:rPr>
        <w:t> </w:t>
      </w:r>
      <w:r>
        <w:rPr>
          <w:i/>
          <w:color w:val="231F20"/>
          <w:sz w:val="22"/>
          <w:vertAlign w:val="baseline"/>
        </w:rPr>
        <w:t>use disorders</w:t>
      </w:r>
      <w:r>
        <w:rPr>
          <w:color w:val="231F20"/>
          <w:sz w:val="22"/>
          <w:vertAlign w:val="baseline"/>
        </w:rPr>
        <w:t>. </w:t>
      </w:r>
      <w:hyperlink r:id="rId23">
        <w:r>
          <w:rPr>
            <w:color w:val="3953A4"/>
            <w:sz w:val="22"/>
            <w:u w:val="single" w:color="3953A4"/>
            <w:vertAlign w:val="baseline"/>
          </w:rPr>
          <w:t>https://www.samhsa.gov/find-help/</w:t>
        </w:r>
      </w:hyperlink>
      <w:r>
        <w:rPr>
          <w:color w:val="3953A4"/>
          <w:spacing w:val="1"/>
          <w:sz w:val="22"/>
          <w:vertAlign w:val="baseline"/>
        </w:rPr>
        <w:t> </w:t>
      </w:r>
      <w:hyperlink r:id="rId23">
        <w:r>
          <w:rPr>
            <w:color w:val="3953A4"/>
            <w:sz w:val="22"/>
            <w:u w:val="single" w:color="3953A4"/>
            <w:vertAlign w:val="baseline"/>
          </w:rPr>
          <w:t>disorders</w:t>
        </w:r>
      </w:hyperlink>
    </w:p>
    <w:p>
      <w:pPr>
        <w:pStyle w:val="BodyText"/>
        <w:spacing w:line="228" w:lineRule="auto" w:before="89"/>
        <w:ind w:left="480" w:right="281" w:hanging="360"/>
        <w:jc w:val="both"/>
      </w:pPr>
      <w:r>
        <w:rPr>
          <w:color w:val="231F20"/>
          <w:vertAlign w:val="superscript"/>
        </w:rPr>
        <w:t>5</w:t>
      </w:r>
      <w:r>
        <w:rPr>
          <w:color w:val="231F20"/>
          <w:spacing w:val="1"/>
          <w:vertAlign w:val="baseline"/>
        </w:rPr>
        <w:t> </w:t>
      </w:r>
      <w:r>
        <w:rPr>
          <w:color w:val="231F20"/>
          <w:vertAlign w:val="baseline"/>
        </w:rPr>
        <w:t>Bashshur, R. L., Shannon, G. W., Bashshur, N., &amp;</w:t>
      </w:r>
      <w:r>
        <w:rPr>
          <w:color w:val="231F20"/>
          <w:spacing w:val="-52"/>
          <w:vertAlign w:val="baseline"/>
        </w:rPr>
        <w:t> </w:t>
      </w:r>
      <w:r>
        <w:rPr>
          <w:color w:val="231F20"/>
          <w:vertAlign w:val="baseline"/>
        </w:rPr>
        <w:t>Yellowlees, P. M. (2016). The empirical evidence</w:t>
      </w:r>
      <w:r>
        <w:rPr>
          <w:color w:val="231F20"/>
          <w:spacing w:val="-52"/>
          <w:vertAlign w:val="baseline"/>
        </w:rPr>
        <w:t> </w:t>
      </w:r>
      <w:r>
        <w:rPr>
          <w:color w:val="231F20"/>
          <w:vertAlign w:val="baseline"/>
        </w:rPr>
        <w:t>for telemedicine interventions in mental disorders.</w:t>
      </w:r>
      <w:r>
        <w:rPr>
          <w:color w:val="231F20"/>
          <w:spacing w:val="-52"/>
          <w:vertAlign w:val="baseline"/>
        </w:rPr>
        <w:t> </w:t>
      </w:r>
      <w:r>
        <w:rPr>
          <w:i/>
          <w:color w:val="231F20"/>
          <w:vertAlign w:val="baseline"/>
        </w:rPr>
        <w:t>Telemedicine and e-Health, 22</w:t>
      </w:r>
      <w:r>
        <w:rPr>
          <w:color w:val="231F20"/>
          <w:vertAlign w:val="baseline"/>
        </w:rPr>
        <w:t>(2), 87-113. </w:t>
      </w:r>
      <w:hyperlink r:id="rId24">
        <w:r>
          <w:rPr>
            <w:color w:val="3953A4"/>
            <w:u w:val="single" w:color="3953A4"/>
            <w:vertAlign w:val="baseline"/>
          </w:rPr>
          <w:t>https://</w:t>
        </w:r>
      </w:hyperlink>
      <w:r>
        <w:rPr>
          <w:color w:val="3953A4"/>
          <w:spacing w:val="-52"/>
          <w:vertAlign w:val="baseline"/>
        </w:rPr>
        <w:t> </w:t>
      </w:r>
      <w:hyperlink r:id="rId24">
        <w:r>
          <w:rPr>
            <w:color w:val="3953A4"/>
            <w:u w:val="single" w:color="3953A4"/>
            <w:vertAlign w:val="baseline"/>
          </w:rPr>
          <w:t>dx.doi.org/10.1089%2Ftmj.2015.0206</w:t>
        </w:r>
      </w:hyperlink>
    </w:p>
    <w:p>
      <w:pPr>
        <w:tabs>
          <w:tab w:pos="479" w:val="left" w:leader="none"/>
        </w:tabs>
        <w:spacing w:line="228" w:lineRule="auto" w:before="88"/>
        <w:ind w:left="479" w:right="266" w:hanging="360"/>
        <w:jc w:val="left"/>
        <w:rPr>
          <w:sz w:val="22"/>
        </w:rPr>
      </w:pPr>
      <w:r>
        <w:rPr>
          <w:color w:val="231F20"/>
          <w:sz w:val="22"/>
          <w:vertAlign w:val="superscript"/>
        </w:rPr>
        <w:t>6</w:t>
      </w:r>
      <w:r>
        <w:rPr>
          <w:color w:val="231F20"/>
          <w:sz w:val="22"/>
          <w:vertAlign w:val="baseline"/>
        </w:rPr>
        <w:tab/>
        <w:t>Lustig, T. (2012). </w:t>
      </w:r>
      <w:r>
        <w:rPr>
          <w:i/>
          <w:color w:val="231F20"/>
          <w:sz w:val="22"/>
          <w:vertAlign w:val="baseline"/>
        </w:rPr>
        <w:t>The role of telehealth in an</w:t>
      </w:r>
      <w:r>
        <w:rPr>
          <w:i/>
          <w:color w:val="231F20"/>
          <w:spacing w:val="1"/>
          <w:sz w:val="22"/>
          <w:vertAlign w:val="baseline"/>
        </w:rPr>
        <w:t> </w:t>
      </w:r>
      <w:r>
        <w:rPr>
          <w:i/>
          <w:color w:val="231F20"/>
          <w:sz w:val="22"/>
          <w:vertAlign w:val="baseline"/>
        </w:rPr>
        <w:t>evolving health care environment: Workshop</w:t>
      </w:r>
      <w:r>
        <w:rPr>
          <w:i/>
          <w:color w:val="231F20"/>
          <w:spacing w:val="1"/>
          <w:sz w:val="22"/>
          <w:vertAlign w:val="baseline"/>
        </w:rPr>
        <w:t> </w:t>
      </w:r>
      <w:r>
        <w:rPr>
          <w:i/>
          <w:color w:val="231F20"/>
          <w:spacing w:val="-1"/>
          <w:sz w:val="22"/>
          <w:vertAlign w:val="baseline"/>
        </w:rPr>
        <w:t>summary</w:t>
      </w:r>
      <w:r>
        <w:rPr>
          <w:color w:val="231F20"/>
          <w:spacing w:val="-1"/>
          <w:sz w:val="22"/>
          <w:vertAlign w:val="baseline"/>
        </w:rPr>
        <w:t>. National Academies Press. </w:t>
      </w:r>
      <w:hyperlink r:id="rId25">
        <w:r>
          <w:rPr>
            <w:color w:val="3953A4"/>
            <w:sz w:val="22"/>
            <w:u w:val="single" w:color="3953A4"/>
            <w:vertAlign w:val="baseline"/>
          </w:rPr>
          <w:t>https://www.</w:t>
        </w:r>
      </w:hyperlink>
      <w:r>
        <w:rPr>
          <w:color w:val="3953A4"/>
          <w:spacing w:val="-52"/>
          <w:sz w:val="22"/>
          <w:vertAlign w:val="baseline"/>
        </w:rPr>
        <w:t> </w:t>
      </w:r>
      <w:hyperlink r:id="rId25">
        <w:r>
          <w:rPr>
            <w:color w:val="3953A4"/>
            <w:sz w:val="22"/>
            <w:u w:val="single" w:color="3953A4"/>
            <w:vertAlign w:val="baseline"/>
          </w:rPr>
          <w:t>ncbi.nlm.nih.gov/books/NBK207145/</w:t>
        </w:r>
      </w:hyperlink>
    </w:p>
    <w:p>
      <w:pPr>
        <w:tabs>
          <w:tab w:pos="479" w:val="left" w:leader="none"/>
        </w:tabs>
        <w:spacing w:line="228" w:lineRule="auto" w:before="89"/>
        <w:ind w:left="480" w:right="252" w:hanging="360"/>
        <w:jc w:val="left"/>
        <w:rPr>
          <w:sz w:val="22"/>
        </w:rPr>
      </w:pPr>
      <w:r>
        <w:rPr>
          <w:color w:val="231F20"/>
          <w:sz w:val="22"/>
          <w:vertAlign w:val="superscript"/>
        </w:rPr>
        <w:t>7</w:t>
      </w:r>
      <w:r>
        <w:rPr>
          <w:color w:val="231F20"/>
          <w:sz w:val="22"/>
          <w:vertAlign w:val="baseline"/>
        </w:rPr>
        <w:tab/>
        <w:t>Mace, S., Boccanelli, A., &amp; Dormond, M. (2018).</w:t>
      </w:r>
      <w:r>
        <w:rPr>
          <w:color w:val="231F20"/>
          <w:spacing w:val="1"/>
          <w:sz w:val="22"/>
          <w:vertAlign w:val="baseline"/>
        </w:rPr>
        <w:t> </w:t>
      </w:r>
      <w:r>
        <w:rPr>
          <w:color w:val="231F20"/>
          <w:sz w:val="22"/>
          <w:vertAlign w:val="baseline"/>
        </w:rPr>
        <w:t>The use of telehealth within behavioral health</w:t>
      </w:r>
      <w:r>
        <w:rPr>
          <w:color w:val="231F20"/>
          <w:spacing w:val="1"/>
          <w:sz w:val="22"/>
          <w:vertAlign w:val="baseline"/>
        </w:rPr>
        <w:t> </w:t>
      </w:r>
      <w:r>
        <w:rPr>
          <w:color w:val="231F20"/>
          <w:sz w:val="22"/>
          <w:vertAlign w:val="baseline"/>
        </w:rPr>
        <w:t>settings:</w:t>
      </w:r>
      <w:r>
        <w:rPr>
          <w:color w:val="231F20"/>
          <w:spacing w:val="-6"/>
          <w:sz w:val="22"/>
          <w:vertAlign w:val="baseline"/>
        </w:rPr>
        <w:t> </w:t>
      </w:r>
      <w:r>
        <w:rPr>
          <w:color w:val="231F20"/>
          <w:sz w:val="22"/>
          <w:vertAlign w:val="baseline"/>
        </w:rPr>
        <w:t>Utilization,</w:t>
      </w:r>
      <w:r>
        <w:rPr>
          <w:color w:val="231F20"/>
          <w:spacing w:val="-5"/>
          <w:sz w:val="22"/>
          <w:vertAlign w:val="baseline"/>
        </w:rPr>
        <w:t> </w:t>
      </w:r>
      <w:r>
        <w:rPr>
          <w:color w:val="231F20"/>
          <w:sz w:val="22"/>
          <w:vertAlign w:val="baseline"/>
        </w:rPr>
        <w:t>opportunities,</w:t>
      </w:r>
      <w:r>
        <w:rPr>
          <w:color w:val="231F20"/>
          <w:spacing w:val="-4"/>
          <w:sz w:val="22"/>
          <w:vertAlign w:val="baseline"/>
        </w:rPr>
        <w:t> </w:t>
      </w:r>
      <w:r>
        <w:rPr>
          <w:color w:val="231F20"/>
          <w:sz w:val="22"/>
          <w:vertAlign w:val="baseline"/>
        </w:rPr>
        <w:t>and</w:t>
      </w:r>
      <w:r>
        <w:rPr>
          <w:color w:val="231F20"/>
          <w:spacing w:val="-5"/>
          <w:sz w:val="22"/>
          <w:vertAlign w:val="baseline"/>
        </w:rPr>
        <w:t> </w:t>
      </w:r>
      <w:r>
        <w:rPr>
          <w:color w:val="231F20"/>
          <w:sz w:val="22"/>
          <w:vertAlign w:val="baseline"/>
        </w:rPr>
        <w:t>challenges.</w:t>
      </w:r>
      <w:r>
        <w:rPr>
          <w:color w:val="231F20"/>
          <w:spacing w:val="-52"/>
          <w:sz w:val="22"/>
          <w:vertAlign w:val="baseline"/>
        </w:rPr>
        <w:t> </w:t>
      </w:r>
      <w:r>
        <w:rPr>
          <w:i/>
          <w:color w:val="231F20"/>
          <w:sz w:val="22"/>
          <w:vertAlign w:val="baseline"/>
        </w:rPr>
        <w:t>University of Michigan School of Public Health,</w:t>
      </w:r>
      <w:r>
        <w:rPr>
          <w:i/>
          <w:color w:val="231F20"/>
          <w:spacing w:val="1"/>
          <w:sz w:val="22"/>
          <w:vertAlign w:val="baseline"/>
        </w:rPr>
        <w:t> </w:t>
      </w:r>
      <w:r>
        <w:rPr>
          <w:i/>
          <w:color w:val="231F20"/>
          <w:sz w:val="22"/>
          <w:vertAlign w:val="baseline"/>
        </w:rPr>
        <w:t>Behavioral Health Workforce Research Center</w:t>
      </w:r>
      <w:r>
        <w:rPr>
          <w:color w:val="231F20"/>
          <w:sz w:val="22"/>
          <w:vertAlign w:val="baseline"/>
        </w:rPr>
        <w:t>.</w:t>
      </w:r>
      <w:r>
        <w:rPr>
          <w:color w:val="231F20"/>
          <w:spacing w:val="1"/>
          <w:sz w:val="22"/>
          <w:vertAlign w:val="baseline"/>
        </w:rPr>
        <w:t> </w:t>
      </w:r>
      <w:hyperlink r:id="rId26">
        <w:r>
          <w:rPr>
            <w:color w:val="3953A4"/>
            <w:sz w:val="22"/>
            <w:u w:val="single" w:color="3953A4"/>
            <w:vertAlign w:val="baseline"/>
          </w:rPr>
          <w:t>http://www.behavioralhealthworkforce.org/</w:t>
        </w:r>
      </w:hyperlink>
    </w:p>
    <w:p>
      <w:pPr>
        <w:pStyle w:val="BodyText"/>
        <w:spacing w:line="228" w:lineRule="auto"/>
        <w:ind w:left="480" w:right="725"/>
      </w:pPr>
      <w:hyperlink r:id="rId26">
        <w:r>
          <w:rPr>
            <w:color w:val="3953A4"/>
            <w:spacing w:val="-1"/>
            <w:u w:val="single" w:color="3953A4"/>
          </w:rPr>
          <w:t>wp-content/uploads/2018/05/Telehealth-Full-</w:t>
        </w:r>
      </w:hyperlink>
      <w:r>
        <w:rPr>
          <w:color w:val="3953A4"/>
          <w:spacing w:val="-52"/>
        </w:rPr>
        <w:t> </w:t>
      </w:r>
      <w:hyperlink r:id="rId26">
        <w:r>
          <w:rPr>
            <w:color w:val="3953A4"/>
            <w:u w:val="single" w:color="3953A4"/>
          </w:rPr>
          <w:t>Paper_5.17.18-clean.pdf</w:t>
        </w:r>
      </w:hyperlink>
    </w:p>
    <w:p>
      <w:pPr>
        <w:pStyle w:val="BodyText"/>
        <w:tabs>
          <w:tab w:pos="479" w:val="left" w:leader="none"/>
        </w:tabs>
        <w:spacing w:line="228" w:lineRule="auto" w:before="87"/>
        <w:ind w:left="480" w:right="38" w:hanging="360"/>
      </w:pPr>
      <w:r>
        <w:rPr>
          <w:color w:val="231F20"/>
          <w:vertAlign w:val="superscript"/>
        </w:rPr>
        <w:t>8</w:t>
      </w:r>
      <w:r>
        <w:rPr>
          <w:color w:val="231F20"/>
          <w:vertAlign w:val="baseline"/>
        </w:rPr>
        <w:tab/>
        <w:t>Substance Abuse and Mental Health Services</w:t>
      </w:r>
      <w:r>
        <w:rPr>
          <w:color w:val="231F20"/>
          <w:spacing w:val="1"/>
          <w:vertAlign w:val="baseline"/>
        </w:rPr>
        <w:t> </w:t>
      </w:r>
      <w:r>
        <w:rPr>
          <w:color w:val="231F20"/>
          <w:vertAlign w:val="baseline"/>
        </w:rPr>
        <w:t>Administration. (2015). Using technology-based</w:t>
      </w:r>
      <w:r>
        <w:rPr>
          <w:color w:val="231F20"/>
          <w:spacing w:val="1"/>
          <w:vertAlign w:val="baseline"/>
        </w:rPr>
        <w:t> </w:t>
      </w:r>
      <w:r>
        <w:rPr>
          <w:color w:val="231F20"/>
          <w:vertAlign w:val="baseline"/>
        </w:rPr>
        <w:t>therapeutic tools in behavioral health services.</w:t>
      </w:r>
      <w:r>
        <w:rPr>
          <w:color w:val="231F20"/>
          <w:spacing w:val="1"/>
          <w:vertAlign w:val="baseline"/>
        </w:rPr>
        <w:t> </w:t>
      </w:r>
      <w:r>
        <w:rPr>
          <w:i/>
          <w:color w:val="231F20"/>
          <w:vertAlign w:val="baseline"/>
        </w:rPr>
        <w:t>Treatment Improvement Protocol (TIP) Series 60</w:t>
      </w:r>
      <w:r>
        <w:rPr>
          <w:color w:val="231F20"/>
          <w:vertAlign w:val="baseline"/>
        </w:rPr>
        <w:t>.</w:t>
      </w:r>
      <w:r>
        <w:rPr>
          <w:color w:val="231F20"/>
          <w:spacing w:val="1"/>
          <w:vertAlign w:val="baseline"/>
        </w:rPr>
        <w:t> </w:t>
      </w:r>
      <w:hyperlink r:id="rId27">
        <w:r>
          <w:rPr>
            <w:color w:val="3953A4"/>
            <w:u w:val="single" w:color="3953A4"/>
            <w:vertAlign w:val="baseline"/>
          </w:rPr>
          <w:t>https://store.samhsa.gov/product/TIP-60-Using-</w:t>
        </w:r>
      </w:hyperlink>
      <w:r>
        <w:rPr>
          <w:color w:val="3953A4"/>
          <w:spacing w:val="1"/>
          <w:vertAlign w:val="baseline"/>
        </w:rPr>
        <w:t> </w:t>
      </w:r>
      <w:hyperlink r:id="rId27">
        <w:r>
          <w:rPr>
            <w:color w:val="3953A4"/>
            <w:spacing w:val="-1"/>
            <w:u w:val="single" w:color="3953A4"/>
            <w:vertAlign w:val="baseline"/>
          </w:rPr>
          <w:t>Technology-Based-Therapeutic-Tools-in-Behavioral-</w:t>
        </w:r>
      </w:hyperlink>
      <w:r>
        <w:rPr>
          <w:color w:val="3953A4"/>
          <w:spacing w:val="-52"/>
          <w:vertAlign w:val="baseline"/>
        </w:rPr>
        <w:t> </w:t>
      </w:r>
      <w:hyperlink r:id="rId27">
        <w:r>
          <w:rPr>
            <w:color w:val="3953A4"/>
            <w:u w:val="single" w:color="3953A4"/>
            <w:vertAlign w:val="baseline"/>
          </w:rPr>
          <w:t>Health-Services/SMA15-4924</w:t>
        </w:r>
      </w:hyperlink>
    </w:p>
    <w:p>
      <w:pPr>
        <w:tabs>
          <w:tab w:pos="479" w:val="left" w:leader="none"/>
        </w:tabs>
        <w:spacing w:line="228" w:lineRule="auto" w:before="88"/>
        <w:ind w:left="480" w:right="231" w:hanging="360"/>
        <w:jc w:val="left"/>
        <w:rPr>
          <w:sz w:val="22"/>
        </w:rPr>
      </w:pPr>
      <w:r>
        <w:rPr>
          <w:color w:val="231F20"/>
          <w:sz w:val="22"/>
          <w:vertAlign w:val="superscript"/>
        </w:rPr>
        <w:t>9</w:t>
      </w:r>
      <w:r>
        <w:rPr>
          <w:color w:val="231F20"/>
          <w:sz w:val="22"/>
          <w:vertAlign w:val="baseline"/>
        </w:rPr>
        <w:tab/>
      </w:r>
      <w:r>
        <w:rPr>
          <w:color w:val="231F20"/>
          <w:spacing w:val="-1"/>
          <w:sz w:val="22"/>
          <w:vertAlign w:val="baseline"/>
        </w:rPr>
        <w:t>American Medical Association. </w:t>
      </w:r>
      <w:r>
        <w:rPr>
          <w:color w:val="231F20"/>
          <w:sz w:val="22"/>
          <w:vertAlign w:val="baseline"/>
        </w:rPr>
        <w:t>(2019). Telehealth</w:t>
      </w:r>
      <w:r>
        <w:rPr>
          <w:color w:val="231F20"/>
          <w:spacing w:val="-52"/>
          <w:sz w:val="22"/>
          <w:vertAlign w:val="baseline"/>
        </w:rPr>
        <w:t> </w:t>
      </w:r>
      <w:r>
        <w:rPr>
          <w:color w:val="231F20"/>
          <w:sz w:val="22"/>
          <w:vertAlign w:val="baseline"/>
        </w:rPr>
        <w:t>implementation playbook. </w:t>
      </w:r>
      <w:r>
        <w:rPr>
          <w:i/>
          <w:color w:val="231F20"/>
          <w:sz w:val="22"/>
          <w:vertAlign w:val="baseline"/>
        </w:rPr>
        <w:t>Digital Health</w:t>
      </w:r>
      <w:r>
        <w:rPr>
          <w:i/>
          <w:color w:val="231F20"/>
          <w:spacing w:val="1"/>
          <w:sz w:val="22"/>
          <w:vertAlign w:val="baseline"/>
        </w:rPr>
        <w:t> </w:t>
      </w:r>
      <w:r>
        <w:rPr>
          <w:i/>
          <w:color w:val="231F20"/>
          <w:sz w:val="22"/>
          <w:vertAlign w:val="baseline"/>
        </w:rPr>
        <w:t>Implementation Playbook Series</w:t>
      </w:r>
      <w:r>
        <w:rPr>
          <w:color w:val="231F20"/>
          <w:sz w:val="22"/>
          <w:vertAlign w:val="baseline"/>
        </w:rPr>
        <w:t>. </w:t>
      </w:r>
      <w:hyperlink r:id="rId28">
        <w:r>
          <w:rPr>
            <w:color w:val="3953A4"/>
            <w:sz w:val="22"/>
            <w:u w:val="single" w:color="3953A4"/>
            <w:vertAlign w:val="baseline"/>
          </w:rPr>
          <w:t>https://www.</w:t>
        </w:r>
      </w:hyperlink>
      <w:r>
        <w:rPr>
          <w:color w:val="3953A4"/>
          <w:spacing w:val="1"/>
          <w:sz w:val="22"/>
          <w:vertAlign w:val="baseline"/>
        </w:rPr>
        <w:t> </w:t>
      </w:r>
      <w:hyperlink r:id="rId28">
        <w:r>
          <w:rPr>
            <w:color w:val="3953A4"/>
            <w:spacing w:val="-1"/>
            <w:sz w:val="22"/>
            <w:u w:val="single" w:color="3953A4"/>
            <w:vertAlign w:val="baseline"/>
          </w:rPr>
          <w:t>ama-assn.org/system/files/2020-04/ama-telehealth-</w:t>
        </w:r>
      </w:hyperlink>
      <w:r>
        <w:rPr>
          <w:color w:val="3953A4"/>
          <w:spacing w:val="-52"/>
          <w:sz w:val="22"/>
          <w:vertAlign w:val="baseline"/>
        </w:rPr>
        <w:t> </w:t>
      </w:r>
      <w:hyperlink r:id="rId28">
        <w:r>
          <w:rPr>
            <w:color w:val="3953A4"/>
            <w:sz w:val="22"/>
            <w:u w:val="single" w:color="3953A4"/>
            <w:vertAlign w:val="baseline"/>
          </w:rPr>
          <w:t>implementation-playbook.pdf</w:t>
        </w:r>
      </w:hyperlink>
    </w:p>
    <w:p>
      <w:pPr>
        <w:pStyle w:val="BodyText"/>
        <w:tabs>
          <w:tab w:pos="479" w:val="left" w:leader="none"/>
        </w:tabs>
        <w:spacing w:line="228" w:lineRule="auto" w:before="101"/>
        <w:ind w:left="480" w:right="805" w:hanging="360"/>
      </w:pPr>
      <w:r>
        <w:rPr/>
        <w:br w:type="column"/>
      </w:r>
      <w:r>
        <w:rPr>
          <w:color w:val="231F20"/>
          <w:vertAlign w:val="superscript"/>
        </w:rPr>
        <w:t>10</w:t>
      </w:r>
      <w:r>
        <w:rPr>
          <w:color w:val="231F20"/>
          <w:vertAlign w:val="baseline"/>
        </w:rPr>
        <w:tab/>
        <w:t>Center for Connected Health Policy. (2020). </w:t>
      </w:r>
      <w:r>
        <w:rPr>
          <w:i/>
          <w:color w:val="231F20"/>
          <w:vertAlign w:val="baseline"/>
        </w:rPr>
        <w:t>Live</w:t>
      </w:r>
      <w:r>
        <w:rPr>
          <w:i/>
          <w:color w:val="231F20"/>
          <w:spacing w:val="1"/>
          <w:vertAlign w:val="baseline"/>
        </w:rPr>
        <w:t> </w:t>
      </w:r>
      <w:r>
        <w:rPr>
          <w:i/>
          <w:color w:val="231F20"/>
          <w:vertAlign w:val="baseline"/>
        </w:rPr>
        <w:t>video</w:t>
      </w:r>
      <w:r>
        <w:rPr>
          <w:i/>
          <w:color w:val="231F20"/>
          <w:spacing w:val="-5"/>
          <w:vertAlign w:val="baseline"/>
        </w:rPr>
        <w:t> </w:t>
      </w:r>
      <w:r>
        <w:rPr>
          <w:i/>
          <w:color w:val="231F20"/>
          <w:vertAlign w:val="baseline"/>
        </w:rPr>
        <w:t>(synchronous)</w:t>
      </w:r>
      <w:r>
        <w:rPr>
          <w:color w:val="231F20"/>
          <w:vertAlign w:val="baseline"/>
        </w:rPr>
        <w:t>.</w:t>
      </w:r>
      <w:r>
        <w:rPr>
          <w:color w:val="231F20"/>
          <w:spacing w:val="-5"/>
          <w:vertAlign w:val="baseline"/>
        </w:rPr>
        <w:t> </w:t>
      </w:r>
      <w:r>
        <w:rPr>
          <w:color w:val="231F20"/>
          <w:vertAlign w:val="baseline"/>
        </w:rPr>
        <w:t>Public</w:t>
      </w:r>
      <w:r>
        <w:rPr>
          <w:color w:val="231F20"/>
          <w:spacing w:val="-5"/>
          <w:vertAlign w:val="baseline"/>
        </w:rPr>
        <w:t> </w:t>
      </w:r>
      <w:r>
        <w:rPr>
          <w:color w:val="231F20"/>
          <w:vertAlign w:val="baseline"/>
        </w:rPr>
        <w:t>Health</w:t>
      </w:r>
      <w:r>
        <w:rPr>
          <w:color w:val="231F20"/>
          <w:spacing w:val="-5"/>
          <w:vertAlign w:val="baseline"/>
        </w:rPr>
        <w:t> </w:t>
      </w:r>
      <w:r>
        <w:rPr>
          <w:color w:val="231F20"/>
          <w:vertAlign w:val="baseline"/>
        </w:rPr>
        <w:t>Institute.</w:t>
      </w:r>
      <w:r>
        <w:rPr>
          <w:color w:val="231F20"/>
          <w:spacing w:val="-5"/>
          <w:vertAlign w:val="baseline"/>
        </w:rPr>
        <w:t> </w:t>
      </w:r>
      <w:hyperlink r:id="rId29">
        <w:r>
          <w:rPr>
            <w:color w:val="3953A4"/>
            <w:u w:val="single" w:color="3953A4"/>
            <w:vertAlign w:val="baseline"/>
          </w:rPr>
          <w:t>https://</w:t>
        </w:r>
      </w:hyperlink>
      <w:r>
        <w:rPr>
          <w:color w:val="3953A4"/>
          <w:spacing w:val="-52"/>
          <w:vertAlign w:val="baseline"/>
        </w:rPr>
        <w:t> </w:t>
      </w:r>
      <w:hyperlink r:id="rId29">
        <w:r>
          <w:rPr>
            <w:color w:val="3953A4"/>
            <w:u w:val="single" w:color="3953A4"/>
            <w:vertAlign w:val="baseline"/>
          </w:rPr>
          <w:t>www.cchpca.org/about/about-telehealth/live-video-</w:t>
        </w:r>
      </w:hyperlink>
      <w:r>
        <w:rPr>
          <w:color w:val="3953A4"/>
          <w:spacing w:val="-52"/>
          <w:vertAlign w:val="baseline"/>
        </w:rPr>
        <w:t> </w:t>
      </w:r>
      <w:hyperlink r:id="rId29">
        <w:r>
          <w:rPr>
            <w:color w:val="3953A4"/>
            <w:u w:val="single" w:color="3953A4"/>
            <w:vertAlign w:val="baseline"/>
          </w:rPr>
          <w:t>synchronous</w:t>
        </w:r>
      </w:hyperlink>
    </w:p>
    <w:p>
      <w:pPr>
        <w:pStyle w:val="BodyText"/>
        <w:spacing w:line="228" w:lineRule="auto" w:before="89"/>
        <w:ind w:left="480" w:right="1329" w:hanging="360"/>
        <w:jc w:val="both"/>
      </w:pPr>
      <w:r>
        <w:rPr>
          <w:color w:val="231F20"/>
          <w:vertAlign w:val="superscript"/>
        </w:rPr>
        <w:t>11</w:t>
      </w:r>
      <w:r>
        <w:rPr>
          <w:color w:val="231F20"/>
          <w:spacing w:val="55"/>
          <w:vertAlign w:val="baseline"/>
        </w:rPr>
        <w:t> </w:t>
      </w:r>
      <w:r>
        <w:rPr>
          <w:color w:val="231F20"/>
          <w:vertAlign w:val="baseline"/>
        </w:rPr>
        <w:t>Warren,</w:t>
      </w:r>
      <w:r>
        <w:rPr>
          <w:color w:val="231F20"/>
          <w:spacing w:val="-5"/>
          <w:vertAlign w:val="baseline"/>
        </w:rPr>
        <w:t> </w:t>
      </w:r>
      <w:r>
        <w:rPr>
          <w:color w:val="231F20"/>
          <w:vertAlign w:val="baseline"/>
        </w:rPr>
        <w:t>J.</w:t>
      </w:r>
      <w:r>
        <w:rPr>
          <w:color w:val="231F20"/>
          <w:spacing w:val="-4"/>
          <w:vertAlign w:val="baseline"/>
        </w:rPr>
        <w:t> </w:t>
      </w:r>
      <w:r>
        <w:rPr>
          <w:color w:val="231F20"/>
          <w:vertAlign w:val="baseline"/>
        </w:rPr>
        <w:t>C.,</w:t>
      </w:r>
      <w:r>
        <w:rPr>
          <w:color w:val="231F20"/>
          <w:spacing w:val="-4"/>
          <w:vertAlign w:val="baseline"/>
        </w:rPr>
        <w:t> </w:t>
      </w:r>
      <w:r>
        <w:rPr>
          <w:color w:val="231F20"/>
          <w:vertAlign w:val="baseline"/>
        </w:rPr>
        <w:t>&amp;</w:t>
      </w:r>
      <w:r>
        <w:rPr>
          <w:color w:val="231F20"/>
          <w:spacing w:val="-4"/>
          <w:vertAlign w:val="baseline"/>
        </w:rPr>
        <w:t> </w:t>
      </w:r>
      <w:r>
        <w:rPr>
          <w:color w:val="231F20"/>
          <w:vertAlign w:val="baseline"/>
        </w:rPr>
        <w:t>Smalley,</w:t>
      </w:r>
      <w:r>
        <w:rPr>
          <w:color w:val="231F20"/>
          <w:spacing w:val="-4"/>
          <w:vertAlign w:val="baseline"/>
        </w:rPr>
        <w:t> </w:t>
      </w:r>
      <w:r>
        <w:rPr>
          <w:color w:val="231F20"/>
          <w:vertAlign w:val="baseline"/>
        </w:rPr>
        <w:t>K.</w:t>
      </w:r>
      <w:r>
        <w:rPr>
          <w:color w:val="231F20"/>
          <w:spacing w:val="-4"/>
          <w:vertAlign w:val="baseline"/>
        </w:rPr>
        <w:t> </w:t>
      </w:r>
      <w:r>
        <w:rPr>
          <w:color w:val="231F20"/>
          <w:vertAlign w:val="baseline"/>
        </w:rPr>
        <w:t>B.</w:t>
      </w:r>
      <w:r>
        <w:rPr>
          <w:color w:val="231F20"/>
          <w:spacing w:val="-4"/>
          <w:vertAlign w:val="baseline"/>
        </w:rPr>
        <w:t> </w:t>
      </w:r>
      <w:r>
        <w:rPr>
          <w:color w:val="231F20"/>
          <w:vertAlign w:val="baseline"/>
        </w:rPr>
        <w:t>(2020).</w:t>
      </w:r>
      <w:r>
        <w:rPr>
          <w:color w:val="231F20"/>
          <w:spacing w:val="-4"/>
          <w:vertAlign w:val="baseline"/>
        </w:rPr>
        <w:t> </w:t>
      </w:r>
      <w:r>
        <w:rPr>
          <w:color w:val="231F20"/>
          <w:vertAlign w:val="baseline"/>
        </w:rPr>
        <w:t>Using</w:t>
      </w:r>
      <w:r>
        <w:rPr>
          <w:color w:val="231F20"/>
          <w:spacing w:val="-53"/>
          <w:vertAlign w:val="baseline"/>
        </w:rPr>
        <w:t> </w:t>
      </w:r>
      <w:r>
        <w:rPr>
          <w:color w:val="231F20"/>
          <w:vertAlign w:val="baseline"/>
        </w:rPr>
        <w:t>telehealth to meet mental health needs during</w:t>
      </w:r>
      <w:r>
        <w:rPr>
          <w:color w:val="231F20"/>
          <w:spacing w:val="1"/>
          <w:vertAlign w:val="baseline"/>
        </w:rPr>
        <w:t> </w:t>
      </w:r>
      <w:r>
        <w:rPr>
          <w:color w:val="231F20"/>
          <w:vertAlign w:val="baseline"/>
        </w:rPr>
        <w:t>the</w:t>
      </w:r>
      <w:r>
        <w:rPr>
          <w:color w:val="231F20"/>
          <w:spacing w:val="-6"/>
          <w:vertAlign w:val="baseline"/>
        </w:rPr>
        <w:t> </w:t>
      </w:r>
      <w:r>
        <w:rPr>
          <w:color w:val="231F20"/>
          <w:vertAlign w:val="baseline"/>
        </w:rPr>
        <w:t>COVID-19</w:t>
      </w:r>
      <w:r>
        <w:rPr>
          <w:color w:val="231F20"/>
          <w:spacing w:val="-6"/>
          <w:vertAlign w:val="baseline"/>
        </w:rPr>
        <w:t> </w:t>
      </w:r>
      <w:r>
        <w:rPr>
          <w:color w:val="231F20"/>
          <w:vertAlign w:val="baseline"/>
        </w:rPr>
        <w:t>crisis.</w:t>
      </w:r>
      <w:r>
        <w:rPr>
          <w:color w:val="231F20"/>
          <w:spacing w:val="-6"/>
          <w:vertAlign w:val="baseline"/>
        </w:rPr>
        <w:t> </w:t>
      </w:r>
      <w:r>
        <w:rPr>
          <w:i/>
          <w:color w:val="231F20"/>
          <w:vertAlign w:val="baseline"/>
        </w:rPr>
        <w:t>To</w:t>
      </w:r>
      <w:r>
        <w:rPr>
          <w:i/>
          <w:color w:val="231F20"/>
          <w:spacing w:val="-6"/>
          <w:vertAlign w:val="baseline"/>
        </w:rPr>
        <w:t> </w:t>
      </w:r>
      <w:r>
        <w:rPr>
          <w:i/>
          <w:color w:val="231F20"/>
          <w:vertAlign w:val="baseline"/>
        </w:rPr>
        <w:t>the</w:t>
      </w:r>
      <w:r>
        <w:rPr>
          <w:i/>
          <w:color w:val="231F20"/>
          <w:spacing w:val="-6"/>
          <w:vertAlign w:val="baseline"/>
        </w:rPr>
        <w:t> </w:t>
      </w:r>
      <w:r>
        <w:rPr>
          <w:i/>
          <w:color w:val="231F20"/>
          <w:vertAlign w:val="baseline"/>
        </w:rPr>
        <w:t>Point</w:t>
      </w:r>
      <w:r>
        <w:rPr>
          <w:color w:val="231F20"/>
          <w:vertAlign w:val="baseline"/>
        </w:rPr>
        <w:t>.</w:t>
      </w:r>
      <w:r>
        <w:rPr>
          <w:color w:val="231F20"/>
          <w:spacing w:val="-5"/>
          <w:vertAlign w:val="baseline"/>
        </w:rPr>
        <w:t> </w:t>
      </w:r>
      <w:hyperlink r:id="rId30">
        <w:r>
          <w:rPr>
            <w:color w:val="3953A4"/>
            <w:u w:val="single" w:color="3953A4"/>
            <w:vertAlign w:val="baseline"/>
          </w:rPr>
          <w:t>https://doi.</w:t>
        </w:r>
      </w:hyperlink>
      <w:r>
        <w:rPr>
          <w:color w:val="3953A4"/>
          <w:spacing w:val="-53"/>
          <w:vertAlign w:val="baseline"/>
        </w:rPr>
        <w:t> </w:t>
      </w:r>
      <w:hyperlink r:id="rId30">
        <w:r>
          <w:rPr>
            <w:color w:val="3953A4"/>
            <w:u w:val="single" w:color="3953A4"/>
            <w:vertAlign w:val="baseline"/>
          </w:rPr>
          <w:t>org/10.26099/qb81-6c84</w:t>
        </w:r>
      </w:hyperlink>
    </w:p>
    <w:p>
      <w:pPr>
        <w:pStyle w:val="BodyText"/>
        <w:tabs>
          <w:tab w:pos="479" w:val="left" w:leader="none"/>
        </w:tabs>
        <w:spacing w:line="228" w:lineRule="auto" w:before="88"/>
        <w:ind w:left="480" w:right="726" w:hanging="360"/>
      </w:pPr>
      <w:r>
        <w:rPr>
          <w:color w:val="231F20"/>
          <w:vertAlign w:val="superscript"/>
        </w:rPr>
        <w:t>12</w:t>
      </w:r>
      <w:r>
        <w:rPr>
          <w:color w:val="231F20"/>
          <w:vertAlign w:val="baseline"/>
        </w:rPr>
        <w:tab/>
        <w:t>Centers for Disease Control and Prevention. (2020,</w:t>
      </w:r>
      <w:r>
        <w:rPr>
          <w:color w:val="231F20"/>
          <w:spacing w:val="1"/>
          <w:vertAlign w:val="baseline"/>
        </w:rPr>
        <w:t> </w:t>
      </w:r>
      <w:r>
        <w:rPr>
          <w:color w:val="231F20"/>
          <w:vertAlign w:val="baseline"/>
        </w:rPr>
        <w:t>June</w:t>
      </w:r>
      <w:r>
        <w:rPr>
          <w:color w:val="231F20"/>
          <w:spacing w:val="-7"/>
          <w:vertAlign w:val="baseline"/>
        </w:rPr>
        <w:t> </w:t>
      </w:r>
      <w:r>
        <w:rPr>
          <w:color w:val="231F20"/>
          <w:vertAlign w:val="baseline"/>
        </w:rPr>
        <w:t>10).</w:t>
      </w:r>
      <w:r>
        <w:rPr>
          <w:color w:val="231F20"/>
          <w:spacing w:val="-6"/>
          <w:vertAlign w:val="baseline"/>
        </w:rPr>
        <w:t> </w:t>
      </w:r>
      <w:r>
        <w:rPr>
          <w:i/>
          <w:color w:val="231F20"/>
          <w:vertAlign w:val="baseline"/>
        </w:rPr>
        <w:t>Using</w:t>
      </w:r>
      <w:r>
        <w:rPr>
          <w:i/>
          <w:color w:val="231F20"/>
          <w:spacing w:val="-6"/>
          <w:vertAlign w:val="baseline"/>
        </w:rPr>
        <w:t> </w:t>
      </w:r>
      <w:r>
        <w:rPr>
          <w:i/>
          <w:color w:val="231F20"/>
          <w:vertAlign w:val="baseline"/>
        </w:rPr>
        <w:t>telehealth</w:t>
      </w:r>
      <w:r>
        <w:rPr>
          <w:i/>
          <w:color w:val="231F20"/>
          <w:spacing w:val="-6"/>
          <w:vertAlign w:val="baseline"/>
        </w:rPr>
        <w:t> </w:t>
      </w:r>
      <w:r>
        <w:rPr>
          <w:i/>
          <w:color w:val="231F20"/>
          <w:vertAlign w:val="baseline"/>
        </w:rPr>
        <w:t>services</w:t>
      </w:r>
      <w:r>
        <w:rPr>
          <w:color w:val="231F20"/>
          <w:vertAlign w:val="baseline"/>
        </w:rPr>
        <w:t>.</w:t>
      </w:r>
      <w:r>
        <w:rPr>
          <w:color w:val="231F20"/>
          <w:spacing w:val="-6"/>
          <w:vertAlign w:val="baseline"/>
        </w:rPr>
        <w:t> </w:t>
      </w:r>
      <w:hyperlink r:id="rId31">
        <w:r>
          <w:rPr>
            <w:color w:val="3953A4"/>
            <w:u w:val="single" w:color="3953A4"/>
            <w:vertAlign w:val="baseline"/>
          </w:rPr>
          <w:t>https://www.cdc.</w:t>
        </w:r>
      </w:hyperlink>
      <w:r>
        <w:rPr>
          <w:color w:val="3953A4"/>
          <w:spacing w:val="-52"/>
          <w:vertAlign w:val="baseline"/>
        </w:rPr>
        <w:t> </w:t>
      </w:r>
      <w:hyperlink r:id="rId31">
        <w:r>
          <w:rPr>
            <w:color w:val="3953A4"/>
            <w:u w:val="single" w:color="3953A4"/>
            <w:vertAlign w:val="baseline"/>
          </w:rPr>
          <w:t>gov/coronavirus/2019-ncov/hcp/telehealth.html</w:t>
        </w:r>
      </w:hyperlink>
    </w:p>
    <w:p>
      <w:pPr>
        <w:tabs>
          <w:tab w:pos="479" w:val="left" w:leader="none"/>
        </w:tabs>
        <w:spacing w:line="228" w:lineRule="auto" w:before="90"/>
        <w:ind w:left="480" w:right="758" w:hanging="360"/>
        <w:jc w:val="left"/>
        <w:rPr>
          <w:sz w:val="22"/>
        </w:rPr>
      </w:pPr>
      <w:r>
        <w:rPr>
          <w:color w:val="231F20"/>
          <w:sz w:val="22"/>
          <w:vertAlign w:val="superscript"/>
        </w:rPr>
        <w:t>13</w:t>
      </w:r>
      <w:r>
        <w:rPr>
          <w:color w:val="231F20"/>
          <w:sz w:val="22"/>
          <w:vertAlign w:val="baseline"/>
        </w:rPr>
        <w:tab/>
      </w:r>
      <w:r>
        <w:rPr>
          <w:color w:val="231F20"/>
          <w:spacing w:val="-5"/>
          <w:sz w:val="22"/>
          <w:vertAlign w:val="baseline"/>
        </w:rPr>
        <w:t>Center</w:t>
      </w:r>
      <w:r>
        <w:rPr>
          <w:color w:val="231F20"/>
          <w:spacing w:val="-9"/>
          <w:sz w:val="22"/>
          <w:vertAlign w:val="baseline"/>
        </w:rPr>
        <w:t> </w:t>
      </w:r>
      <w:r>
        <w:rPr>
          <w:color w:val="231F20"/>
          <w:spacing w:val="-5"/>
          <w:sz w:val="22"/>
          <w:vertAlign w:val="baseline"/>
        </w:rPr>
        <w:t>for</w:t>
      </w:r>
      <w:r>
        <w:rPr>
          <w:color w:val="231F20"/>
          <w:spacing w:val="-8"/>
          <w:sz w:val="22"/>
          <w:vertAlign w:val="baseline"/>
        </w:rPr>
        <w:t> </w:t>
      </w:r>
      <w:r>
        <w:rPr>
          <w:color w:val="231F20"/>
          <w:spacing w:val="-5"/>
          <w:sz w:val="22"/>
          <w:vertAlign w:val="baseline"/>
        </w:rPr>
        <w:t>Connected</w:t>
      </w:r>
      <w:r>
        <w:rPr>
          <w:color w:val="231F20"/>
          <w:spacing w:val="-8"/>
          <w:sz w:val="22"/>
          <w:vertAlign w:val="baseline"/>
        </w:rPr>
        <w:t> </w:t>
      </w:r>
      <w:r>
        <w:rPr>
          <w:color w:val="231F20"/>
          <w:spacing w:val="-5"/>
          <w:sz w:val="22"/>
          <w:vertAlign w:val="baseline"/>
        </w:rPr>
        <w:t>Health</w:t>
      </w:r>
      <w:r>
        <w:rPr>
          <w:color w:val="231F20"/>
          <w:spacing w:val="-8"/>
          <w:sz w:val="22"/>
          <w:vertAlign w:val="baseline"/>
        </w:rPr>
        <w:t> </w:t>
      </w:r>
      <w:r>
        <w:rPr>
          <w:color w:val="231F20"/>
          <w:spacing w:val="-4"/>
          <w:sz w:val="22"/>
          <w:vertAlign w:val="baseline"/>
        </w:rPr>
        <w:t>Policy.</w:t>
      </w:r>
      <w:r>
        <w:rPr>
          <w:color w:val="231F20"/>
          <w:spacing w:val="-8"/>
          <w:sz w:val="22"/>
          <w:vertAlign w:val="baseline"/>
        </w:rPr>
        <w:t> </w:t>
      </w:r>
      <w:r>
        <w:rPr>
          <w:color w:val="231F20"/>
          <w:spacing w:val="-4"/>
          <w:sz w:val="22"/>
          <w:vertAlign w:val="baseline"/>
        </w:rPr>
        <w:t>(2013).</w:t>
      </w:r>
      <w:r>
        <w:rPr>
          <w:color w:val="231F20"/>
          <w:spacing w:val="-8"/>
          <w:sz w:val="22"/>
          <w:vertAlign w:val="baseline"/>
        </w:rPr>
        <w:t> </w:t>
      </w:r>
      <w:r>
        <w:rPr>
          <w:i/>
          <w:color w:val="231F20"/>
          <w:spacing w:val="-4"/>
          <w:sz w:val="22"/>
          <w:vertAlign w:val="baseline"/>
        </w:rPr>
        <w:t>Telehealth</w:t>
      </w:r>
      <w:r>
        <w:rPr>
          <w:i/>
          <w:color w:val="231F20"/>
          <w:spacing w:val="-52"/>
          <w:sz w:val="22"/>
          <w:vertAlign w:val="baseline"/>
        </w:rPr>
        <w:t> </w:t>
      </w:r>
      <w:r>
        <w:rPr>
          <w:i/>
          <w:color w:val="231F20"/>
          <w:spacing w:val="-2"/>
          <w:sz w:val="22"/>
          <w:vertAlign w:val="baseline"/>
        </w:rPr>
        <w:t>&amp; access to care</w:t>
      </w:r>
      <w:r>
        <w:rPr>
          <w:color w:val="231F20"/>
          <w:spacing w:val="-2"/>
          <w:sz w:val="22"/>
          <w:vertAlign w:val="baseline"/>
        </w:rPr>
        <w:t>. </w:t>
      </w:r>
      <w:hyperlink r:id="rId32">
        <w:r>
          <w:rPr>
            <w:color w:val="3953A4"/>
            <w:spacing w:val="-2"/>
            <w:sz w:val="22"/>
            <w:u w:val="single" w:color="3953A4"/>
            <w:vertAlign w:val="baseline"/>
          </w:rPr>
          <w:t>https://www.youtube.com/</w:t>
        </w:r>
      </w:hyperlink>
      <w:r>
        <w:rPr>
          <w:color w:val="3953A4"/>
          <w:spacing w:val="-1"/>
          <w:sz w:val="22"/>
          <w:vertAlign w:val="baseline"/>
        </w:rPr>
        <w:t> </w:t>
      </w:r>
      <w:hyperlink r:id="rId32">
        <w:r>
          <w:rPr>
            <w:color w:val="3953A4"/>
            <w:sz w:val="22"/>
            <w:u w:val="single" w:color="3953A4"/>
            <w:vertAlign w:val="baseline"/>
          </w:rPr>
          <w:t>watch?v=uT9fD7J3n6I</w:t>
        </w:r>
      </w:hyperlink>
    </w:p>
    <w:p>
      <w:pPr>
        <w:spacing w:line="228" w:lineRule="auto" w:before="89"/>
        <w:ind w:left="480" w:right="994" w:hanging="360"/>
        <w:jc w:val="both"/>
        <w:rPr>
          <w:sz w:val="22"/>
        </w:rPr>
      </w:pPr>
      <w:r>
        <w:rPr>
          <w:color w:val="231F20"/>
          <w:sz w:val="22"/>
          <w:vertAlign w:val="superscript"/>
        </w:rPr>
        <w:t>14</w:t>
      </w:r>
      <w:r>
        <w:rPr>
          <w:color w:val="231F20"/>
          <w:spacing w:val="1"/>
          <w:sz w:val="22"/>
          <w:vertAlign w:val="baseline"/>
        </w:rPr>
        <w:t> </w:t>
      </w:r>
      <w:r>
        <w:rPr>
          <w:color w:val="231F20"/>
          <w:sz w:val="22"/>
          <w:vertAlign w:val="baseline"/>
        </w:rPr>
        <w:t>Rural Health Information Hub. (2020). </w:t>
      </w:r>
      <w:r>
        <w:rPr>
          <w:i/>
          <w:color w:val="231F20"/>
          <w:sz w:val="22"/>
          <w:vertAlign w:val="baseline"/>
        </w:rPr>
        <w:t>Telehealth</w:t>
      </w:r>
      <w:r>
        <w:rPr>
          <w:i/>
          <w:color w:val="231F20"/>
          <w:spacing w:val="1"/>
          <w:sz w:val="22"/>
          <w:vertAlign w:val="baseline"/>
        </w:rPr>
        <w:t> </w:t>
      </w:r>
      <w:r>
        <w:rPr>
          <w:i/>
          <w:color w:val="231F20"/>
          <w:sz w:val="22"/>
          <w:vertAlign w:val="baseline"/>
        </w:rPr>
        <w:t>application</w:t>
      </w:r>
      <w:r>
        <w:rPr>
          <w:i/>
          <w:color w:val="231F20"/>
          <w:spacing w:val="-14"/>
          <w:sz w:val="22"/>
          <w:vertAlign w:val="baseline"/>
        </w:rPr>
        <w:t> </w:t>
      </w:r>
      <w:r>
        <w:rPr>
          <w:i/>
          <w:color w:val="231F20"/>
          <w:sz w:val="22"/>
          <w:vertAlign w:val="baseline"/>
        </w:rPr>
        <w:t>domains</w:t>
      </w:r>
      <w:r>
        <w:rPr>
          <w:color w:val="231F20"/>
          <w:sz w:val="22"/>
          <w:vertAlign w:val="baseline"/>
        </w:rPr>
        <w:t>.</w:t>
      </w:r>
      <w:r>
        <w:rPr>
          <w:color w:val="231F20"/>
          <w:spacing w:val="-13"/>
          <w:sz w:val="22"/>
          <w:vertAlign w:val="baseline"/>
        </w:rPr>
        <w:t> </w:t>
      </w:r>
      <w:hyperlink r:id="rId33">
        <w:r>
          <w:rPr>
            <w:color w:val="3953A4"/>
            <w:sz w:val="22"/>
            <w:u w:val="single" w:color="3953A4"/>
            <w:vertAlign w:val="baseline"/>
          </w:rPr>
          <w:t>https://www.ruralhealthinfo.</w:t>
        </w:r>
      </w:hyperlink>
      <w:r>
        <w:rPr>
          <w:color w:val="3953A4"/>
          <w:spacing w:val="-53"/>
          <w:sz w:val="22"/>
          <w:vertAlign w:val="baseline"/>
        </w:rPr>
        <w:t> </w:t>
      </w:r>
      <w:hyperlink r:id="rId33">
        <w:r>
          <w:rPr>
            <w:color w:val="3953A4"/>
            <w:sz w:val="22"/>
            <w:u w:val="single" w:color="3953A4"/>
            <w:vertAlign w:val="baseline"/>
          </w:rPr>
          <w:t>org/toolkits/telehealth/1/application-domains</w:t>
        </w:r>
      </w:hyperlink>
    </w:p>
    <w:p>
      <w:pPr>
        <w:pStyle w:val="BodyText"/>
        <w:tabs>
          <w:tab w:pos="479" w:val="left" w:leader="none"/>
        </w:tabs>
        <w:spacing w:line="228" w:lineRule="auto" w:before="89"/>
        <w:ind w:left="480" w:right="851" w:hanging="360"/>
      </w:pPr>
      <w:r>
        <w:rPr>
          <w:color w:val="231F20"/>
          <w:vertAlign w:val="superscript"/>
        </w:rPr>
        <w:t>15</w:t>
      </w:r>
      <w:r>
        <w:rPr>
          <w:color w:val="231F20"/>
          <w:vertAlign w:val="baseline"/>
        </w:rPr>
        <w:tab/>
      </w:r>
      <w:r>
        <w:rPr>
          <w:color w:val="231F20"/>
          <w:spacing w:val="-4"/>
          <w:vertAlign w:val="baseline"/>
        </w:rPr>
        <w:t>Center for Connected Health </w:t>
      </w:r>
      <w:r>
        <w:rPr>
          <w:color w:val="231F20"/>
          <w:spacing w:val="-3"/>
          <w:vertAlign w:val="baseline"/>
        </w:rPr>
        <w:t>Policy. (2018). </w:t>
      </w:r>
      <w:r>
        <w:rPr>
          <w:i/>
          <w:color w:val="231F20"/>
          <w:spacing w:val="-3"/>
          <w:vertAlign w:val="baseline"/>
        </w:rPr>
        <w:t>Remote</w:t>
      </w:r>
      <w:r>
        <w:rPr>
          <w:i/>
          <w:color w:val="231F20"/>
          <w:spacing w:val="-2"/>
          <w:vertAlign w:val="baseline"/>
        </w:rPr>
        <w:t> </w:t>
      </w:r>
      <w:r>
        <w:rPr>
          <w:i/>
          <w:color w:val="231F20"/>
          <w:spacing w:val="-3"/>
          <w:vertAlign w:val="baseline"/>
        </w:rPr>
        <w:t>patient monitoring research catalogue</w:t>
      </w:r>
      <w:r>
        <w:rPr>
          <w:color w:val="231F20"/>
          <w:spacing w:val="-3"/>
          <w:vertAlign w:val="baseline"/>
        </w:rPr>
        <w:t>. </w:t>
      </w:r>
      <w:hyperlink r:id="rId34">
        <w:r>
          <w:rPr>
            <w:color w:val="3953A4"/>
            <w:spacing w:val="-3"/>
            <w:u w:val="single" w:color="3953A4"/>
            <w:vertAlign w:val="baseline"/>
          </w:rPr>
          <w:t>https://</w:t>
        </w:r>
      </w:hyperlink>
      <w:r>
        <w:rPr>
          <w:color w:val="3953A4"/>
          <w:spacing w:val="-2"/>
          <w:vertAlign w:val="baseline"/>
        </w:rPr>
        <w:t> </w:t>
      </w:r>
      <w:hyperlink r:id="rId34">
        <w:r>
          <w:rPr>
            <w:color w:val="3953A4"/>
            <w:spacing w:val="-3"/>
            <w:u w:val="single" w:color="3953A4"/>
            <w:vertAlign w:val="baseline"/>
          </w:rPr>
          <w:t>www.telehealthpolicy.us/sites/default/files/2018-09/</w:t>
        </w:r>
      </w:hyperlink>
      <w:r>
        <w:rPr>
          <w:color w:val="3953A4"/>
          <w:spacing w:val="-2"/>
          <w:vertAlign w:val="baseline"/>
        </w:rPr>
        <w:t> </w:t>
      </w:r>
      <w:hyperlink r:id="rId34">
        <w:r>
          <w:rPr>
            <w:color w:val="3953A4"/>
            <w:spacing w:val="-4"/>
            <w:u w:val="single" w:color="3953A4"/>
            <w:vertAlign w:val="baseline"/>
          </w:rPr>
          <w:t>Remote%20Patient%20Monitoring%20Research%20</w:t>
        </w:r>
      </w:hyperlink>
      <w:r>
        <w:rPr>
          <w:color w:val="3953A4"/>
          <w:spacing w:val="-52"/>
          <w:vertAlign w:val="baseline"/>
        </w:rPr>
        <w:t> </w:t>
      </w:r>
      <w:hyperlink r:id="rId34">
        <w:r>
          <w:rPr>
            <w:color w:val="3953A4"/>
            <w:u w:val="single" w:color="3953A4"/>
            <w:vertAlign w:val="baseline"/>
          </w:rPr>
          <w:t>Catalogue%20%28Aug%202018%29.pdf</w:t>
        </w:r>
      </w:hyperlink>
    </w:p>
    <w:p>
      <w:pPr>
        <w:pStyle w:val="BodyText"/>
        <w:tabs>
          <w:tab w:pos="479" w:val="left" w:leader="none"/>
        </w:tabs>
        <w:spacing w:line="228" w:lineRule="auto" w:before="88"/>
        <w:ind w:left="480" w:right="793" w:hanging="360"/>
      </w:pPr>
      <w:r>
        <w:rPr>
          <w:color w:val="231F20"/>
          <w:vertAlign w:val="superscript"/>
        </w:rPr>
        <w:t>16</w:t>
      </w:r>
      <w:r>
        <w:rPr>
          <w:color w:val="231F20"/>
          <w:vertAlign w:val="baseline"/>
        </w:rPr>
        <w:tab/>
        <w:t>Center</w:t>
      </w:r>
      <w:r>
        <w:rPr>
          <w:color w:val="231F20"/>
          <w:spacing w:val="-5"/>
          <w:vertAlign w:val="baseline"/>
        </w:rPr>
        <w:t> </w:t>
      </w:r>
      <w:r>
        <w:rPr>
          <w:color w:val="231F20"/>
          <w:vertAlign w:val="baseline"/>
        </w:rPr>
        <w:t>for</w:t>
      </w:r>
      <w:r>
        <w:rPr>
          <w:color w:val="231F20"/>
          <w:spacing w:val="-5"/>
          <w:vertAlign w:val="baseline"/>
        </w:rPr>
        <w:t> </w:t>
      </w:r>
      <w:r>
        <w:rPr>
          <w:color w:val="231F20"/>
          <w:vertAlign w:val="baseline"/>
        </w:rPr>
        <w:t>Connected</w:t>
      </w:r>
      <w:r>
        <w:rPr>
          <w:color w:val="231F20"/>
          <w:spacing w:val="-5"/>
          <w:vertAlign w:val="baseline"/>
        </w:rPr>
        <w:t> </w:t>
      </w:r>
      <w:r>
        <w:rPr>
          <w:color w:val="231F20"/>
          <w:vertAlign w:val="baseline"/>
        </w:rPr>
        <w:t>Health</w:t>
      </w:r>
      <w:r>
        <w:rPr>
          <w:color w:val="231F20"/>
          <w:spacing w:val="-5"/>
          <w:vertAlign w:val="baseline"/>
        </w:rPr>
        <w:t> </w:t>
      </w:r>
      <w:r>
        <w:rPr>
          <w:color w:val="231F20"/>
          <w:vertAlign w:val="baseline"/>
        </w:rPr>
        <w:t>Policy.</w:t>
      </w:r>
      <w:r>
        <w:rPr>
          <w:color w:val="231F20"/>
          <w:spacing w:val="-5"/>
          <w:vertAlign w:val="baseline"/>
        </w:rPr>
        <w:t> </w:t>
      </w:r>
      <w:r>
        <w:rPr>
          <w:color w:val="231F20"/>
          <w:vertAlign w:val="baseline"/>
        </w:rPr>
        <w:t>(2020).</w:t>
      </w:r>
      <w:r>
        <w:rPr>
          <w:color w:val="231F20"/>
          <w:spacing w:val="-4"/>
          <w:vertAlign w:val="baseline"/>
        </w:rPr>
        <w:t> </w:t>
      </w:r>
      <w:r>
        <w:rPr>
          <w:i/>
          <w:color w:val="231F20"/>
          <w:vertAlign w:val="baseline"/>
        </w:rPr>
        <w:t>Remote</w:t>
      </w:r>
      <w:r>
        <w:rPr>
          <w:i/>
          <w:color w:val="231F20"/>
          <w:spacing w:val="-52"/>
          <w:vertAlign w:val="baseline"/>
        </w:rPr>
        <w:t> </w:t>
      </w:r>
      <w:r>
        <w:rPr>
          <w:i/>
          <w:color w:val="231F20"/>
          <w:vertAlign w:val="baseline"/>
        </w:rPr>
        <w:t>patient monitoring (RPM)</w:t>
      </w:r>
      <w:r>
        <w:rPr>
          <w:color w:val="231F20"/>
          <w:vertAlign w:val="baseline"/>
        </w:rPr>
        <w:t>. Public Health Institute.</w:t>
      </w:r>
      <w:r>
        <w:rPr>
          <w:color w:val="231F20"/>
          <w:spacing w:val="1"/>
          <w:vertAlign w:val="baseline"/>
        </w:rPr>
        <w:t> </w:t>
      </w:r>
      <w:hyperlink r:id="rId35">
        <w:r>
          <w:rPr>
            <w:color w:val="3953A4"/>
            <w:u w:val="single" w:color="3953A4"/>
            <w:vertAlign w:val="baseline"/>
          </w:rPr>
          <w:t>https://www.cchpca.org/about/about-telehealth/</w:t>
        </w:r>
      </w:hyperlink>
      <w:r>
        <w:rPr>
          <w:color w:val="3953A4"/>
          <w:spacing w:val="1"/>
          <w:vertAlign w:val="baseline"/>
        </w:rPr>
        <w:t> </w:t>
      </w:r>
      <w:hyperlink r:id="rId35">
        <w:r>
          <w:rPr>
            <w:color w:val="3953A4"/>
            <w:u w:val="single" w:color="3953A4"/>
            <w:vertAlign w:val="baseline"/>
          </w:rPr>
          <w:t>remote-patient-monitoring-rpm</w:t>
        </w:r>
      </w:hyperlink>
    </w:p>
    <w:p>
      <w:pPr>
        <w:spacing w:line="228" w:lineRule="auto" w:before="89"/>
        <w:ind w:left="479" w:right="1017" w:hanging="360"/>
        <w:jc w:val="both"/>
        <w:rPr>
          <w:sz w:val="22"/>
        </w:rPr>
      </w:pPr>
      <w:r>
        <w:rPr>
          <w:color w:val="231F20"/>
          <w:spacing w:val="-4"/>
          <w:sz w:val="22"/>
          <w:vertAlign w:val="superscript"/>
        </w:rPr>
        <w:t>17</w:t>
      </w:r>
      <w:r>
        <w:rPr>
          <w:color w:val="231F20"/>
          <w:spacing w:val="-3"/>
          <w:sz w:val="22"/>
          <w:vertAlign w:val="baseline"/>
        </w:rPr>
        <w:t> </w:t>
      </w:r>
      <w:r>
        <w:rPr>
          <w:color w:val="231F20"/>
          <w:spacing w:val="-4"/>
          <w:sz w:val="22"/>
          <w:vertAlign w:val="baseline"/>
        </w:rPr>
        <w:t>Centers for Disease Control </w:t>
      </w:r>
      <w:r>
        <w:rPr>
          <w:color w:val="231F20"/>
          <w:spacing w:val="-3"/>
          <w:sz w:val="22"/>
          <w:vertAlign w:val="baseline"/>
        </w:rPr>
        <w:t>and Prevention. (2020).</w:t>
      </w:r>
      <w:r>
        <w:rPr>
          <w:color w:val="231F20"/>
          <w:spacing w:val="-52"/>
          <w:sz w:val="22"/>
          <w:vertAlign w:val="baseline"/>
        </w:rPr>
        <w:t> </w:t>
      </w:r>
      <w:r>
        <w:rPr>
          <w:i/>
          <w:color w:val="231F20"/>
          <w:spacing w:val="-5"/>
          <w:sz w:val="22"/>
          <w:vertAlign w:val="baseline"/>
        </w:rPr>
        <w:t>Telehealth interventions to </w:t>
      </w:r>
      <w:r>
        <w:rPr>
          <w:i/>
          <w:color w:val="231F20"/>
          <w:spacing w:val="-4"/>
          <w:sz w:val="22"/>
          <w:vertAlign w:val="baseline"/>
        </w:rPr>
        <w:t>improve chronic disease</w:t>
      </w:r>
      <w:r>
        <w:rPr>
          <w:color w:val="231F20"/>
          <w:spacing w:val="-4"/>
          <w:sz w:val="22"/>
          <w:vertAlign w:val="baseline"/>
        </w:rPr>
        <w:t>.</w:t>
      </w:r>
      <w:r>
        <w:rPr>
          <w:color w:val="231F20"/>
          <w:spacing w:val="-53"/>
          <w:sz w:val="22"/>
          <w:vertAlign w:val="baseline"/>
        </w:rPr>
        <w:t> </w:t>
      </w:r>
      <w:hyperlink r:id="rId36">
        <w:r>
          <w:rPr>
            <w:color w:val="3953A4"/>
            <w:sz w:val="22"/>
            <w:u w:val="single" w:color="3953A4"/>
            <w:vertAlign w:val="baseline"/>
          </w:rPr>
          <w:t>https://www.cdc.gov/dhdsp/pubs/telehealth.htm</w:t>
        </w:r>
      </w:hyperlink>
    </w:p>
    <w:p>
      <w:pPr>
        <w:pStyle w:val="BodyText"/>
        <w:tabs>
          <w:tab w:pos="479" w:val="left" w:leader="none"/>
        </w:tabs>
        <w:spacing w:line="228" w:lineRule="auto" w:before="89"/>
        <w:ind w:left="480" w:right="736" w:hanging="360"/>
      </w:pPr>
      <w:r>
        <w:rPr>
          <w:color w:val="231F20"/>
          <w:vertAlign w:val="superscript"/>
        </w:rPr>
        <w:t>18</w:t>
      </w:r>
      <w:r>
        <w:rPr>
          <w:color w:val="231F20"/>
          <w:vertAlign w:val="baseline"/>
        </w:rPr>
        <w:tab/>
      </w:r>
      <w:r>
        <w:rPr>
          <w:color w:val="231F20"/>
          <w:spacing w:val="-1"/>
          <w:vertAlign w:val="baseline"/>
        </w:rPr>
        <w:t>National</w:t>
      </w:r>
      <w:r>
        <w:rPr>
          <w:color w:val="231F20"/>
          <w:spacing w:val="-2"/>
          <w:vertAlign w:val="baseline"/>
        </w:rPr>
        <w:t> </w:t>
      </w:r>
      <w:r>
        <w:rPr>
          <w:color w:val="231F20"/>
          <w:vertAlign w:val="baseline"/>
        </w:rPr>
        <w:t>Institute</w:t>
      </w:r>
      <w:r>
        <w:rPr>
          <w:color w:val="231F20"/>
          <w:spacing w:val="-2"/>
          <w:vertAlign w:val="baseline"/>
        </w:rPr>
        <w:t> </w:t>
      </w:r>
      <w:r>
        <w:rPr>
          <w:color w:val="231F20"/>
          <w:vertAlign w:val="baseline"/>
        </w:rPr>
        <w:t>on</w:t>
      </w:r>
      <w:r>
        <w:rPr>
          <w:color w:val="231F20"/>
          <w:spacing w:val="-14"/>
          <w:vertAlign w:val="baseline"/>
        </w:rPr>
        <w:t> </w:t>
      </w:r>
      <w:r>
        <w:rPr>
          <w:color w:val="231F20"/>
          <w:vertAlign w:val="baseline"/>
        </w:rPr>
        <w:t>Alcohol</w:t>
      </w:r>
      <w:r>
        <w:rPr>
          <w:color w:val="231F20"/>
          <w:spacing w:val="-13"/>
          <w:vertAlign w:val="baseline"/>
        </w:rPr>
        <w:t> </w:t>
      </w:r>
      <w:r>
        <w:rPr>
          <w:color w:val="231F20"/>
          <w:vertAlign w:val="baseline"/>
        </w:rPr>
        <w:t>Abuse</w:t>
      </w:r>
      <w:r>
        <w:rPr>
          <w:color w:val="231F20"/>
          <w:spacing w:val="-1"/>
          <w:vertAlign w:val="baseline"/>
        </w:rPr>
        <w:t> </w:t>
      </w:r>
      <w:r>
        <w:rPr>
          <w:color w:val="231F20"/>
          <w:vertAlign w:val="baseline"/>
        </w:rPr>
        <w:t>and</w:t>
      </w:r>
      <w:r>
        <w:rPr>
          <w:color w:val="231F20"/>
          <w:spacing w:val="-14"/>
          <w:vertAlign w:val="baseline"/>
        </w:rPr>
        <w:t> </w:t>
      </w:r>
      <w:r>
        <w:rPr>
          <w:color w:val="231F20"/>
          <w:vertAlign w:val="baseline"/>
        </w:rPr>
        <w:t>Alcoholism.</w:t>
      </w:r>
      <w:r>
        <w:rPr>
          <w:color w:val="231F20"/>
          <w:spacing w:val="-52"/>
          <w:vertAlign w:val="baseline"/>
        </w:rPr>
        <w:t> </w:t>
      </w:r>
      <w:r>
        <w:rPr>
          <w:color w:val="231F20"/>
          <w:vertAlign w:val="baseline"/>
        </w:rPr>
        <w:t>(2020). E-health technology and what it means for</w:t>
      </w:r>
      <w:r>
        <w:rPr>
          <w:color w:val="231F20"/>
          <w:spacing w:val="1"/>
          <w:vertAlign w:val="baseline"/>
        </w:rPr>
        <w:t> </w:t>
      </w:r>
      <w:r>
        <w:rPr>
          <w:color w:val="231F20"/>
          <w:vertAlign w:val="baseline"/>
        </w:rPr>
        <w:t>the alcohol field. </w:t>
      </w:r>
      <w:r>
        <w:rPr>
          <w:i/>
          <w:color w:val="231F20"/>
          <w:vertAlign w:val="baseline"/>
        </w:rPr>
        <w:t>Alcohol Alert</w:t>
      </w:r>
      <w:r>
        <w:rPr>
          <w:color w:val="231F20"/>
          <w:vertAlign w:val="baseline"/>
        </w:rPr>
        <w:t>. </w:t>
      </w:r>
      <w:hyperlink r:id="rId37">
        <w:r>
          <w:rPr>
            <w:color w:val="3953A4"/>
            <w:u w:val="single" w:color="3953A4"/>
            <w:vertAlign w:val="baseline"/>
          </w:rPr>
          <w:t>https://pubs.niaaa.</w:t>
        </w:r>
      </w:hyperlink>
      <w:r>
        <w:rPr>
          <w:color w:val="3953A4"/>
          <w:spacing w:val="1"/>
          <w:vertAlign w:val="baseline"/>
        </w:rPr>
        <w:t> </w:t>
      </w:r>
      <w:hyperlink r:id="rId37">
        <w:r>
          <w:rPr>
            <w:color w:val="3953A4"/>
            <w:u w:val="single" w:color="3953A4"/>
            <w:vertAlign w:val="baseline"/>
          </w:rPr>
          <w:t>nih.gov/publications/aa88/AA88.pdf</w:t>
        </w:r>
      </w:hyperlink>
    </w:p>
    <w:p>
      <w:pPr>
        <w:pStyle w:val="BodyText"/>
        <w:tabs>
          <w:tab w:pos="479" w:val="left" w:leader="none"/>
        </w:tabs>
        <w:spacing w:line="228" w:lineRule="auto" w:before="88"/>
        <w:ind w:left="480" w:right="724" w:hanging="360"/>
      </w:pPr>
      <w:r>
        <w:rPr>
          <w:color w:val="231F20"/>
          <w:vertAlign w:val="superscript"/>
        </w:rPr>
        <w:t>19</w:t>
      </w:r>
      <w:r>
        <w:rPr>
          <w:color w:val="231F20"/>
          <w:vertAlign w:val="baseline"/>
        </w:rPr>
        <w:tab/>
        <w:t>Center for Connected Health Policy. (2020). </w:t>
      </w:r>
      <w:r>
        <w:rPr>
          <w:i/>
          <w:color w:val="231F20"/>
          <w:vertAlign w:val="baseline"/>
        </w:rPr>
        <w:t>Store-</w:t>
      </w:r>
      <w:r>
        <w:rPr>
          <w:i/>
          <w:color w:val="231F20"/>
          <w:spacing w:val="1"/>
          <w:vertAlign w:val="baseline"/>
        </w:rPr>
        <w:t> </w:t>
      </w:r>
      <w:r>
        <w:rPr>
          <w:i/>
          <w:color w:val="231F20"/>
          <w:vertAlign w:val="baseline"/>
        </w:rPr>
        <w:t>and-forward</w:t>
      </w:r>
      <w:r>
        <w:rPr>
          <w:i/>
          <w:color w:val="231F20"/>
          <w:spacing w:val="-5"/>
          <w:vertAlign w:val="baseline"/>
        </w:rPr>
        <w:t> </w:t>
      </w:r>
      <w:r>
        <w:rPr>
          <w:i/>
          <w:color w:val="231F20"/>
          <w:vertAlign w:val="baseline"/>
        </w:rPr>
        <w:t>(asynchronous)</w:t>
      </w:r>
      <w:r>
        <w:rPr>
          <w:color w:val="231F20"/>
          <w:vertAlign w:val="baseline"/>
        </w:rPr>
        <w:t>.</w:t>
      </w:r>
      <w:r>
        <w:rPr>
          <w:color w:val="231F20"/>
          <w:spacing w:val="-4"/>
          <w:vertAlign w:val="baseline"/>
        </w:rPr>
        <w:t> </w:t>
      </w:r>
      <w:r>
        <w:rPr>
          <w:color w:val="231F20"/>
          <w:vertAlign w:val="baseline"/>
        </w:rPr>
        <w:t>Public</w:t>
      </w:r>
      <w:r>
        <w:rPr>
          <w:color w:val="231F20"/>
          <w:spacing w:val="-4"/>
          <w:vertAlign w:val="baseline"/>
        </w:rPr>
        <w:t> </w:t>
      </w:r>
      <w:r>
        <w:rPr>
          <w:color w:val="231F20"/>
          <w:vertAlign w:val="baseline"/>
        </w:rPr>
        <w:t>Health</w:t>
      </w:r>
      <w:r>
        <w:rPr>
          <w:color w:val="231F20"/>
          <w:spacing w:val="-4"/>
          <w:vertAlign w:val="baseline"/>
        </w:rPr>
        <w:t> </w:t>
      </w:r>
      <w:r>
        <w:rPr>
          <w:color w:val="231F20"/>
          <w:vertAlign w:val="baseline"/>
        </w:rPr>
        <w:t>Institute.</w:t>
      </w:r>
      <w:r>
        <w:rPr>
          <w:color w:val="231F20"/>
          <w:spacing w:val="-52"/>
          <w:vertAlign w:val="baseline"/>
        </w:rPr>
        <w:t> </w:t>
      </w:r>
      <w:hyperlink r:id="rId38">
        <w:r>
          <w:rPr>
            <w:color w:val="3953A4"/>
            <w:spacing w:val="-1"/>
            <w:u w:val="single" w:color="3953A4"/>
            <w:vertAlign w:val="baseline"/>
          </w:rPr>
          <w:t>https://www.cchpca.org/about/about-telehealth/store-</w:t>
        </w:r>
      </w:hyperlink>
      <w:r>
        <w:rPr>
          <w:color w:val="3953A4"/>
          <w:spacing w:val="-52"/>
          <w:vertAlign w:val="baseline"/>
        </w:rPr>
        <w:t> </w:t>
      </w:r>
      <w:hyperlink r:id="rId38">
        <w:r>
          <w:rPr>
            <w:color w:val="3953A4"/>
            <w:u w:val="single" w:color="3953A4"/>
            <w:vertAlign w:val="baseline"/>
          </w:rPr>
          <w:t>and-forward-asynchronous</w:t>
        </w:r>
      </w:hyperlink>
    </w:p>
    <w:p>
      <w:pPr>
        <w:tabs>
          <w:tab w:pos="479" w:val="left" w:leader="none"/>
        </w:tabs>
        <w:spacing w:line="228" w:lineRule="auto" w:before="89"/>
        <w:ind w:left="480" w:right="735" w:hanging="360"/>
        <w:jc w:val="left"/>
        <w:rPr>
          <w:sz w:val="22"/>
        </w:rPr>
      </w:pPr>
      <w:r>
        <w:rPr>
          <w:color w:val="231F20"/>
          <w:sz w:val="22"/>
          <w:vertAlign w:val="superscript"/>
        </w:rPr>
        <w:t>20</w:t>
      </w:r>
      <w:r>
        <w:rPr>
          <w:color w:val="231F20"/>
          <w:sz w:val="22"/>
          <w:vertAlign w:val="baseline"/>
        </w:rPr>
        <w:tab/>
      </w:r>
      <w:r>
        <w:rPr>
          <w:color w:val="231F20"/>
          <w:spacing w:val="-3"/>
          <w:sz w:val="22"/>
          <w:vertAlign w:val="baseline"/>
        </w:rPr>
        <w:t>Substance Abuse and Mental </w:t>
      </w:r>
      <w:r>
        <w:rPr>
          <w:color w:val="231F20"/>
          <w:spacing w:val="-2"/>
          <w:sz w:val="22"/>
          <w:vertAlign w:val="baseline"/>
        </w:rPr>
        <w:t>Health Services</w:t>
      </w:r>
      <w:r>
        <w:rPr>
          <w:color w:val="231F20"/>
          <w:spacing w:val="-1"/>
          <w:sz w:val="22"/>
          <w:vertAlign w:val="baseline"/>
        </w:rPr>
        <w:t> Administration. </w:t>
      </w:r>
      <w:r>
        <w:rPr>
          <w:color w:val="231F20"/>
          <w:sz w:val="22"/>
          <w:vertAlign w:val="baseline"/>
        </w:rPr>
        <w:t>(2016). </w:t>
      </w:r>
      <w:r>
        <w:rPr>
          <w:i/>
          <w:color w:val="231F20"/>
          <w:sz w:val="22"/>
          <w:vertAlign w:val="baseline"/>
        </w:rPr>
        <w:t>Rural behavioral health:</w:t>
      </w:r>
      <w:r>
        <w:rPr>
          <w:i/>
          <w:color w:val="231F20"/>
          <w:spacing w:val="1"/>
          <w:sz w:val="22"/>
          <w:vertAlign w:val="baseline"/>
        </w:rPr>
        <w:t> </w:t>
      </w:r>
      <w:r>
        <w:rPr>
          <w:i/>
          <w:color w:val="231F20"/>
          <w:spacing w:val="-3"/>
          <w:sz w:val="22"/>
          <w:vertAlign w:val="baseline"/>
        </w:rPr>
        <w:t>Telehealth challenges and opportunities</w:t>
      </w:r>
      <w:r>
        <w:rPr>
          <w:color w:val="231F20"/>
          <w:spacing w:val="-3"/>
          <w:sz w:val="22"/>
          <w:vertAlign w:val="baseline"/>
        </w:rPr>
        <w:t>. </w:t>
      </w:r>
      <w:hyperlink r:id="rId39">
        <w:r>
          <w:rPr>
            <w:color w:val="3953A4"/>
            <w:spacing w:val="-2"/>
            <w:sz w:val="22"/>
            <w:u w:val="single" w:color="3953A4"/>
            <w:vertAlign w:val="baseline"/>
          </w:rPr>
          <w:t>https://store.</w:t>
        </w:r>
      </w:hyperlink>
      <w:r>
        <w:rPr>
          <w:color w:val="3953A4"/>
          <w:spacing w:val="-1"/>
          <w:sz w:val="22"/>
          <w:vertAlign w:val="baseline"/>
        </w:rPr>
        <w:t> </w:t>
      </w:r>
      <w:hyperlink r:id="rId39">
        <w:r>
          <w:rPr>
            <w:color w:val="3953A4"/>
            <w:spacing w:val="-3"/>
            <w:sz w:val="22"/>
            <w:u w:val="single" w:color="3953A4"/>
            <w:vertAlign w:val="baseline"/>
          </w:rPr>
          <w:t>samhsa.gov/sites/default/files/d7/priv/sma16-4989.pdf</w:t>
        </w:r>
      </w:hyperlink>
    </w:p>
    <w:p>
      <w:pPr>
        <w:pStyle w:val="BodyText"/>
        <w:tabs>
          <w:tab w:pos="479" w:val="left" w:leader="none"/>
        </w:tabs>
        <w:spacing w:line="228" w:lineRule="auto" w:before="89"/>
        <w:ind w:left="480" w:right="799" w:hanging="360"/>
      </w:pPr>
      <w:r>
        <w:rPr>
          <w:color w:val="231F20"/>
          <w:vertAlign w:val="superscript"/>
        </w:rPr>
        <w:t>21</w:t>
      </w:r>
      <w:r>
        <w:rPr>
          <w:color w:val="231F20"/>
          <w:vertAlign w:val="baseline"/>
        </w:rPr>
        <w:tab/>
        <w:t>Morehouse School of Medicine. (2020). </w:t>
      </w:r>
      <w:r>
        <w:rPr>
          <w:i/>
          <w:color w:val="231F20"/>
          <w:vertAlign w:val="baseline"/>
        </w:rPr>
        <w:t>Health</w:t>
      </w:r>
      <w:r>
        <w:rPr>
          <w:i/>
          <w:color w:val="231F20"/>
          <w:spacing w:val="1"/>
          <w:vertAlign w:val="baseline"/>
        </w:rPr>
        <w:t> </w:t>
      </w:r>
      <w:r>
        <w:rPr>
          <w:i/>
          <w:color w:val="231F20"/>
          <w:vertAlign w:val="baseline"/>
        </w:rPr>
        <w:t>information technology division</w:t>
      </w:r>
      <w:r>
        <w:rPr>
          <w:color w:val="231F20"/>
          <w:vertAlign w:val="baseline"/>
        </w:rPr>
        <w:t>. </w:t>
      </w:r>
      <w:hyperlink r:id="rId40">
        <w:r>
          <w:rPr>
            <w:color w:val="3953A4"/>
            <w:u w:val="single" w:color="3953A4"/>
            <w:vertAlign w:val="baseline"/>
          </w:rPr>
          <w:t>https://www.msm.</w:t>
        </w:r>
      </w:hyperlink>
      <w:r>
        <w:rPr>
          <w:color w:val="3953A4"/>
          <w:spacing w:val="-52"/>
          <w:vertAlign w:val="baseline"/>
        </w:rPr>
        <w:t> </w:t>
      </w:r>
      <w:hyperlink r:id="rId40">
        <w:r>
          <w:rPr>
            <w:color w:val="3953A4"/>
            <w:u w:val="single" w:color="3953A4"/>
            <w:vertAlign w:val="baseline"/>
          </w:rPr>
          <w:t>edu/Research/research_centersandinstitutes/NCPC/</w:t>
        </w:r>
      </w:hyperlink>
      <w:r>
        <w:rPr>
          <w:color w:val="3953A4"/>
          <w:spacing w:val="1"/>
          <w:vertAlign w:val="baseline"/>
        </w:rPr>
        <w:t> </w:t>
      </w:r>
      <w:hyperlink r:id="rId40">
        <w:r>
          <w:rPr>
            <w:color w:val="3953A4"/>
            <w:spacing w:val="-1"/>
            <w:u w:val="single" w:color="3953A4"/>
            <w:vertAlign w:val="baseline"/>
          </w:rPr>
          <w:t>divisions/health-information-technology/history.php</w:t>
        </w:r>
      </w:hyperlink>
    </w:p>
    <w:p>
      <w:pPr>
        <w:spacing w:after="0" w:line="228" w:lineRule="auto"/>
        <w:sectPr>
          <w:type w:val="continuous"/>
          <w:pgSz w:w="12240" w:h="15840"/>
          <w:pgMar w:header="0" w:footer="666" w:top="1500" w:bottom="0" w:left="600" w:right="0"/>
          <w:cols w:num="2" w:equalWidth="0">
            <w:col w:w="5200" w:space="560"/>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tabs>
          <w:tab w:pos="479" w:val="left" w:leader="none"/>
        </w:tabs>
        <w:spacing w:line="246" w:lineRule="exact" w:before="91"/>
        <w:ind w:left="120"/>
      </w:pPr>
      <w:r>
        <w:rPr>
          <w:color w:val="231F20"/>
          <w:vertAlign w:val="superscript"/>
        </w:rPr>
        <w:t>22</w:t>
      </w:r>
      <w:r>
        <w:rPr>
          <w:color w:val="231F20"/>
          <w:vertAlign w:val="baseline"/>
        </w:rPr>
        <w:tab/>
      </w:r>
      <w:r>
        <w:rPr>
          <w:color w:val="231F20"/>
          <w:spacing w:val="-1"/>
          <w:vertAlign w:val="baseline"/>
        </w:rPr>
        <w:t>Kim,</w:t>
      </w:r>
      <w:r>
        <w:rPr>
          <w:color w:val="231F20"/>
          <w:spacing w:val="-4"/>
          <w:vertAlign w:val="baseline"/>
        </w:rPr>
        <w:t> </w:t>
      </w:r>
      <w:r>
        <w:rPr>
          <w:color w:val="231F20"/>
          <w:spacing w:val="-1"/>
          <w:vertAlign w:val="baseline"/>
        </w:rPr>
        <w:t>T.</w:t>
      </w:r>
      <w:r>
        <w:rPr>
          <w:color w:val="231F20"/>
          <w:vertAlign w:val="baseline"/>
        </w:rPr>
        <w:t> </w:t>
      </w:r>
      <w:r>
        <w:rPr>
          <w:color w:val="231F20"/>
          <w:spacing w:val="-1"/>
          <w:vertAlign w:val="baseline"/>
        </w:rPr>
        <w:t>J.,</w:t>
      </w:r>
      <w:r>
        <w:rPr>
          <w:color w:val="231F20"/>
          <w:spacing w:val="-13"/>
          <w:vertAlign w:val="baseline"/>
        </w:rPr>
        <w:t> </w:t>
      </w:r>
      <w:r>
        <w:rPr>
          <w:color w:val="231F20"/>
          <w:spacing w:val="-1"/>
          <w:vertAlign w:val="baseline"/>
        </w:rPr>
        <w:t>Arrieta,</w:t>
      </w:r>
      <w:r>
        <w:rPr>
          <w:color w:val="231F20"/>
          <w:vertAlign w:val="baseline"/>
        </w:rPr>
        <w:t> </w:t>
      </w:r>
      <w:r>
        <w:rPr>
          <w:color w:val="231F20"/>
          <w:spacing w:val="-1"/>
          <w:vertAlign w:val="baseline"/>
        </w:rPr>
        <w:t>M.</w:t>
      </w:r>
      <w:r>
        <w:rPr>
          <w:color w:val="231F20"/>
          <w:vertAlign w:val="baseline"/>
        </w:rPr>
        <w:t> I.,</w:t>
      </w:r>
      <w:r>
        <w:rPr>
          <w:color w:val="231F20"/>
          <w:spacing w:val="1"/>
          <w:vertAlign w:val="baseline"/>
        </w:rPr>
        <w:t> </w:t>
      </w:r>
      <w:r>
        <w:rPr>
          <w:color w:val="231F20"/>
          <w:vertAlign w:val="baseline"/>
        </w:rPr>
        <w:t>Eastburn, S. L., Icenogle,</w:t>
      </w:r>
    </w:p>
    <w:p>
      <w:pPr>
        <w:spacing w:line="228" w:lineRule="auto" w:before="4"/>
        <w:ind w:left="480" w:right="327" w:firstLine="0"/>
        <w:jc w:val="left"/>
        <w:rPr>
          <w:i/>
          <w:sz w:val="22"/>
        </w:rPr>
      </w:pPr>
      <w:r>
        <w:rPr>
          <w:color w:val="231F20"/>
          <w:spacing w:val="-1"/>
          <w:sz w:val="22"/>
        </w:rPr>
        <w:t>M. L., </w:t>
      </w:r>
      <w:r>
        <w:rPr>
          <w:color w:val="231F20"/>
          <w:sz w:val="22"/>
        </w:rPr>
        <w:t>Slagle, M., Nuriddin, A. H., Brantley, K.</w:t>
      </w:r>
      <w:r>
        <w:rPr>
          <w:color w:val="231F20"/>
          <w:spacing w:val="1"/>
          <w:sz w:val="22"/>
        </w:rPr>
        <w:t> </w:t>
      </w:r>
      <w:r>
        <w:rPr>
          <w:color w:val="231F20"/>
          <w:spacing w:val="-2"/>
          <w:sz w:val="22"/>
        </w:rPr>
        <w:t>M., Foreman, R. D., </w:t>
      </w:r>
      <w:r>
        <w:rPr>
          <w:color w:val="231F20"/>
          <w:spacing w:val="-1"/>
          <w:sz w:val="22"/>
        </w:rPr>
        <w:t>&amp; Buckner, A. V. (2013).</w:t>
      </w:r>
      <w:r>
        <w:rPr>
          <w:color w:val="231F20"/>
          <w:sz w:val="22"/>
        </w:rPr>
        <w:t> Post-disaster gulf coast recovery using telehealth.</w:t>
      </w:r>
      <w:r>
        <w:rPr>
          <w:color w:val="231F20"/>
          <w:spacing w:val="-53"/>
          <w:sz w:val="22"/>
        </w:rPr>
        <w:t> </w:t>
      </w:r>
      <w:r>
        <w:rPr>
          <w:i/>
          <w:color w:val="231F20"/>
          <w:sz w:val="22"/>
        </w:rPr>
        <w:t>Telemedicine</w:t>
      </w:r>
      <w:r>
        <w:rPr>
          <w:i/>
          <w:color w:val="231F20"/>
          <w:spacing w:val="-5"/>
          <w:sz w:val="22"/>
        </w:rPr>
        <w:t> </w:t>
      </w:r>
      <w:r>
        <w:rPr>
          <w:i/>
          <w:color w:val="231F20"/>
          <w:sz w:val="22"/>
        </w:rPr>
        <w:t>Journal</w:t>
      </w:r>
      <w:r>
        <w:rPr>
          <w:i/>
          <w:color w:val="231F20"/>
          <w:spacing w:val="-4"/>
          <w:sz w:val="22"/>
        </w:rPr>
        <w:t> </w:t>
      </w:r>
      <w:r>
        <w:rPr>
          <w:i/>
          <w:color w:val="231F20"/>
          <w:sz w:val="22"/>
        </w:rPr>
        <w:t>and</w:t>
      </w:r>
      <w:r>
        <w:rPr>
          <w:i/>
          <w:color w:val="231F20"/>
          <w:spacing w:val="-5"/>
          <w:sz w:val="22"/>
        </w:rPr>
        <w:t> </w:t>
      </w:r>
      <w:r>
        <w:rPr>
          <w:i/>
          <w:color w:val="231F20"/>
          <w:sz w:val="22"/>
        </w:rPr>
        <w:t>e-health:</w:t>
      </w:r>
      <w:r>
        <w:rPr>
          <w:i/>
          <w:color w:val="231F20"/>
          <w:spacing w:val="-4"/>
          <w:sz w:val="22"/>
        </w:rPr>
        <w:t> </w:t>
      </w:r>
      <w:r>
        <w:rPr>
          <w:i/>
          <w:color w:val="231F20"/>
          <w:sz w:val="22"/>
        </w:rPr>
        <w:t>The</w:t>
      </w:r>
      <w:r>
        <w:rPr>
          <w:i/>
          <w:color w:val="231F20"/>
          <w:spacing w:val="-6"/>
          <w:sz w:val="22"/>
        </w:rPr>
        <w:t> </w:t>
      </w:r>
      <w:r>
        <w:rPr>
          <w:i/>
          <w:color w:val="231F20"/>
          <w:sz w:val="22"/>
        </w:rPr>
        <w:t>Official</w:t>
      </w:r>
    </w:p>
    <w:p>
      <w:pPr>
        <w:spacing w:line="228" w:lineRule="auto" w:before="0"/>
        <w:ind w:left="480" w:right="205" w:firstLine="0"/>
        <w:jc w:val="left"/>
        <w:rPr>
          <w:sz w:val="22"/>
        </w:rPr>
      </w:pPr>
      <w:r>
        <w:rPr>
          <w:i/>
          <w:color w:val="231F20"/>
          <w:sz w:val="22"/>
        </w:rPr>
        <w:t>Journal</w:t>
      </w:r>
      <w:r>
        <w:rPr>
          <w:i/>
          <w:color w:val="231F20"/>
          <w:spacing w:val="-7"/>
          <w:sz w:val="22"/>
        </w:rPr>
        <w:t> </w:t>
      </w:r>
      <w:r>
        <w:rPr>
          <w:i/>
          <w:color w:val="231F20"/>
          <w:sz w:val="22"/>
        </w:rPr>
        <w:t>of</w:t>
      </w:r>
      <w:r>
        <w:rPr>
          <w:i/>
          <w:color w:val="231F20"/>
          <w:spacing w:val="-7"/>
          <w:sz w:val="22"/>
        </w:rPr>
        <w:t> </w:t>
      </w:r>
      <w:r>
        <w:rPr>
          <w:i/>
          <w:color w:val="231F20"/>
          <w:sz w:val="22"/>
        </w:rPr>
        <w:t>the</w:t>
      </w:r>
      <w:r>
        <w:rPr>
          <w:i/>
          <w:color w:val="231F20"/>
          <w:spacing w:val="-11"/>
          <w:sz w:val="22"/>
        </w:rPr>
        <w:t> </w:t>
      </w:r>
      <w:r>
        <w:rPr>
          <w:i/>
          <w:color w:val="231F20"/>
          <w:sz w:val="22"/>
        </w:rPr>
        <w:t>American</w:t>
      </w:r>
      <w:r>
        <w:rPr>
          <w:i/>
          <w:color w:val="231F20"/>
          <w:spacing w:val="-7"/>
          <w:sz w:val="22"/>
        </w:rPr>
        <w:t> </w:t>
      </w:r>
      <w:r>
        <w:rPr>
          <w:i/>
          <w:color w:val="231F20"/>
          <w:sz w:val="22"/>
        </w:rPr>
        <w:t>Telemedicine</w:t>
      </w:r>
      <w:r>
        <w:rPr>
          <w:i/>
          <w:color w:val="231F20"/>
          <w:spacing w:val="-11"/>
          <w:sz w:val="22"/>
        </w:rPr>
        <w:t> </w:t>
      </w:r>
      <w:r>
        <w:rPr>
          <w:i/>
          <w:color w:val="231F20"/>
          <w:sz w:val="22"/>
        </w:rPr>
        <w:t>Association,</w:t>
      </w:r>
      <w:r>
        <w:rPr>
          <w:i/>
          <w:color w:val="231F20"/>
          <w:spacing w:val="-52"/>
          <w:sz w:val="22"/>
        </w:rPr>
        <w:t> </w:t>
      </w:r>
      <w:r>
        <w:rPr>
          <w:i/>
          <w:color w:val="231F20"/>
          <w:sz w:val="22"/>
        </w:rPr>
        <w:t>19</w:t>
      </w:r>
      <w:r>
        <w:rPr>
          <w:color w:val="231F20"/>
          <w:sz w:val="22"/>
        </w:rPr>
        <w:t>(3), 200-210. </w:t>
      </w:r>
      <w:hyperlink r:id="rId41">
        <w:r>
          <w:rPr>
            <w:color w:val="3953A4"/>
            <w:sz w:val="22"/>
            <w:u w:val="single" w:color="3953A4"/>
          </w:rPr>
          <w:t>https://doi.org/10.1089/</w:t>
        </w:r>
      </w:hyperlink>
      <w:r>
        <w:rPr>
          <w:color w:val="3953A4"/>
          <w:spacing w:val="1"/>
          <w:sz w:val="22"/>
        </w:rPr>
        <w:t> </w:t>
      </w:r>
      <w:hyperlink r:id="rId41">
        <w:r>
          <w:rPr>
            <w:color w:val="3953A4"/>
            <w:sz w:val="22"/>
            <w:u w:val="single" w:color="3953A4"/>
          </w:rPr>
          <w:t>tmj.2012.0100</w:t>
        </w:r>
      </w:hyperlink>
    </w:p>
    <w:p>
      <w:pPr>
        <w:pStyle w:val="BodyText"/>
        <w:tabs>
          <w:tab w:pos="479" w:val="left" w:leader="none"/>
        </w:tabs>
        <w:spacing w:line="228" w:lineRule="auto" w:before="87"/>
        <w:ind w:left="480" w:right="408" w:hanging="360"/>
        <w:rPr>
          <w:i/>
        </w:rPr>
      </w:pPr>
      <w:r>
        <w:rPr>
          <w:color w:val="231F20"/>
          <w:vertAlign w:val="superscript"/>
        </w:rPr>
        <w:t>23</w:t>
      </w:r>
      <w:r>
        <w:rPr>
          <w:color w:val="231F20"/>
          <w:vertAlign w:val="baseline"/>
        </w:rPr>
        <w:tab/>
        <w:t>Uscher-Pines,</w:t>
      </w:r>
      <w:r>
        <w:rPr>
          <w:color w:val="231F20"/>
          <w:spacing w:val="-8"/>
          <w:vertAlign w:val="baseline"/>
        </w:rPr>
        <w:t> </w:t>
      </w:r>
      <w:r>
        <w:rPr>
          <w:color w:val="231F20"/>
          <w:vertAlign w:val="baseline"/>
        </w:rPr>
        <w:t>L.,</w:t>
      </w:r>
      <w:r>
        <w:rPr>
          <w:color w:val="231F20"/>
          <w:spacing w:val="-7"/>
          <w:vertAlign w:val="baseline"/>
        </w:rPr>
        <w:t> </w:t>
      </w:r>
      <w:r>
        <w:rPr>
          <w:color w:val="231F20"/>
          <w:vertAlign w:val="baseline"/>
        </w:rPr>
        <w:t>Fischer,</w:t>
      </w:r>
      <w:r>
        <w:rPr>
          <w:color w:val="231F20"/>
          <w:spacing w:val="-7"/>
          <w:vertAlign w:val="baseline"/>
        </w:rPr>
        <w:t> </w:t>
      </w:r>
      <w:r>
        <w:rPr>
          <w:color w:val="231F20"/>
          <w:vertAlign w:val="baseline"/>
        </w:rPr>
        <w:t>S.,</w:t>
      </w:r>
      <w:r>
        <w:rPr>
          <w:color w:val="231F20"/>
          <w:spacing w:val="-10"/>
          <w:vertAlign w:val="baseline"/>
        </w:rPr>
        <w:t> </w:t>
      </w:r>
      <w:r>
        <w:rPr>
          <w:color w:val="231F20"/>
          <w:vertAlign w:val="baseline"/>
        </w:rPr>
        <w:t>Tong,</w:t>
      </w:r>
      <w:r>
        <w:rPr>
          <w:color w:val="231F20"/>
          <w:spacing w:val="-8"/>
          <w:vertAlign w:val="baseline"/>
        </w:rPr>
        <w:t> </w:t>
      </w:r>
      <w:r>
        <w:rPr>
          <w:color w:val="231F20"/>
          <w:vertAlign w:val="baseline"/>
        </w:rPr>
        <w:t>I.,</w:t>
      </w:r>
      <w:r>
        <w:rPr>
          <w:color w:val="231F20"/>
          <w:spacing w:val="-7"/>
          <w:vertAlign w:val="baseline"/>
        </w:rPr>
        <w:t> </w:t>
      </w:r>
      <w:r>
        <w:rPr>
          <w:color w:val="231F20"/>
          <w:vertAlign w:val="baseline"/>
        </w:rPr>
        <w:t>Mehrotra,</w:t>
      </w:r>
      <w:r>
        <w:rPr>
          <w:color w:val="231F20"/>
          <w:spacing w:val="-52"/>
          <w:vertAlign w:val="baseline"/>
        </w:rPr>
        <w:t> </w:t>
      </w:r>
      <w:r>
        <w:rPr>
          <w:color w:val="231F20"/>
          <w:vertAlign w:val="baseline"/>
        </w:rPr>
        <w:t>A., Malsberger, R., &amp; Ray, K. (2018). Virtual</w:t>
      </w:r>
      <w:r>
        <w:rPr>
          <w:color w:val="231F20"/>
          <w:spacing w:val="1"/>
          <w:vertAlign w:val="baseline"/>
        </w:rPr>
        <w:t> </w:t>
      </w:r>
      <w:r>
        <w:rPr>
          <w:color w:val="231F20"/>
          <w:vertAlign w:val="baseline"/>
        </w:rPr>
        <w:t>first responders: The role of direct-to-consumer</w:t>
      </w:r>
      <w:r>
        <w:rPr>
          <w:color w:val="231F20"/>
          <w:spacing w:val="1"/>
          <w:vertAlign w:val="baseline"/>
        </w:rPr>
        <w:t> </w:t>
      </w:r>
      <w:r>
        <w:rPr>
          <w:color w:val="231F20"/>
          <w:vertAlign w:val="baseline"/>
        </w:rPr>
        <w:t>telemedicine in caring for people impacted by</w:t>
      </w:r>
      <w:r>
        <w:rPr>
          <w:color w:val="231F20"/>
          <w:spacing w:val="1"/>
          <w:vertAlign w:val="baseline"/>
        </w:rPr>
        <w:t> </w:t>
      </w:r>
      <w:r>
        <w:rPr>
          <w:color w:val="231F20"/>
          <w:vertAlign w:val="baseline"/>
        </w:rPr>
        <w:t>natural</w:t>
      </w:r>
      <w:r>
        <w:rPr>
          <w:color w:val="231F20"/>
          <w:spacing w:val="-1"/>
          <w:vertAlign w:val="baseline"/>
        </w:rPr>
        <w:t> </w:t>
      </w:r>
      <w:r>
        <w:rPr>
          <w:color w:val="231F20"/>
          <w:vertAlign w:val="baseline"/>
        </w:rPr>
        <w:t>disasters. </w:t>
      </w:r>
      <w:r>
        <w:rPr>
          <w:i/>
          <w:color w:val="231F20"/>
          <w:vertAlign w:val="baseline"/>
        </w:rPr>
        <w:t>Journal of General Internal</w:t>
      </w:r>
    </w:p>
    <w:p>
      <w:pPr>
        <w:pStyle w:val="BodyText"/>
        <w:spacing w:line="228" w:lineRule="auto"/>
        <w:ind w:left="480" w:right="38"/>
      </w:pPr>
      <w:r>
        <w:rPr>
          <w:i/>
          <w:color w:val="231F20"/>
        </w:rPr>
        <w:t>Medicine,</w:t>
      </w:r>
      <w:r>
        <w:rPr>
          <w:i/>
          <w:color w:val="231F20"/>
          <w:spacing w:val="-7"/>
        </w:rPr>
        <w:t> </w:t>
      </w:r>
      <w:r>
        <w:rPr>
          <w:i/>
          <w:color w:val="231F20"/>
        </w:rPr>
        <w:t>33</w:t>
      </w:r>
      <w:r>
        <w:rPr>
          <w:color w:val="231F20"/>
        </w:rPr>
        <w:t>(8),</w:t>
      </w:r>
      <w:r>
        <w:rPr>
          <w:color w:val="231F20"/>
          <w:spacing w:val="-7"/>
        </w:rPr>
        <w:t> </w:t>
      </w:r>
      <w:r>
        <w:rPr>
          <w:color w:val="231F20"/>
        </w:rPr>
        <w:t>1242-1244.</w:t>
      </w:r>
      <w:r>
        <w:rPr>
          <w:color w:val="231F20"/>
          <w:spacing w:val="-6"/>
        </w:rPr>
        <w:t> </w:t>
      </w:r>
      <w:hyperlink r:id="rId42">
        <w:r>
          <w:rPr>
            <w:color w:val="3953A4"/>
            <w:u w:val="single" w:color="3953A4"/>
          </w:rPr>
          <w:t>https://doi.org/10.1007/</w:t>
        </w:r>
      </w:hyperlink>
      <w:r>
        <w:rPr>
          <w:color w:val="3953A4"/>
          <w:spacing w:val="-52"/>
        </w:rPr>
        <w:t> </w:t>
      </w:r>
      <w:hyperlink r:id="rId42">
        <w:r>
          <w:rPr>
            <w:color w:val="3953A4"/>
            <w:u w:val="single" w:color="3953A4"/>
          </w:rPr>
          <w:t>s11606-018-4440-8</w:t>
        </w:r>
      </w:hyperlink>
    </w:p>
    <w:p>
      <w:pPr>
        <w:spacing w:line="228" w:lineRule="auto" w:before="88"/>
        <w:ind w:left="480" w:right="414" w:hanging="360"/>
        <w:jc w:val="both"/>
        <w:rPr>
          <w:sz w:val="22"/>
        </w:rPr>
      </w:pPr>
      <w:r>
        <w:rPr>
          <w:color w:val="231F20"/>
          <w:sz w:val="22"/>
          <w:vertAlign w:val="superscript"/>
        </w:rPr>
        <w:t>24</w:t>
      </w:r>
      <w:r>
        <w:rPr>
          <w:color w:val="231F20"/>
          <w:spacing w:val="1"/>
          <w:sz w:val="22"/>
          <w:vertAlign w:val="baseline"/>
        </w:rPr>
        <w:t> </w:t>
      </w:r>
      <w:r>
        <w:rPr>
          <w:color w:val="231F20"/>
          <w:sz w:val="22"/>
          <w:vertAlign w:val="baseline"/>
        </w:rPr>
        <w:t>RAND Corporation. (2018). </w:t>
      </w:r>
      <w:r>
        <w:rPr>
          <w:i/>
          <w:color w:val="231F20"/>
          <w:sz w:val="22"/>
          <w:vertAlign w:val="baseline"/>
        </w:rPr>
        <w:t>Direct-to-consumer</w:t>
      </w:r>
      <w:r>
        <w:rPr>
          <w:i/>
          <w:color w:val="231F20"/>
          <w:spacing w:val="-52"/>
          <w:sz w:val="22"/>
          <w:vertAlign w:val="baseline"/>
        </w:rPr>
        <w:t> </w:t>
      </w:r>
      <w:r>
        <w:rPr>
          <w:i/>
          <w:color w:val="231F20"/>
          <w:sz w:val="22"/>
          <w:vertAlign w:val="baseline"/>
        </w:rPr>
        <w:t>telemedicine can deliver routine care to affected</w:t>
      </w:r>
      <w:r>
        <w:rPr>
          <w:i/>
          <w:color w:val="231F20"/>
          <w:spacing w:val="-52"/>
          <w:sz w:val="22"/>
          <w:vertAlign w:val="baseline"/>
        </w:rPr>
        <w:t> </w:t>
      </w:r>
      <w:r>
        <w:rPr>
          <w:i/>
          <w:color w:val="231F20"/>
          <w:sz w:val="22"/>
          <w:vertAlign w:val="baseline"/>
        </w:rPr>
        <w:t>people following natural disasters. </w:t>
      </w:r>
      <w:hyperlink r:id="rId43">
        <w:r>
          <w:rPr>
            <w:color w:val="3953A4"/>
            <w:sz w:val="22"/>
            <w:u w:val="single" w:color="3953A4"/>
            <w:vertAlign w:val="baseline"/>
          </w:rPr>
          <w:t>https://www.</w:t>
        </w:r>
      </w:hyperlink>
      <w:r>
        <w:rPr>
          <w:color w:val="3953A4"/>
          <w:spacing w:val="-52"/>
          <w:sz w:val="22"/>
          <w:vertAlign w:val="baseline"/>
        </w:rPr>
        <w:t> </w:t>
      </w:r>
      <w:hyperlink r:id="rId43">
        <w:r>
          <w:rPr>
            <w:color w:val="3953A4"/>
            <w:sz w:val="22"/>
            <w:u w:val="single" w:color="3953A4"/>
            <w:vertAlign w:val="baseline"/>
          </w:rPr>
          <w:t>rand.org/news/press/2018/04/25.html</w:t>
        </w:r>
      </w:hyperlink>
    </w:p>
    <w:p>
      <w:pPr>
        <w:pStyle w:val="BodyText"/>
        <w:spacing w:line="246" w:lineRule="exact" w:before="78"/>
        <w:ind w:left="120"/>
        <w:jc w:val="both"/>
      </w:pPr>
      <w:r>
        <w:rPr>
          <w:color w:val="231F20"/>
          <w:w w:val="95"/>
          <w:vertAlign w:val="superscript"/>
        </w:rPr>
        <w:t>25</w:t>
      </w:r>
      <w:r>
        <w:rPr>
          <w:color w:val="231F20"/>
          <w:spacing w:val="54"/>
          <w:vertAlign w:val="baseline"/>
        </w:rPr>
        <w:t> </w:t>
      </w:r>
      <w:r>
        <w:rPr>
          <w:color w:val="231F20"/>
          <w:spacing w:val="56"/>
          <w:vertAlign w:val="baseline"/>
        </w:rPr>
        <w:t> </w:t>
      </w:r>
      <w:r>
        <w:rPr>
          <w:color w:val="231F20"/>
          <w:w w:val="95"/>
          <w:vertAlign w:val="baseline"/>
        </w:rPr>
        <w:t>Vo,</w:t>
      </w:r>
      <w:r>
        <w:rPr>
          <w:color w:val="231F20"/>
          <w:spacing w:val="-3"/>
          <w:w w:val="95"/>
          <w:vertAlign w:val="baseline"/>
        </w:rPr>
        <w:t> </w:t>
      </w:r>
      <w:r>
        <w:rPr>
          <w:color w:val="231F20"/>
          <w:w w:val="95"/>
          <w:vertAlign w:val="baseline"/>
        </w:rPr>
        <w:t>A.</w:t>
      </w:r>
      <w:r>
        <w:rPr>
          <w:color w:val="231F20"/>
          <w:spacing w:val="11"/>
          <w:w w:val="95"/>
          <w:vertAlign w:val="baseline"/>
        </w:rPr>
        <w:t> </w:t>
      </w:r>
      <w:r>
        <w:rPr>
          <w:color w:val="231F20"/>
          <w:w w:val="95"/>
          <w:vertAlign w:val="baseline"/>
        </w:rPr>
        <w:t>H.,</w:t>
      </w:r>
      <w:r>
        <w:rPr>
          <w:color w:val="231F20"/>
          <w:spacing w:val="11"/>
          <w:w w:val="95"/>
          <w:vertAlign w:val="baseline"/>
        </w:rPr>
        <w:t> </w:t>
      </w:r>
      <w:r>
        <w:rPr>
          <w:color w:val="231F20"/>
          <w:w w:val="95"/>
          <w:vertAlign w:val="baseline"/>
        </w:rPr>
        <w:t>Brooks,</w:t>
      </w:r>
      <w:r>
        <w:rPr>
          <w:color w:val="231F20"/>
          <w:spacing w:val="12"/>
          <w:w w:val="95"/>
          <w:vertAlign w:val="baseline"/>
        </w:rPr>
        <w:t> </w:t>
      </w:r>
      <w:r>
        <w:rPr>
          <w:color w:val="231F20"/>
          <w:w w:val="95"/>
          <w:vertAlign w:val="baseline"/>
        </w:rPr>
        <w:t>G.</w:t>
      </w:r>
      <w:r>
        <w:rPr>
          <w:color w:val="231F20"/>
          <w:spacing w:val="11"/>
          <w:w w:val="95"/>
          <w:vertAlign w:val="baseline"/>
        </w:rPr>
        <w:t> </w:t>
      </w:r>
      <w:r>
        <w:rPr>
          <w:color w:val="231F20"/>
          <w:w w:val="95"/>
          <w:vertAlign w:val="baseline"/>
        </w:rPr>
        <w:t>B.,</w:t>
      </w:r>
      <w:r>
        <w:rPr>
          <w:color w:val="231F20"/>
          <w:spacing w:val="13"/>
          <w:w w:val="95"/>
          <w:vertAlign w:val="baseline"/>
        </w:rPr>
        <w:t> </w:t>
      </w:r>
      <w:r>
        <w:rPr>
          <w:color w:val="231F20"/>
          <w:w w:val="95"/>
          <w:vertAlign w:val="baseline"/>
        </w:rPr>
        <w:t>Bourdeau,</w:t>
      </w:r>
      <w:r>
        <w:rPr>
          <w:color w:val="231F20"/>
          <w:spacing w:val="12"/>
          <w:w w:val="95"/>
          <w:vertAlign w:val="baseline"/>
        </w:rPr>
        <w:t> </w:t>
      </w:r>
      <w:r>
        <w:rPr>
          <w:color w:val="231F20"/>
          <w:w w:val="95"/>
          <w:vertAlign w:val="baseline"/>
        </w:rPr>
        <w:t>M.,</w:t>
      </w:r>
      <w:r>
        <w:rPr>
          <w:color w:val="231F20"/>
          <w:spacing w:val="11"/>
          <w:w w:val="95"/>
          <w:vertAlign w:val="baseline"/>
        </w:rPr>
        <w:t> </w:t>
      </w:r>
      <w:r>
        <w:rPr>
          <w:color w:val="231F20"/>
          <w:w w:val="95"/>
          <w:vertAlign w:val="baseline"/>
        </w:rPr>
        <w:t>Farr,</w:t>
      </w:r>
    </w:p>
    <w:p>
      <w:pPr>
        <w:pStyle w:val="BodyText"/>
        <w:spacing w:line="228" w:lineRule="auto" w:before="4"/>
        <w:ind w:left="480" w:right="218"/>
      </w:pPr>
      <w:r>
        <w:rPr>
          <w:color w:val="231F20"/>
        </w:rPr>
        <w:t>R., &amp; Raimer, B. G. (2010). University of Texas</w:t>
      </w:r>
      <w:r>
        <w:rPr>
          <w:color w:val="231F20"/>
          <w:spacing w:val="1"/>
        </w:rPr>
        <w:t> </w:t>
      </w:r>
      <w:r>
        <w:rPr>
          <w:color w:val="231F20"/>
        </w:rPr>
        <w:t>medical branch telemedicine disaster response and</w:t>
      </w:r>
      <w:r>
        <w:rPr>
          <w:color w:val="231F20"/>
          <w:spacing w:val="-53"/>
        </w:rPr>
        <w:t> </w:t>
      </w:r>
      <w:r>
        <w:rPr>
          <w:color w:val="231F20"/>
        </w:rPr>
        <w:t>recovery: Lessons</w:t>
      </w:r>
      <w:r>
        <w:rPr>
          <w:color w:val="231F20"/>
          <w:spacing w:val="-1"/>
        </w:rPr>
        <w:t> </w:t>
      </w:r>
      <w:r>
        <w:rPr>
          <w:color w:val="231F20"/>
        </w:rPr>
        <w:t>learned from Hurricane Ike.</w:t>
      </w:r>
    </w:p>
    <w:p>
      <w:pPr>
        <w:spacing w:line="228" w:lineRule="auto" w:before="0"/>
        <w:ind w:left="480" w:right="174" w:firstLine="0"/>
        <w:jc w:val="left"/>
        <w:rPr>
          <w:sz w:val="22"/>
        </w:rPr>
      </w:pPr>
      <w:r>
        <w:rPr>
          <w:i/>
          <w:color w:val="231F20"/>
          <w:sz w:val="22"/>
        </w:rPr>
        <w:t>Telemedicine</w:t>
      </w:r>
      <w:r>
        <w:rPr>
          <w:i/>
          <w:color w:val="231F20"/>
          <w:spacing w:val="-8"/>
          <w:sz w:val="22"/>
        </w:rPr>
        <w:t> </w:t>
      </w:r>
      <w:r>
        <w:rPr>
          <w:i/>
          <w:color w:val="231F20"/>
          <w:sz w:val="22"/>
        </w:rPr>
        <w:t>and</w:t>
      </w:r>
      <w:r>
        <w:rPr>
          <w:i/>
          <w:color w:val="231F20"/>
          <w:spacing w:val="-7"/>
          <w:sz w:val="22"/>
        </w:rPr>
        <w:t> </w:t>
      </w:r>
      <w:r>
        <w:rPr>
          <w:i/>
          <w:color w:val="231F20"/>
          <w:sz w:val="22"/>
        </w:rPr>
        <w:t>e-Health,</w:t>
      </w:r>
      <w:r>
        <w:rPr>
          <w:i/>
          <w:color w:val="231F20"/>
          <w:spacing w:val="-7"/>
          <w:sz w:val="22"/>
        </w:rPr>
        <w:t> </w:t>
      </w:r>
      <w:r>
        <w:rPr>
          <w:i/>
          <w:color w:val="231F20"/>
          <w:sz w:val="22"/>
        </w:rPr>
        <w:t>16</w:t>
      </w:r>
      <w:r>
        <w:rPr>
          <w:color w:val="231F20"/>
          <w:sz w:val="22"/>
        </w:rPr>
        <w:t>(5),</w:t>
      </w:r>
      <w:r>
        <w:rPr>
          <w:color w:val="231F20"/>
          <w:spacing w:val="-7"/>
          <w:sz w:val="22"/>
        </w:rPr>
        <w:t> </w:t>
      </w:r>
      <w:r>
        <w:rPr>
          <w:color w:val="231F20"/>
          <w:sz w:val="22"/>
        </w:rPr>
        <w:t>627-633.</w:t>
      </w:r>
      <w:r>
        <w:rPr>
          <w:color w:val="231F20"/>
          <w:spacing w:val="-7"/>
          <w:sz w:val="22"/>
        </w:rPr>
        <w:t> </w:t>
      </w:r>
      <w:hyperlink r:id="rId44">
        <w:r>
          <w:rPr>
            <w:color w:val="3953A4"/>
            <w:sz w:val="22"/>
            <w:u w:val="single" w:color="3953A4"/>
          </w:rPr>
          <w:t>https://</w:t>
        </w:r>
      </w:hyperlink>
      <w:r>
        <w:rPr>
          <w:color w:val="3953A4"/>
          <w:spacing w:val="-52"/>
          <w:sz w:val="22"/>
        </w:rPr>
        <w:t> </w:t>
      </w:r>
      <w:hyperlink r:id="rId44">
        <w:r>
          <w:rPr>
            <w:color w:val="3953A4"/>
            <w:sz w:val="22"/>
            <w:u w:val="single" w:color="3953A4"/>
          </w:rPr>
          <w:t>doi.org/10.1089/tmj.2009.0162</w:t>
        </w:r>
      </w:hyperlink>
    </w:p>
    <w:p>
      <w:pPr>
        <w:tabs>
          <w:tab w:pos="479" w:val="left" w:leader="none"/>
        </w:tabs>
        <w:spacing w:line="228" w:lineRule="auto" w:before="88"/>
        <w:ind w:left="479" w:right="176" w:hanging="360"/>
        <w:jc w:val="left"/>
        <w:rPr>
          <w:sz w:val="22"/>
        </w:rPr>
      </w:pPr>
      <w:r>
        <w:rPr>
          <w:color w:val="231F20"/>
          <w:sz w:val="22"/>
          <w:vertAlign w:val="superscript"/>
        </w:rPr>
        <w:t>26</w:t>
      </w:r>
      <w:r>
        <w:rPr>
          <w:color w:val="231F20"/>
          <w:sz w:val="22"/>
          <w:vertAlign w:val="baseline"/>
        </w:rPr>
        <w:tab/>
        <w:t>Substance Abuse and Mental Health Services</w:t>
      </w:r>
      <w:r>
        <w:rPr>
          <w:color w:val="231F20"/>
          <w:spacing w:val="1"/>
          <w:sz w:val="22"/>
          <w:vertAlign w:val="baseline"/>
        </w:rPr>
        <w:t> </w:t>
      </w:r>
      <w:r>
        <w:rPr>
          <w:color w:val="231F20"/>
          <w:sz w:val="22"/>
          <w:vertAlign w:val="baseline"/>
        </w:rPr>
        <w:t>Administration. (2020). </w:t>
      </w:r>
      <w:r>
        <w:rPr>
          <w:i/>
          <w:color w:val="231F20"/>
          <w:sz w:val="22"/>
          <w:vertAlign w:val="baseline"/>
        </w:rPr>
        <w:t>2019 national survey on</w:t>
      </w:r>
      <w:r>
        <w:rPr>
          <w:i/>
          <w:color w:val="231F20"/>
          <w:spacing w:val="1"/>
          <w:sz w:val="22"/>
          <w:vertAlign w:val="baseline"/>
        </w:rPr>
        <w:t> </w:t>
      </w:r>
      <w:r>
        <w:rPr>
          <w:i/>
          <w:color w:val="231F20"/>
          <w:sz w:val="22"/>
          <w:vertAlign w:val="baseline"/>
        </w:rPr>
        <w:t>drug</w:t>
      </w:r>
      <w:r>
        <w:rPr>
          <w:i/>
          <w:color w:val="231F20"/>
          <w:spacing w:val="-8"/>
          <w:sz w:val="22"/>
          <w:vertAlign w:val="baseline"/>
        </w:rPr>
        <w:t> </w:t>
      </w:r>
      <w:r>
        <w:rPr>
          <w:i/>
          <w:color w:val="231F20"/>
          <w:sz w:val="22"/>
          <w:vertAlign w:val="baseline"/>
        </w:rPr>
        <w:t>use</w:t>
      </w:r>
      <w:r>
        <w:rPr>
          <w:i/>
          <w:color w:val="231F20"/>
          <w:spacing w:val="-7"/>
          <w:sz w:val="22"/>
          <w:vertAlign w:val="baseline"/>
        </w:rPr>
        <w:t> </w:t>
      </w:r>
      <w:r>
        <w:rPr>
          <w:i/>
          <w:color w:val="231F20"/>
          <w:sz w:val="22"/>
          <w:vertAlign w:val="baseline"/>
        </w:rPr>
        <w:t>and</w:t>
      </w:r>
      <w:r>
        <w:rPr>
          <w:i/>
          <w:color w:val="231F20"/>
          <w:spacing w:val="-7"/>
          <w:sz w:val="22"/>
          <w:vertAlign w:val="baseline"/>
        </w:rPr>
        <w:t> </w:t>
      </w:r>
      <w:r>
        <w:rPr>
          <w:i/>
          <w:color w:val="231F20"/>
          <w:sz w:val="22"/>
          <w:vertAlign w:val="baseline"/>
        </w:rPr>
        <w:t>health</w:t>
      </w:r>
      <w:r>
        <w:rPr>
          <w:color w:val="231F20"/>
          <w:sz w:val="22"/>
          <w:vertAlign w:val="baseline"/>
        </w:rPr>
        <w:t>.</w:t>
      </w:r>
      <w:r>
        <w:rPr>
          <w:color w:val="231F20"/>
          <w:spacing w:val="-7"/>
          <w:sz w:val="22"/>
          <w:vertAlign w:val="baseline"/>
        </w:rPr>
        <w:t> </w:t>
      </w:r>
      <w:hyperlink r:id="rId45">
        <w:r>
          <w:rPr>
            <w:color w:val="3953A4"/>
            <w:sz w:val="22"/>
            <w:u w:val="single" w:color="3953A4"/>
            <w:vertAlign w:val="baseline"/>
          </w:rPr>
          <w:t>https://www.samhsa.gov/data/</w:t>
        </w:r>
      </w:hyperlink>
      <w:r>
        <w:rPr>
          <w:color w:val="3953A4"/>
          <w:spacing w:val="-52"/>
          <w:sz w:val="22"/>
          <w:vertAlign w:val="baseline"/>
        </w:rPr>
        <w:t> </w:t>
      </w:r>
      <w:hyperlink r:id="rId45">
        <w:r>
          <w:rPr>
            <w:color w:val="3953A4"/>
            <w:sz w:val="22"/>
            <w:u w:val="single" w:color="3953A4"/>
            <w:vertAlign w:val="baseline"/>
          </w:rPr>
          <w:t>release/2019-national-survey-drug-use-and-health-</w:t>
        </w:r>
      </w:hyperlink>
      <w:r>
        <w:rPr>
          <w:color w:val="3953A4"/>
          <w:spacing w:val="-52"/>
          <w:sz w:val="22"/>
          <w:vertAlign w:val="baseline"/>
        </w:rPr>
        <w:t> </w:t>
      </w:r>
      <w:hyperlink r:id="rId45">
        <w:r>
          <w:rPr>
            <w:color w:val="3953A4"/>
            <w:sz w:val="22"/>
            <w:u w:val="single" w:color="3953A4"/>
            <w:vertAlign w:val="baseline"/>
          </w:rPr>
          <w:t>nsduh-releases</w:t>
        </w:r>
      </w:hyperlink>
    </w:p>
    <w:p>
      <w:pPr>
        <w:pStyle w:val="BodyText"/>
        <w:tabs>
          <w:tab w:pos="479" w:val="left" w:leader="none"/>
        </w:tabs>
        <w:spacing w:line="228" w:lineRule="auto" w:before="89"/>
        <w:ind w:left="480" w:right="148" w:hanging="360"/>
        <w:rPr>
          <w:i/>
        </w:rPr>
      </w:pPr>
      <w:r>
        <w:rPr>
          <w:color w:val="231F20"/>
          <w:vertAlign w:val="superscript"/>
        </w:rPr>
        <w:t>27</w:t>
      </w:r>
      <w:r>
        <w:rPr>
          <w:color w:val="231F20"/>
          <w:vertAlign w:val="baseline"/>
        </w:rPr>
        <w:tab/>
      </w:r>
      <w:r>
        <w:rPr>
          <w:color w:val="231F20"/>
          <w:spacing w:val="-4"/>
          <w:vertAlign w:val="baseline"/>
        </w:rPr>
        <w:t>Connolly, S. L., Stolzmann, </w:t>
      </w:r>
      <w:r>
        <w:rPr>
          <w:color w:val="231F20"/>
          <w:spacing w:val="-3"/>
          <w:vertAlign w:val="baseline"/>
        </w:rPr>
        <w:t>K. L., Heyworth, L.,</w:t>
      </w:r>
      <w:r>
        <w:rPr>
          <w:color w:val="231F20"/>
          <w:spacing w:val="-2"/>
          <w:vertAlign w:val="baseline"/>
        </w:rPr>
        <w:t> </w:t>
      </w:r>
      <w:r>
        <w:rPr>
          <w:color w:val="231F20"/>
          <w:spacing w:val="-4"/>
          <w:vertAlign w:val="baseline"/>
        </w:rPr>
        <w:t>Weaver, K. R., Bauer, M. S., </w:t>
      </w:r>
      <w:r>
        <w:rPr>
          <w:color w:val="231F20"/>
          <w:spacing w:val="-3"/>
          <w:vertAlign w:val="baseline"/>
        </w:rPr>
        <w:t>&amp; Miller, C. J. (2021).</w:t>
      </w:r>
      <w:r>
        <w:rPr>
          <w:color w:val="231F20"/>
          <w:spacing w:val="-2"/>
          <w:vertAlign w:val="baseline"/>
        </w:rPr>
        <w:t> </w:t>
      </w:r>
      <w:r>
        <w:rPr>
          <w:color w:val="231F20"/>
          <w:spacing w:val="-1"/>
          <w:vertAlign w:val="baseline"/>
        </w:rPr>
        <w:t>Rapid increase in telemental health within the</w:t>
      </w:r>
      <w:r>
        <w:rPr>
          <w:color w:val="231F20"/>
          <w:vertAlign w:val="baseline"/>
        </w:rPr>
        <w:t> </w:t>
      </w:r>
      <w:r>
        <w:rPr>
          <w:color w:val="231F20"/>
          <w:spacing w:val="-5"/>
          <w:vertAlign w:val="baseline"/>
        </w:rPr>
        <w:t>Department</w:t>
      </w:r>
      <w:r>
        <w:rPr>
          <w:color w:val="231F20"/>
          <w:spacing w:val="-8"/>
          <w:vertAlign w:val="baseline"/>
        </w:rPr>
        <w:t> </w:t>
      </w:r>
      <w:r>
        <w:rPr>
          <w:color w:val="231F20"/>
          <w:spacing w:val="-5"/>
          <w:vertAlign w:val="baseline"/>
        </w:rPr>
        <w:t>of</w:t>
      </w:r>
      <w:r>
        <w:rPr>
          <w:color w:val="231F20"/>
          <w:spacing w:val="-12"/>
          <w:vertAlign w:val="baseline"/>
        </w:rPr>
        <w:t> </w:t>
      </w:r>
      <w:r>
        <w:rPr>
          <w:color w:val="231F20"/>
          <w:spacing w:val="-5"/>
          <w:vertAlign w:val="baseline"/>
        </w:rPr>
        <w:t>Veterans</w:t>
      </w:r>
      <w:r>
        <w:rPr>
          <w:color w:val="231F20"/>
          <w:spacing w:val="-20"/>
          <w:vertAlign w:val="baseline"/>
        </w:rPr>
        <w:t> </w:t>
      </w:r>
      <w:r>
        <w:rPr>
          <w:color w:val="231F20"/>
          <w:spacing w:val="-5"/>
          <w:vertAlign w:val="baseline"/>
        </w:rPr>
        <w:t>Affairs</w:t>
      </w:r>
      <w:r>
        <w:rPr>
          <w:color w:val="231F20"/>
          <w:spacing w:val="-8"/>
          <w:vertAlign w:val="baseline"/>
        </w:rPr>
        <w:t> </w:t>
      </w:r>
      <w:r>
        <w:rPr>
          <w:color w:val="231F20"/>
          <w:spacing w:val="-4"/>
          <w:vertAlign w:val="baseline"/>
        </w:rPr>
        <w:t>during</w:t>
      </w:r>
      <w:r>
        <w:rPr>
          <w:color w:val="231F20"/>
          <w:spacing w:val="-7"/>
          <w:vertAlign w:val="baseline"/>
        </w:rPr>
        <w:t> </w:t>
      </w:r>
      <w:r>
        <w:rPr>
          <w:color w:val="231F20"/>
          <w:spacing w:val="-4"/>
          <w:vertAlign w:val="baseline"/>
        </w:rPr>
        <w:t>the</w:t>
      </w:r>
      <w:r>
        <w:rPr>
          <w:color w:val="231F20"/>
          <w:spacing w:val="-8"/>
          <w:vertAlign w:val="baseline"/>
        </w:rPr>
        <w:t> </w:t>
      </w:r>
      <w:r>
        <w:rPr>
          <w:color w:val="231F20"/>
          <w:spacing w:val="-4"/>
          <w:vertAlign w:val="baseline"/>
        </w:rPr>
        <w:t>COVID-19</w:t>
      </w:r>
      <w:r>
        <w:rPr>
          <w:color w:val="231F20"/>
          <w:spacing w:val="-52"/>
          <w:vertAlign w:val="baseline"/>
        </w:rPr>
        <w:t> </w:t>
      </w:r>
      <w:r>
        <w:rPr>
          <w:color w:val="231F20"/>
          <w:spacing w:val="-3"/>
          <w:vertAlign w:val="baseline"/>
        </w:rPr>
        <w:t>pandemic.</w:t>
      </w:r>
      <w:r>
        <w:rPr>
          <w:color w:val="231F20"/>
          <w:spacing w:val="-11"/>
          <w:vertAlign w:val="baseline"/>
        </w:rPr>
        <w:t> </w:t>
      </w:r>
      <w:r>
        <w:rPr>
          <w:i/>
          <w:color w:val="231F20"/>
          <w:spacing w:val="-3"/>
          <w:vertAlign w:val="baseline"/>
        </w:rPr>
        <w:t>Telemedicine</w:t>
      </w:r>
      <w:r>
        <w:rPr>
          <w:i/>
          <w:color w:val="231F20"/>
          <w:spacing w:val="-11"/>
          <w:vertAlign w:val="baseline"/>
        </w:rPr>
        <w:t> </w:t>
      </w:r>
      <w:r>
        <w:rPr>
          <w:i/>
          <w:color w:val="231F20"/>
          <w:spacing w:val="-3"/>
          <w:vertAlign w:val="baseline"/>
        </w:rPr>
        <w:t>Journal</w:t>
      </w:r>
      <w:r>
        <w:rPr>
          <w:i/>
          <w:color w:val="231F20"/>
          <w:spacing w:val="-10"/>
          <w:vertAlign w:val="baseline"/>
        </w:rPr>
        <w:t> </w:t>
      </w:r>
      <w:r>
        <w:rPr>
          <w:i/>
          <w:color w:val="231F20"/>
          <w:spacing w:val="-3"/>
          <w:vertAlign w:val="baseline"/>
        </w:rPr>
        <w:t>and</w:t>
      </w:r>
      <w:r>
        <w:rPr>
          <w:i/>
          <w:color w:val="231F20"/>
          <w:spacing w:val="-11"/>
          <w:vertAlign w:val="baseline"/>
        </w:rPr>
        <w:t> </w:t>
      </w:r>
      <w:r>
        <w:rPr>
          <w:i/>
          <w:color w:val="231F20"/>
          <w:spacing w:val="-3"/>
          <w:vertAlign w:val="baseline"/>
        </w:rPr>
        <w:t>e-health:</w:t>
      </w:r>
    </w:p>
    <w:p>
      <w:pPr>
        <w:spacing w:line="228" w:lineRule="auto" w:before="0"/>
        <w:ind w:left="480" w:right="252" w:firstLine="0"/>
        <w:jc w:val="left"/>
        <w:rPr>
          <w:sz w:val="22"/>
        </w:rPr>
      </w:pPr>
      <w:r>
        <w:rPr>
          <w:i/>
          <w:color w:val="231F20"/>
          <w:spacing w:val="-4"/>
          <w:sz w:val="22"/>
        </w:rPr>
        <w:t>The Official Journal of the American Telemedicine</w:t>
      </w:r>
      <w:r>
        <w:rPr>
          <w:i/>
          <w:color w:val="231F20"/>
          <w:spacing w:val="-3"/>
          <w:sz w:val="22"/>
        </w:rPr>
        <w:t> </w:t>
      </w:r>
      <w:r>
        <w:rPr>
          <w:i/>
          <w:color w:val="231F20"/>
          <w:spacing w:val="-5"/>
          <w:sz w:val="22"/>
        </w:rPr>
        <w:t>Association, </w:t>
      </w:r>
      <w:r>
        <w:rPr>
          <w:i/>
          <w:color w:val="231F20"/>
          <w:spacing w:val="-4"/>
          <w:sz w:val="22"/>
        </w:rPr>
        <w:t>27</w:t>
      </w:r>
      <w:r>
        <w:rPr>
          <w:color w:val="231F20"/>
          <w:spacing w:val="-4"/>
          <w:sz w:val="22"/>
        </w:rPr>
        <w:t>(4), 454-458. </w:t>
      </w:r>
      <w:hyperlink r:id="rId46">
        <w:r>
          <w:rPr>
            <w:color w:val="3953A4"/>
            <w:spacing w:val="-4"/>
            <w:sz w:val="22"/>
            <w:u w:val="single" w:color="3953A4"/>
          </w:rPr>
          <w:t>https://doi.org/10.1089/</w:t>
        </w:r>
      </w:hyperlink>
      <w:r>
        <w:rPr>
          <w:color w:val="3953A4"/>
          <w:spacing w:val="-52"/>
          <w:sz w:val="22"/>
        </w:rPr>
        <w:t> </w:t>
      </w:r>
      <w:hyperlink r:id="rId46">
        <w:r>
          <w:rPr>
            <w:color w:val="3953A4"/>
            <w:sz w:val="22"/>
            <w:u w:val="single" w:color="3953A4"/>
          </w:rPr>
          <w:t>tmj.2020.0233</w:t>
        </w:r>
      </w:hyperlink>
    </w:p>
    <w:p>
      <w:pPr>
        <w:pStyle w:val="BodyText"/>
        <w:tabs>
          <w:tab w:pos="479" w:val="left" w:leader="none"/>
        </w:tabs>
        <w:spacing w:line="228" w:lineRule="auto" w:before="87"/>
        <w:ind w:left="480" w:right="224" w:hanging="360"/>
      </w:pPr>
      <w:r>
        <w:rPr>
          <w:color w:val="231F20"/>
          <w:vertAlign w:val="superscript"/>
        </w:rPr>
        <w:t>28</w:t>
      </w:r>
      <w:r>
        <w:rPr>
          <w:color w:val="231F20"/>
          <w:vertAlign w:val="baseline"/>
        </w:rPr>
        <w:tab/>
      </w:r>
      <w:r>
        <w:rPr>
          <w:color w:val="231F20"/>
          <w:spacing w:val="-4"/>
          <w:vertAlign w:val="baseline"/>
        </w:rPr>
        <w:t>Uscher-Pines, L., Cantor, J., Huskamp, </w:t>
      </w:r>
      <w:r>
        <w:rPr>
          <w:color w:val="231F20"/>
          <w:spacing w:val="-3"/>
          <w:vertAlign w:val="baseline"/>
        </w:rPr>
        <w:t>H. A.,</w:t>
      </w:r>
      <w:r>
        <w:rPr>
          <w:color w:val="231F20"/>
          <w:spacing w:val="-2"/>
          <w:vertAlign w:val="baseline"/>
        </w:rPr>
        <w:t> </w:t>
      </w:r>
      <w:r>
        <w:rPr>
          <w:color w:val="231F20"/>
          <w:spacing w:val="-4"/>
          <w:vertAlign w:val="baseline"/>
        </w:rPr>
        <w:t>Mehrotra, A., </w:t>
      </w:r>
      <w:r>
        <w:rPr>
          <w:color w:val="231F20"/>
          <w:spacing w:val="-3"/>
          <w:vertAlign w:val="baseline"/>
        </w:rPr>
        <w:t>Busch, A., &amp; Barnett, M. (2020).</w:t>
      </w:r>
      <w:r>
        <w:rPr>
          <w:color w:val="231F20"/>
          <w:spacing w:val="-2"/>
          <w:vertAlign w:val="baseline"/>
        </w:rPr>
        <w:t> </w:t>
      </w:r>
      <w:r>
        <w:rPr>
          <w:color w:val="231F20"/>
          <w:spacing w:val="-3"/>
          <w:vertAlign w:val="baseline"/>
        </w:rPr>
        <w:t>Adoption of telemedicine </w:t>
      </w:r>
      <w:r>
        <w:rPr>
          <w:color w:val="231F20"/>
          <w:spacing w:val="-2"/>
          <w:vertAlign w:val="baseline"/>
        </w:rPr>
        <w:t>services by substance</w:t>
      </w:r>
      <w:r>
        <w:rPr>
          <w:color w:val="231F20"/>
          <w:spacing w:val="-1"/>
          <w:vertAlign w:val="baseline"/>
        </w:rPr>
        <w:t> </w:t>
      </w:r>
      <w:r>
        <w:rPr>
          <w:color w:val="231F20"/>
          <w:spacing w:val="-3"/>
          <w:vertAlign w:val="baseline"/>
        </w:rPr>
        <w:t>abuse treatment </w:t>
      </w:r>
      <w:r>
        <w:rPr>
          <w:color w:val="231F20"/>
          <w:spacing w:val="-2"/>
          <w:vertAlign w:val="baseline"/>
        </w:rPr>
        <w:t>facilities in the U.S. </w:t>
      </w:r>
      <w:r>
        <w:rPr>
          <w:i/>
          <w:color w:val="231F20"/>
          <w:spacing w:val="-2"/>
          <w:vertAlign w:val="baseline"/>
        </w:rPr>
        <w:t>Journal of</w:t>
      </w:r>
      <w:r>
        <w:rPr>
          <w:i/>
          <w:color w:val="231F20"/>
          <w:spacing w:val="-1"/>
          <w:vertAlign w:val="baseline"/>
        </w:rPr>
        <w:t> </w:t>
      </w:r>
      <w:r>
        <w:rPr>
          <w:i/>
          <w:color w:val="231F20"/>
          <w:spacing w:val="-5"/>
          <w:vertAlign w:val="baseline"/>
        </w:rPr>
        <w:t>Substance Abuse Treatment, 117</w:t>
      </w:r>
      <w:r>
        <w:rPr>
          <w:color w:val="231F20"/>
          <w:spacing w:val="-5"/>
          <w:vertAlign w:val="baseline"/>
        </w:rPr>
        <w:t>, 108060. </w:t>
      </w:r>
      <w:hyperlink r:id="rId47">
        <w:r>
          <w:rPr>
            <w:color w:val="3953A4"/>
            <w:spacing w:val="-4"/>
            <w:u w:val="single" w:color="3953A4"/>
            <w:vertAlign w:val="baseline"/>
          </w:rPr>
          <w:t>https://doi.</w:t>
        </w:r>
      </w:hyperlink>
      <w:r>
        <w:rPr>
          <w:color w:val="3953A4"/>
          <w:spacing w:val="-52"/>
          <w:vertAlign w:val="baseline"/>
        </w:rPr>
        <w:t> </w:t>
      </w:r>
      <w:hyperlink r:id="rId47">
        <w:r>
          <w:rPr>
            <w:color w:val="3953A4"/>
            <w:u w:val="single" w:color="3953A4"/>
            <w:vertAlign w:val="baseline"/>
          </w:rPr>
          <w:t>org/10.1016/j.jsat.2020.108060</w:t>
        </w:r>
      </w:hyperlink>
    </w:p>
    <w:p>
      <w:pPr>
        <w:pStyle w:val="BodyText"/>
        <w:tabs>
          <w:tab w:pos="479" w:val="left" w:leader="none"/>
        </w:tabs>
        <w:spacing w:line="228" w:lineRule="auto" w:before="88"/>
        <w:ind w:left="480" w:right="164" w:hanging="360"/>
      </w:pPr>
      <w:r>
        <w:rPr>
          <w:color w:val="231F20"/>
          <w:vertAlign w:val="superscript"/>
        </w:rPr>
        <w:t>29</w:t>
      </w:r>
      <w:r>
        <w:rPr>
          <w:color w:val="231F20"/>
          <w:vertAlign w:val="baseline"/>
        </w:rPr>
        <w:tab/>
      </w:r>
      <w:r>
        <w:rPr>
          <w:color w:val="231F20"/>
          <w:spacing w:val="-1"/>
          <w:vertAlign w:val="baseline"/>
        </w:rPr>
        <w:t>Patel, S. Y., Huskamp, </w:t>
      </w:r>
      <w:r>
        <w:rPr>
          <w:color w:val="231F20"/>
          <w:vertAlign w:val="baseline"/>
        </w:rPr>
        <w:t>H. A., Busch, A. B., &amp;</w:t>
      </w:r>
      <w:r>
        <w:rPr>
          <w:color w:val="231F20"/>
          <w:spacing w:val="1"/>
          <w:vertAlign w:val="baseline"/>
        </w:rPr>
        <w:t> </w:t>
      </w:r>
      <w:r>
        <w:rPr>
          <w:color w:val="231F20"/>
          <w:spacing w:val="-1"/>
          <w:vertAlign w:val="baseline"/>
        </w:rPr>
        <w:t>Mehrotra, A. (2020). </w:t>
      </w:r>
      <w:r>
        <w:rPr>
          <w:color w:val="231F20"/>
          <w:vertAlign w:val="baseline"/>
        </w:rPr>
        <w:t>Telemental health and US</w:t>
      </w:r>
      <w:r>
        <w:rPr>
          <w:color w:val="231F20"/>
          <w:spacing w:val="1"/>
          <w:vertAlign w:val="baseline"/>
        </w:rPr>
        <w:t> </w:t>
      </w:r>
      <w:r>
        <w:rPr>
          <w:color w:val="231F20"/>
          <w:vertAlign w:val="baseline"/>
        </w:rPr>
        <w:t>rural–urban differences in specialty mental health</w:t>
      </w:r>
      <w:r>
        <w:rPr>
          <w:color w:val="231F20"/>
          <w:spacing w:val="1"/>
          <w:vertAlign w:val="baseline"/>
        </w:rPr>
        <w:t> </w:t>
      </w:r>
      <w:r>
        <w:rPr>
          <w:color w:val="231F20"/>
          <w:vertAlign w:val="baseline"/>
        </w:rPr>
        <w:t>use, 2010–2017. </w:t>
      </w:r>
      <w:r>
        <w:rPr>
          <w:i/>
          <w:color w:val="231F20"/>
          <w:vertAlign w:val="baseline"/>
        </w:rPr>
        <w:t>American Journal of Public</w:t>
      </w:r>
      <w:r>
        <w:rPr>
          <w:i/>
          <w:color w:val="231F20"/>
          <w:spacing w:val="1"/>
          <w:vertAlign w:val="baseline"/>
        </w:rPr>
        <w:t> </w:t>
      </w:r>
      <w:r>
        <w:rPr>
          <w:i/>
          <w:color w:val="231F20"/>
          <w:vertAlign w:val="baseline"/>
        </w:rPr>
        <w:t>Health,</w:t>
      </w:r>
      <w:r>
        <w:rPr>
          <w:i/>
          <w:color w:val="231F20"/>
          <w:spacing w:val="-12"/>
          <w:vertAlign w:val="baseline"/>
        </w:rPr>
        <w:t> </w:t>
      </w:r>
      <w:r>
        <w:rPr>
          <w:i/>
          <w:color w:val="231F20"/>
          <w:vertAlign w:val="baseline"/>
        </w:rPr>
        <w:t>110</w:t>
      </w:r>
      <w:r>
        <w:rPr>
          <w:color w:val="231F20"/>
          <w:vertAlign w:val="baseline"/>
        </w:rPr>
        <w:t>(9),</w:t>
      </w:r>
      <w:r>
        <w:rPr>
          <w:color w:val="231F20"/>
          <w:spacing w:val="-12"/>
          <w:vertAlign w:val="baseline"/>
        </w:rPr>
        <w:t> </w:t>
      </w:r>
      <w:r>
        <w:rPr>
          <w:color w:val="231F20"/>
          <w:vertAlign w:val="baseline"/>
        </w:rPr>
        <w:t>1308-1314.</w:t>
      </w:r>
      <w:r>
        <w:rPr>
          <w:color w:val="231F20"/>
          <w:spacing w:val="-11"/>
          <w:vertAlign w:val="baseline"/>
        </w:rPr>
        <w:t> </w:t>
      </w:r>
      <w:hyperlink r:id="rId48">
        <w:r>
          <w:rPr>
            <w:color w:val="3953A4"/>
            <w:u w:val="single" w:color="3953A4"/>
            <w:vertAlign w:val="baseline"/>
          </w:rPr>
          <w:t>https://doi.org/10.2105/</w:t>
        </w:r>
      </w:hyperlink>
      <w:r>
        <w:rPr>
          <w:color w:val="3953A4"/>
          <w:spacing w:val="-52"/>
          <w:vertAlign w:val="baseline"/>
        </w:rPr>
        <w:t> </w:t>
      </w:r>
      <w:hyperlink r:id="rId48">
        <w:r>
          <w:rPr>
            <w:color w:val="3953A4"/>
            <w:u w:val="single" w:color="3953A4"/>
            <w:vertAlign w:val="baseline"/>
          </w:rPr>
          <w:t>AJPH.2020.305657</w:t>
        </w:r>
      </w:hyperlink>
    </w:p>
    <w:p>
      <w:pPr>
        <w:pStyle w:val="BodyText"/>
        <w:tabs>
          <w:tab w:pos="479" w:val="left" w:leader="none"/>
        </w:tabs>
        <w:spacing w:line="228" w:lineRule="auto" w:before="101"/>
        <w:ind w:left="480" w:right="842" w:hanging="360"/>
      </w:pPr>
      <w:r>
        <w:rPr/>
        <w:br w:type="column"/>
      </w:r>
      <w:r>
        <w:rPr>
          <w:color w:val="231F20"/>
          <w:vertAlign w:val="superscript"/>
        </w:rPr>
        <w:t>30</w:t>
      </w:r>
      <w:r>
        <w:rPr>
          <w:color w:val="231F20"/>
          <w:vertAlign w:val="baseline"/>
        </w:rPr>
        <w:tab/>
      </w:r>
      <w:r>
        <w:rPr>
          <w:color w:val="231F20"/>
          <w:spacing w:val="-4"/>
          <w:vertAlign w:val="baseline"/>
        </w:rPr>
        <w:t>Feeley,</w:t>
      </w:r>
      <w:r>
        <w:rPr>
          <w:color w:val="231F20"/>
          <w:spacing w:val="-8"/>
          <w:vertAlign w:val="baseline"/>
        </w:rPr>
        <w:t> </w:t>
      </w:r>
      <w:r>
        <w:rPr>
          <w:color w:val="231F20"/>
          <w:spacing w:val="-4"/>
          <w:vertAlign w:val="baseline"/>
        </w:rPr>
        <w:t>D.</w:t>
      </w:r>
      <w:r>
        <w:rPr>
          <w:color w:val="231F20"/>
          <w:spacing w:val="-8"/>
          <w:vertAlign w:val="baseline"/>
        </w:rPr>
        <w:t> </w:t>
      </w:r>
      <w:r>
        <w:rPr>
          <w:color w:val="231F20"/>
          <w:spacing w:val="-4"/>
          <w:vertAlign w:val="baseline"/>
        </w:rPr>
        <w:t>(2017,</w:t>
      </w:r>
      <w:r>
        <w:rPr>
          <w:color w:val="231F20"/>
          <w:spacing w:val="-8"/>
          <w:vertAlign w:val="baseline"/>
        </w:rPr>
        <w:t> </w:t>
      </w:r>
      <w:r>
        <w:rPr>
          <w:color w:val="231F20"/>
          <w:spacing w:val="-4"/>
          <w:vertAlign w:val="baseline"/>
        </w:rPr>
        <w:t>November</w:t>
      </w:r>
      <w:r>
        <w:rPr>
          <w:color w:val="231F20"/>
          <w:spacing w:val="-7"/>
          <w:vertAlign w:val="baseline"/>
        </w:rPr>
        <w:t> </w:t>
      </w:r>
      <w:r>
        <w:rPr>
          <w:color w:val="231F20"/>
          <w:spacing w:val="-4"/>
          <w:vertAlign w:val="baseline"/>
        </w:rPr>
        <w:t>28).</w:t>
      </w:r>
      <w:r>
        <w:rPr>
          <w:color w:val="231F20"/>
          <w:spacing w:val="-12"/>
          <w:vertAlign w:val="baseline"/>
        </w:rPr>
        <w:t> </w:t>
      </w:r>
      <w:r>
        <w:rPr>
          <w:color w:val="231F20"/>
          <w:spacing w:val="-4"/>
          <w:vertAlign w:val="baseline"/>
        </w:rPr>
        <w:t>The</w:t>
      </w:r>
      <w:r>
        <w:rPr>
          <w:color w:val="231F20"/>
          <w:spacing w:val="-8"/>
          <w:vertAlign w:val="baseline"/>
        </w:rPr>
        <w:t> </w:t>
      </w:r>
      <w:r>
        <w:rPr>
          <w:color w:val="231F20"/>
          <w:spacing w:val="-4"/>
          <w:vertAlign w:val="baseline"/>
        </w:rPr>
        <w:t>triple</w:t>
      </w:r>
      <w:r>
        <w:rPr>
          <w:color w:val="231F20"/>
          <w:spacing w:val="-8"/>
          <w:vertAlign w:val="baseline"/>
        </w:rPr>
        <w:t> </w:t>
      </w:r>
      <w:r>
        <w:rPr>
          <w:color w:val="231F20"/>
          <w:spacing w:val="-4"/>
          <w:vertAlign w:val="baseline"/>
        </w:rPr>
        <w:t>aim</w:t>
      </w:r>
      <w:r>
        <w:rPr>
          <w:color w:val="231F20"/>
          <w:spacing w:val="-7"/>
          <w:vertAlign w:val="baseline"/>
        </w:rPr>
        <w:t> </w:t>
      </w:r>
      <w:r>
        <w:rPr>
          <w:color w:val="231F20"/>
          <w:spacing w:val="-3"/>
          <w:vertAlign w:val="baseline"/>
        </w:rPr>
        <w:t>or</w:t>
      </w:r>
      <w:r>
        <w:rPr>
          <w:color w:val="231F20"/>
          <w:spacing w:val="-8"/>
          <w:vertAlign w:val="baseline"/>
        </w:rPr>
        <w:t> </w:t>
      </w:r>
      <w:r>
        <w:rPr>
          <w:color w:val="231F20"/>
          <w:spacing w:val="-3"/>
          <w:vertAlign w:val="baseline"/>
        </w:rPr>
        <w:t>the</w:t>
      </w:r>
      <w:r>
        <w:rPr>
          <w:color w:val="231F20"/>
          <w:spacing w:val="-52"/>
          <w:vertAlign w:val="baseline"/>
        </w:rPr>
        <w:t> </w:t>
      </w:r>
      <w:r>
        <w:rPr>
          <w:color w:val="231F20"/>
          <w:spacing w:val="-3"/>
          <w:vertAlign w:val="baseline"/>
        </w:rPr>
        <w:t>quadruple aim? Four points to help set your strategy.</w:t>
      </w:r>
      <w:r>
        <w:rPr>
          <w:color w:val="231F20"/>
          <w:spacing w:val="-2"/>
          <w:vertAlign w:val="baseline"/>
        </w:rPr>
        <w:t> </w:t>
      </w:r>
      <w:hyperlink r:id="rId49">
        <w:r>
          <w:rPr>
            <w:color w:val="3953A4"/>
            <w:spacing w:val="-4"/>
            <w:u w:val="single" w:color="3953A4"/>
            <w:vertAlign w:val="baseline"/>
          </w:rPr>
          <w:t>http://www.ihi.org/communities/blogs/the-triple-aim-</w:t>
        </w:r>
      </w:hyperlink>
      <w:r>
        <w:rPr>
          <w:color w:val="3953A4"/>
          <w:spacing w:val="-52"/>
          <w:vertAlign w:val="baseline"/>
        </w:rPr>
        <w:t> </w:t>
      </w:r>
      <w:hyperlink r:id="rId49">
        <w:r>
          <w:rPr>
            <w:color w:val="3953A4"/>
            <w:spacing w:val="-1"/>
            <w:u w:val="single" w:color="3953A4"/>
            <w:vertAlign w:val="baseline"/>
          </w:rPr>
          <w:t>or-the-quadruple-aim-four-points-to-help-set-your-</w:t>
        </w:r>
      </w:hyperlink>
      <w:r>
        <w:rPr>
          <w:color w:val="3953A4"/>
          <w:vertAlign w:val="baseline"/>
        </w:rPr>
        <w:t> </w:t>
      </w:r>
      <w:hyperlink r:id="rId49">
        <w:r>
          <w:rPr>
            <w:color w:val="3953A4"/>
            <w:u w:val="single" w:color="3953A4"/>
            <w:vertAlign w:val="baseline"/>
          </w:rPr>
          <w:t>strategy</w:t>
        </w:r>
      </w:hyperlink>
    </w:p>
    <w:p>
      <w:pPr>
        <w:tabs>
          <w:tab w:pos="479" w:val="left" w:leader="none"/>
        </w:tabs>
        <w:spacing w:line="228" w:lineRule="auto" w:before="88"/>
        <w:ind w:left="480" w:right="1060" w:hanging="360"/>
        <w:jc w:val="left"/>
        <w:rPr>
          <w:sz w:val="22"/>
        </w:rPr>
      </w:pPr>
      <w:r>
        <w:rPr>
          <w:color w:val="231F20"/>
          <w:sz w:val="22"/>
          <w:vertAlign w:val="superscript"/>
        </w:rPr>
        <w:t>31</w:t>
      </w:r>
      <w:r>
        <w:rPr>
          <w:color w:val="231F20"/>
          <w:sz w:val="22"/>
          <w:vertAlign w:val="baseline"/>
        </w:rPr>
        <w:tab/>
      </w:r>
      <w:r>
        <w:rPr>
          <w:color w:val="231F20"/>
          <w:spacing w:val="-4"/>
          <w:sz w:val="22"/>
          <w:vertAlign w:val="baseline"/>
        </w:rPr>
        <w:t>Brown, R. A., Marshall, </w:t>
      </w:r>
      <w:r>
        <w:rPr>
          <w:color w:val="231F20"/>
          <w:spacing w:val="-3"/>
          <w:sz w:val="22"/>
          <w:vertAlign w:val="baseline"/>
        </w:rPr>
        <w:t>G. N., Breslau, J., Farris,</w:t>
      </w:r>
      <w:r>
        <w:rPr>
          <w:color w:val="231F20"/>
          <w:spacing w:val="-2"/>
          <w:sz w:val="22"/>
          <w:vertAlign w:val="baseline"/>
        </w:rPr>
        <w:t> </w:t>
      </w:r>
      <w:r>
        <w:rPr>
          <w:color w:val="231F20"/>
          <w:spacing w:val="-5"/>
          <w:sz w:val="22"/>
          <w:vertAlign w:val="baseline"/>
        </w:rPr>
        <w:t>C.,</w:t>
      </w:r>
      <w:r>
        <w:rPr>
          <w:color w:val="231F20"/>
          <w:spacing w:val="-8"/>
          <w:sz w:val="22"/>
          <w:vertAlign w:val="baseline"/>
        </w:rPr>
        <w:t> </w:t>
      </w:r>
      <w:r>
        <w:rPr>
          <w:color w:val="231F20"/>
          <w:spacing w:val="-5"/>
          <w:sz w:val="22"/>
          <w:vertAlign w:val="baseline"/>
        </w:rPr>
        <w:t>Osilla,</w:t>
      </w:r>
      <w:r>
        <w:rPr>
          <w:color w:val="231F20"/>
          <w:spacing w:val="-8"/>
          <w:sz w:val="22"/>
          <w:vertAlign w:val="baseline"/>
        </w:rPr>
        <w:t> </w:t>
      </w:r>
      <w:r>
        <w:rPr>
          <w:color w:val="231F20"/>
          <w:spacing w:val="-5"/>
          <w:sz w:val="22"/>
          <w:vertAlign w:val="baseline"/>
        </w:rPr>
        <w:t>K.</w:t>
      </w:r>
      <w:r>
        <w:rPr>
          <w:color w:val="231F20"/>
          <w:spacing w:val="-8"/>
          <w:sz w:val="22"/>
          <w:vertAlign w:val="baseline"/>
        </w:rPr>
        <w:t> </w:t>
      </w:r>
      <w:r>
        <w:rPr>
          <w:color w:val="231F20"/>
          <w:spacing w:val="-5"/>
          <w:sz w:val="22"/>
          <w:vertAlign w:val="baseline"/>
        </w:rPr>
        <w:t>C.,</w:t>
      </w:r>
      <w:r>
        <w:rPr>
          <w:color w:val="231F20"/>
          <w:spacing w:val="-8"/>
          <w:sz w:val="22"/>
          <w:vertAlign w:val="baseline"/>
        </w:rPr>
        <w:t> </w:t>
      </w:r>
      <w:r>
        <w:rPr>
          <w:color w:val="231F20"/>
          <w:spacing w:val="-5"/>
          <w:sz w:val="22"/>
          <w:vertAlign w:val="baseline"/>
        </w:rPr>
        <w:t>Pincus,</w:t>
      </w:r>
      <w:r>
        <w:rPr>
          <w:color w:val="231F20"/>
          <w:spacing w:val="-8"/>
          <w:sz w:val="22"/>
          <w:vertAlign w:val="baseline"/>
        </w:rPr>
        <w:t> </w:t>
      </w:r>
      <w:r>
        <w:rPr>
          <w:color w:val="231F20"/>
          <w:spacing w:val="-5"/>
          <w:sz w:val="22"/>
          <w:vertAlign w:val="baseline"/>
        </w:rPr>
        <w:t>H.</w:t>
      </w:r>
      <w:r>
        <w:rPr>
          <w:color w:val="231F20"/>
          <w:spacing w:val="-21"/>
          <w:sz w:val="22"/>
          <w:vertAlign w:val="baseline"/>
        </w:rPr>
        <w:t> </w:t>
      </w:r>
      <w:r>
        <w:rPr>
          <w:color w:val="231F20"/>
          <w:spacing w:val="-5"/>
          <w:sz w:val="22"/>
          <w:vertAlign w:val="baseline"/>
        </w:rPr>
        <w:t>A.,</w:t>
      </w:r>
      <w:r>
        <w:rPr>
          <w:color w:val="231F20"/>
          <w:spacing w:val="-8"/>
          <w:sz w:val="22"/>
          <w:vertAlign w:val="baseline"/>
        </w:rPr>
        <w:t> </w:t>
      </w:r>
      <w:r>
        <w:rPr>
          <w:color w:val="231F20"/>
          <w:spacing w:val="-5"/>
          <w:sz w:val="22"/>
          <w:vertAlign w:val="baseline"/>
        </w:rPr>
        <w:t>Ruder,</w:t>
      </w:r>
      <w:r>
        <w:rPr>
          <w:color w:val="231F20"/>
          <w:spacing w:val="-12"/>
          <w:sz w:val="22"/>
          <w:vertAlign w:val="baseline"/>
        </w:rPr>
        <w:t> </w:t>
      </w:r>
      <w:r>
        <w:rPr>
          <w:color w:val="231F20"/>
          <w:spacing w:val="-5"/>
          <w:sz w:val="22"/>
          <w:vertAlign w:val="baseline"/>
        </w:rPr>
        <w:t>T.,</w:t>
      </w:r>
      <w:r>
        <w:rPr>
          <w:color w:val="231F20"/>
          <w:spacing w:val="-12"/>
          <w:sz w:val="22"/>
          <w:vertAlign w:val="baseline"/>
        </w:rPr>
        <w:t> </w:t>
      </w:r>
      <w:r>
        <w:rPr>
          <w:color w:val="231F20"/>
          <w:spacing w:val="-4"/>
          <w:sz w:val="22"/>
          <w:vertAlign w:val="baseline"/>
        </w:rPr>
        <w:t>Voorhies,</w:t>
      </w:r>
      <w:r>
        <w:rPr>
          <w:color w:val="231F20"/>
          <w:spacing w:val="-52"/>
          <w:sz w:val="22"/>
          <w:vertAlign w:val="baseline"/>
        </w:rPr>
        <w:t> </w:t>
      </w:r>
      <w:r>
        <w:rPr>
          <w:color w:val="231F20"/>
          <w:spacing w:val="-5"/>
          <w:sz w:val="22"/>
          <w:vertAlign w:val="baseline"/>
        </w:rPr>
        <w:t>P., Barnes-Proby, D., Pfrommer, </w:t>
      </w:r>
      <w:r>
        <w:rPr>
          <w:color w:val="231F20"/>
          <w:spacing w:val="-4"/>
          <w:sz w:val="22"/>
          <w:vertAlign w:val="baseline"/>
        </w:rPr>
        <w:t>K., Miyashiro, L.,</w:t>
      </w:r>
      <w:r>
        <w:rPr>
          <w:color w:val="231F20"/>
          <w:spacing w:val="-3"/>
          <w:sz w:val="22"/>
          <w:vertAlign w:val="baseline"/>
        </w:rPr>
        <w:t> </w:t>
      </w:r>
      <w:r>
        <w:rPr>
          <w:color w:val="231F20"/>
          <w:spacing w:val="-5"/>
          <w:sz w:val="22"/>
          <w:vertAlign w:val="baseline"/>
        </w:rPr>
        <w:t>Yashodhara, </w:t>
      </w:r>
      <w:r>
        <w:rPr>
          <w:color w:val="231F20"/>
          <w:spacing w:val="-4"/>
          <w:sz w:val="22"/>
          <w:vertAlign w:val="baseline"/>
        </w:rPr>
        <w:t>R., &amp; Adamson, D. (2015). </w:t>
      </w:r>
      <w:r>
        <w:rPr>
          <w:i/>
          <w:color w:val="231F20"/>
          <w:spacing w:val="-4"/>
          <w:sz w:val="22"/>
          <w:vertAlign w:val="baseline"/>
        </w:rPr>
        <w:t>Improving</w:t>
      </w:r>
      <w:r>
        <w:rPr>
          <w:i/>
          <w:color w:val="231F20"/>
          <w:spacing w:val="-52"/>
          <w:sz w:val="22"/>
          <w:vertAlign w:val="baseline"/>
        </w:rPr>
        <w:t> </w:t>
      </w:r>
      <w:r>
        <w:rPr>
          <w:i/>
          <w:color w:val="231F20"/>
          <w:spacing w:val="-4"/>
          <w:sz w:val="22"/>
          <w:vertAlign w:val="baseline"/>
        </w:rPr>
        <w:t>access to behavioral health </w:t>
      </w:r>
      <w:r>
        <w:rPr>
          <w:i/>
          <w:color w:val="231F20"/>
          <w:spacing w:val="-3"/>
          <w:sz w:val="22"/>
          <w:vertAlign w:val="baseline"/>
        </w:rPr>
        <w:t>care for remote service</w:t>
      </w:r>
      <w:r>
        <w:rPr>
          <w:i/>
          <w:color w:val="231F20"/>
          <w:spacing w:val="-52"/>
          <w:sz w:val="22"/>
          <w:vertAlign w:val="baseline"/>
        </w:rPr>
        <w:t> </w:t>
      </w:r>
      <w:r>
        <w:rPr>
          <w:i/>
          <w:color w:val="231F20"/>
          <w:spacing w:val="-4"/>
          <w:sz w:val="22"/>
          <w:vertAlign w:val="baseline"/>
        </w:rPr>
        <w:t>members and their families</w:t>
      </w:r>
      <w:r>
        <w:rPr>
          <w:color w:val="231F20"/>
          <w:spacing w:val="-4"/>
          <w:sz w:val="22"/>
          <w:vertAlign w:val="baseline"/>
        </w:rPr>
        <w:t>. </w:t>
      </w:r>
      <w:hyperlink r:id="rId50">
        <w:r>
          <w:rPr>
            <w:color w:val="3953A4"/>
            <w:spacing w:val="-4"/>
            <w:sz w:val="22"/>
            <w:u w:val="single" w:color="3953A4"/>
            <w:vertAlign w:val="baseline"/>
          </w:rPr>
          <w:t>https://www.rand.org/</w:t>
        </w:r>
      </w:hyperlink>
      <w:r>
        <w:rPr>
          <w:color w:val="3953A4"/>
          <w:spacing w:val="-3"/>
          <w:sz w:val="22"/>
          <w:vertAlign w:val="baseline"/>
        </w:rPr>
        <w:t> </w:t>
      </w:r>
      <w:hyperlink r:id="rId50">
        <w:r>
          <w:rPr>
            <w:color w:val="3953A4"/>
            <w:spacing w:val="-1"/>
            <w:sz w:val="22"/>
            <w:u w:val="single" w:color="3953A4"/>
            <w:vertAlign w:val="baseline"/>
          </w:rPr>
          <w:t>content/dam/rand/pubs/research_reports/RR500/</w:t>
        </w:r>
      </w:hyperlink>
      <w:r>
        <w:rPr>
          <w:color w:val="3953A4"/>
          <w:sz w:val="22"/>
          <w:vertAlign w:val="baseline"/>
        </w:rPr>
        <w:t> </w:t>
      </w:r>
      <w:hyperlink r:id="rId50">
        <w:r>
          <w:rPr>
            <w:color w:val="3953A4"/>
            <w:sz w:val="22"/>
            <w:u w:val="single" w:color="3953A4"/>
            <w:vertAlign w:val="baseline"/>
          </w:rPr>
          <w:t>RR578z1/RAND_RR578z1.pdf</w:t>
        </w:r>
      </w:hyperlink>
    </w:p>
    <w:p>
      <w:pPr>
        <w:pStyle w:val="BodyText"/>
        <w:tabs>
          <w:tab w:pos="479" w:val="left" w:leader="none"/>
        </w:tabs>
        <w:spacing w:line="228" w:lineRule="auto" w:before="88"/>
        <w:ind w:left="480" w:right="998" w:hanging="360"/>
      </w:pPr>
      <w:r>
        <w:rPr>
          <w:color w:val="231F20"/>
          <w:vertAlign w:val="superscript"/>
        </w:rPr>
        <w:t>32</w:t>
      </w:r>
      <w:r>
        <w:rPr>
          <w:color w:val="231F20"/>
          <w:vertAlign w:val="baseline"/>
        </w:rPr>
        <w:tab/>
        <w:t>Moy, E., Garcia, M. C., Bastian, B., Rossen, L.</w:t>
      </w:r>
      <w:r>
        <w:rPr>
          <w:color w:val="231F20"/>
          <w:spacing w:val="1"/>
          <w:vertAlign w:val="baseline"/>
        </w:rPr>
        <w:t> </w:t>
      </w:r>
      <w:r>
        <w:rPr>
          <w:color w:val="231F20"/>
          <w:vertAlign w:val="baseline"/>
        </w:rPr>
        <w:t>M., Ingram, D. D., Faul, M., Massetti, G. M.,</w:t>
      </w:r>
      <w:r>
        <w:rPr>
          <w:color w:val="231F20"/>
          <w:spacing w:val="1"/>
          <w:vertAlign w:val="baseline"/>
        </w:rPr>
        <w:t> </w:t>
      </w:r>
      <w:r>
        <w:rPr>
          <w:color w:val="231F20"/>
          <w:spacing w:val="-2"/>
          <w:vertAlign w:val="baseline"/>
        </w:rPr>
        <w:t>Thomas, </w:t>
      </w:r>
      <w:r>
        <w:rPr>
          <w:color w:val="231F20"/>
          <w:spacing w:val="-1"/>
          <w:vertAlign w:val="baseline"/>
        </w:rPr>
        <w:t>C. C., Hong, Y., &amp; Yoon, P. W. (2017).</w:t>
      </w:r>
      <w:r>
        <w:rPr>
          <w:color w:val="231F20"/>
          <w:vertAlign w:val="baseline"/>
        </w:rPr>
        <w:t> Leading causes of death in nonmetropolitan and</w:t>
      </w:r>
      <w:r>
        <w:rPr>
          <w:color w:val="231F20"/>
          <w:spacing w:val="1"/>
          <w:vertAlign w:val="baseline"/>
        </w:rPr>
        <w:t> </w:t>
      </w:r>
      <w:r>
        <w:rPr>
          <w:color w:val="231F20"/>
          <w:vertAlign w:val="baseline"/>
        </w:rPr>
        <w:t>metropolitan areas—United States, 1999–2014.</w:t>
      </w:r>
      <w:r>
        <w:rPr>
          <w:color w:val="231F20"/>
          <w:spacing w:val="1"/>
          <w:vertAlign w:val="baseline"/>
        </w:rPr>
        <w:t> </w:t>
      </w:r>
      <w:r>
        <w:rPr>
          <w:i/>
          <w:color w:val="231F20"/>
          <w:vertAlign w:val="baseline"/>
        </w:rPr>
        <w:t>MMWR Surveillance Summaries, 66</w:t>
      </w:r>
      <w:r>
        <w:rPr>
          <w:color w:val="231F20"/>
          <w:vertAlign w:val="baseline"/>
        </w:rPr>
        <w:t>(1), 1. </w:t>
      </w:r>
      <w:hyperlink r:id="rId51">
        <w:r>
          <w:rPr>
            <w:color w:val="3953A4"/>
            <w:u w:val="single" w:color="3953A4"/>
            <w:vertAlign w:val="baseline"/>
          </w:rPr>
          <w:t>https://</w:t>
        </w:r>
      </w:hyperlink>
      <w:r>
        <w:rPr>
          <w:color w:val="3953A4"/>
          <w:spacing w:val="-53"/>
          <w:vertAlign w:val="baseline"/>
        </w:rPr>
        <w:t> </w:t>
      </w:r>
      <w:hyperlink r:id="rId51">
        <w:r>
          <w:rPr>
            <w:color w:val="3953A4"/>
            <w:u w:val="single" w:color="3953A4"/>
            <w:vertAlign w:val="baseline"/>
          </w:rPr>
          <w:t>doi.org/10.15585%2Fmmwr.ss6601a1</w:t>
        </w:r>
      </w:hyperlink>
    </w:p>
    <w:p>
      <w:pPr>
        <w:pStyle w:val="BodyText"/>
        <w:tabs>
          <w:tab w:pos="479" w:val="left" w:leader="none"/>
        </w:tabs>
        <w:spacing w:line="228" w:lineRule="auto" w:before="87"/>
        <w:ind w:left="479" w:right="800" w:hanging="360"/>
      </w:pPr>
      <w:r>
        <w:rPr>
          <w:color w:val="231F20"/>
          <w:vertAlign w:val="superscript"/>
        </w:rPr>
        <w:t>33</w:t>
      </w:r>
      <w:r>
        <w:rPr>
          <w:color w:val="231F20"/>
          <w:vertAlign w:val="baseline"/>
        </w:rPr>
        <w:tab/>
      </w:r>
      <w:r>
        <w:rPr>
          <w:color w:val="231F20"/>
          <w:spacing w:val="-5"/>
          <w:vertAlign w:val="baseline"/>
        </w:rPr>
        <w:t>Meit, M., Knudson, A., Gilbert, T., </w:t>
      </w:r>
      <w:r>
        <w:rPr>
          <w:color w:val="231F20"/>
          <w:spacing w:val="-4"/>
          <w:vertAlign w:val="baseline"/>
        </w:rPr>
        <w:t>Yu, A. T.-C.,</w:t>
      </w:r>
      <w:r>
        <w:rPr>
          <w:color w:val="231F20"/>
          <w:spacing w:val="-3"/>
          <w:vertAlign w:val="baseline"/>
        </w:rPr>
        <w:t> </w:t>
      </w:r>
      <w:r>
        <w:rPr>
          <w:color w:val="231F20"/>
          <w:spacing w:val="-4"/>
          <w:vertAlign w:val="baseline"/>
        </w:rPr>
        <w:t>Tanenbaum, E., Ormson, E., &amp; Popat, S. (2014). </w:t>
      </w:r>
      <w:r>
        <w:rPr>
          <w:color w:val="231F20"/>
          <w:spacing w:val="-3"/>
          <w:vertAlign w:val="baseline"/>
        </w:rPr>
        <w:t>The</w:t>
      </w:r>
      <w:r>
        <w:rPr>
          <w:color w:val="231F20"/>
          <w:spacing w:val="-2"/>
          <w:vertAlign w:val="baseline"/>
        </w:rPr>
        <w:t> </w:t>
      </w:r>
      <w:r>
        <w:rPr>
          <w:color w:val="231F20"/>
          <w:spacing w:val="-4"/>
          <w:vertAlign w:val="baseline"/>
        </w:rPr>
        <w:t>2014 </w:t>
      </w:r>
      <w:r>
        <w:rPr>
          <w:color w:val="231F20"/>
          <w:spacing w:val="-3"/>
          <w:vertAlign w:val="baseline"/>
        </w:rPr>
        <w:t>update of the rural-urban chartbook. </w:t>
      </w:r>
      <w:r>
        <w:rPr>
          <w:i/>
          <w:color w:val="231F20"/>
          <w:spacing w:val="-3"/>
          <w:vertAlign w:val="baseline"/>
        </w:rPr>
        <w:t>Bethesda,</w:t>
      </w:r>
      <w:r>
        <w:rPr>
          <w:i/>
          <w:color w:val="231F20"/>
          <w:spacing w:val="-2"/>
          <w:vertAlign w:val="baseline"/>
        </w:rPr>
        <w:t> </w:t>
      </w:r>
      <w:r>
        <w:rPr>
          <w:i/>
          <w:color w:val="231F20"/>
          <w:spacing w:val="-3"/>
          <w:vertAlign w:val="baseline"/>
        </w:rPr>
        <w:t>MD: Rural Health Reform Policy Research </w:t>
      </w:r>
      <w:r>
        <w:rPr>
          <w:i/>
          <w:color w:val="231F20"/>
          <w:spacing w:val="-2"/>
          <w:vertAlign w:val="baseline"/>
        </w:rPr>
        <w:t>Center</w:t>
      </w:r>
      <w:r>
        <w:rPr>
          <w:color w:val="231F20"/>
          <w:spacing w:val="-2"/>
          <w:vertAlign w:val="baseline"/>
        </w:rPr>
        <w:t>.</w:t>
      </w:r>
      <w:r>
        <w:rPr>
          <w:color w:val="231F20"/>
          <w:spacing w:val="-1"/>
          <w:vertAlign w:val="baseline"/>
        </w:rPr>
        <w:t> </w:t>
      </w:r>
      <w:hyperlink r:id="rId52">
        <w:r>
          <w:rPr>
            <w:color w:val="3953A4"/>
            <w:u w:val="single" w:color="3953A4"/>
            <w:vertAlign w:val="baseline"/>
          </w:rPr>
          <w:t>https://www.norc.org/PDFs/Walsh%20Center/</w:t>
        </w:r>
      </w:hyperlink>
      <w:r>
        <w:rPr>
          <w:color w:val="3953A4"/>
          <w:spacing w:val="1"/>
          <w:vertAlign w:val="baseline"/>
        </w:rPr>
        <w:t> </w:t>
      </w:r>
      <w:hyperlink r:id="rId52">
        <w:r>
          <w:rPr>
            <w:color w:val="3953A4"/>
            <w:spacing w:val="-4"/>
            <w:u w:val="single" w:color="3953A4"/>
            <w:vertAlign w:val="baseline"/>
          </w:rPr>
          <w:t>Rural%20Health%20US%20Report_Oct2014_dtp.pdf</w:t>
        </w:r>
      </w:hyperlink>
    </w:p>
    <w:p>
      <w:pPr>
        <w:pStyle w:val="BodyText"/>
        <w:tabs>
          <w:tab w:pos="479" w:val="left" w:leader="none"/>
        </w:tabs>
        <w:spacing w:line="228" w:lineRule="auto" w:before="88"/>
        <w:ind w:left="480" w:right="745" w:hanging="360"/>
      </w:pPr>
      <w:r>
        <w:rPr>
          <w:color w:val="231F20"/>
          <w:vertAlign w:val="superscript"/>
        </w:rPr>
        <w:t>34</w:t>
      </w:r>
      <w:r>
        <w:rPr>
          <w:color w:val="231F20"/>
          <w:vertAlign w:val="baseline"/>
        </w:rPr>
        <w:tab/>
      </w:r>
      <w:r>
        <w:rPr>
          <w:color w:val="231F20"/>
          <w:spacing w:val="-1"/>
          <w:vertAlign w:val="baseline"/>
        </w:rPr>
        <w:t>Holyk, T., Pawlovich, </w:t>
      </w:r>
      <w:r>
        <w:rPr>
          <w:color w:val="231F20"/>
          <w:vertAlign w:val="baseline"/>
        </w:rPr>
        <w:t>J., Ross, C., &amp; Hooper, A.</w:t>
      </w:r>
      <w:r>
        <w:rPr>
          <w:color w:val="231F20"/>
          <w:spacing w:val="1"/>
          <w:vertAlign w:val="baseline"/>
        </w:rPr>
        <w:t> </w:t>
      </w:r>
      <w:r>
        <w:rPr>
          <w:color w:val="231F20"/>
          <w:vertAlign w:val="baseline"/>
        </w:rPr>
        <w:t>(2017).</w:t>
      </w:r>
      <w:r>
        <w:rPr>
          <w:color w:val="231F20"/>
          <w:spacing w:val="-7"/>
          <w:vertAlign w:val="baseline"/>
        </w:rPr>
        <w:t> </w:t>
      </w:r>
      <w:r>
        <w:rPr>
          <w:color w:val="231F20"/>
          <w:vertAlign w:val="baseline"/>
        </w:rPr>
        <w:t>The</w:t>
      </w:r>
      <w:r>
        <w:rPr>
          <w:color w:val="231F20"/>
          <w:spacing w:val="-2"/>
          <w:vertAlign w:val="baseline"/>
        </w:rPr>
        <w:t> </w:t>
      </w:r>
      <w:r>
        <w:rPr>
          <w:color w:val="231F20"/>
          <w:vertAlign w:val="baseline"/>
        </w:rPr>
        <w:t>role</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telehealth</w:t>
      </w:r>
      <w:r>
        <w:rPr>
          <w:color w:val="231F20"/>
          <w:spacing w:val="-3"/>
          <w:vertAlign w:val="baseline"/>
        </w:rPr>
        <w:t> </w:t>
      </w:r>
      <w:r>
        <w:rPr>
          <w:color w:val="231F20"/>
          <w:vertAlign w:val="baseline"/>
        </w:rPr>
        <w:t>in</w:t>
      </w:r>
      <w:r>
        <w:rPr>
          <w:color w:val="231F20"/>
          <w:spacing w:val="-2"/>
          <w:vertAlign w:val="baseline"/>
        </w:rPr>
        <w:t> </w:t>
      </w:r>
      <w:r>
        <w:rPr>
          <w:color w:val="231F20"/>
          <w:vertAlign w:val="baseline"/>
        </w:rPr>
        <w:t>impoving</w:t>
      </w:r>
      <w:r>
        <w:rPr>
          <w:color w:val="231F20"/>
          <w:spacing w:val="-2"/>
          <w:vertAlign w:val="baseline"/>
        </w:rPr>
        <w:t> </w:t>
      </w:r>
      <w:r>
        <w:rPr>
          <w:color w:val="231F20"/>
          <w:vertAlign w:val="baseline"/>
        </w:rPr>
        <w:t>continuity</w:t>
      </w:r>
      <w:r>
        <w:rPr>
          <w:color w:val="231F20"/>
          <w:spacing w:val="-52"/>
          <w:vertAlign w:val="baseline"/>
        </w:rPr>
        <w:t> </w:t>
      </w:r>
      <w:r>
        <w:rPr>
          <w:color w:val="231F20"/>
          <w:vertAlign w:val="baseline"/>
        </w:rPr>
        <w:t>of care: The Carrier Sekani Family Services primary</w:t>
      </w:r>
      <w:r>
        <w:rPr>
          <w:color w:val="231F20"/>
          <w:spacing w:val="-52"/>
          <w:vertAlign w:val="baseline"/>
        </w:rPr>
        <w:t> </w:t>
      </w:r>
      <w:r>
        <w:rPr>
          <w:color w:val="231F20"/>
          <w:vertAlign w:val="baseline"/>
        </w:rPr>
        <w:t>care model. </w:t>
      </w:r>
      <w:r>
        <w:rPr>
          <w:i/>
          <w:color w:val="231F20"/>
          <w:vertAlign w:val="baseline"/>
        </w:rPr>
        <w:t>British Columbia Medical Journal</w:t>
      </w:r>
      <w:r>
        <w:rPr>
          <w:color w:val="231F20"/>
          <w:vertAlign w:val="baseline"/>
        </w:rPr>
        <w:t>.</w:t>
      </w:r>
      <w:r>
        <w:rPr>
          <w:color w:val="231F20"/>
          <w:spacing w:val="1"/>
          <w:vertAlign w:val="baseline"/>
        </w:rPr>
        <w:t> </w:t>
      </w:r>
      <w:hyperlink r:id="rId53">
        <w:r>
          <w:rPr>
            <w:color w:val="3953A4"/>
            <w:u w:val="single" w:color="3953A4"/>
            <w:vertAlign w:val="baseline"/>
          </w:rPr>
          <w:t>https://bcmj.org/articles/role-telehealth-improving-</w:t>
        </w:r>
      </w:hyperlink>
      <w:r>
        <w:rPr>
          <w:color w:val="3953A4"/>
          <w:spacing w:val="1"/>
          <w:vertAlign w:val="baseline"/>
        </w:rPr>
        <w:t> </w:t>
      </w:r>
      <w:hyperlink r:id="rId53">
        <w:r>
          <w:rPr>
            <w:color w:val="3953A4"/>
            <w:u w:val="single" w:color="3953A4"/>
            <w:vertAlign w:val="baseline"/>
          </w:rPr>
          <w:t>continuity-care-carrier-sekani-family-services-</w:t>
        </w:r>
      </w:hyperlink>
      <w:r>
        <w:rPr>
          <w:color w:val="3953A4"/>
          <w:spacing w:val="1"/>
          <w:vertAlign w:val="baseline"/>
        </w:rPr>
        <w:t> </w:t>
      </w:r>
      <w:hyperlink r:id="rId53">
        <w:r>
          <w:rPr>
            <w:color w:val="3953A4"/>
            <w:u w:val="single" w:color="3953A4"/>
            <w:vertAlign w:val="baseline"/>
          </w:rPr>
          <w:t>primary-care-model</w:t>
        </w:r>
      </w:hyperlink>
    </w:p>
    <w:p>
      <w:pPr>
        <w:pStyle w:val="BodyText"/>
        <w:tabs>
          <w:tab w:pos="479" w:val="left" w:leader="none"/>
        </w:tabs>
        <w:spacing w:line="246" w:lineRule="exact" w:before="78"/>
        <w:ind w:left="120"/>
      </w:pPr>
      <w:r>
        <w:rPr>
          <w:color w:val="231F20"/>
          <w:vertAlign w:val="superscript"/>
        </w:rPr>
        <w:t>35</w:t>
      </w:r>
      <w:r>
        <w:rPr>
          <w:color w:val="231F20"/>
          <w:vertAlign w:val="baseline"/>
        </w:rPr>
        <w:tab/>
        <w:t>Sikka,</w:t>
      </w:r>
      <w:r>
        <w:rPr>
          <w:color w:val="231F20"/>
          <w:spacing w:val="-1"/>
          <w:vertAlign w:val="baseline"/>
        </w:rPr>
        <w:t> </w:t>
      </w:r>
      <w:r>
        <w:rPr>
          <w:color w:val="231F20"/>
          <w:vertAlign w:val="baseline"/>
        </w:rPr>
        <w:t>N.,</w:t>
      </w:r>
      <w:r>
        <w:rPr>
          <w:color w:val="231F20"/>
          <w:spacing w:val="-5"/>
          <w:vertAlign w:val="baseline"/>
        </w:rPr>
        <w:t> </w:t>
      </w:r>
      <w:r>
        <w:rPr>
          <w:color w:val="231F20"/>
          <w:vertAlign w:val="baseline"/>
        </w:rPr>
        <w:t>Willis,</w:t>
      </w:r>
      <w:r>
        <w:rPr>
          <w:color w:val="231F20"/>
          <w:spacing w:val="-1"/>
          <w:vertAlign w:val="baseline"/>
        </w:rPr>
        <w:t> </w:t>
      </w:r>
      <w:r>
        <w:rPr>
          <w:color w:val="231F20"/>
          <w:vertAlign w:val="baseline"/>
        </w:rPr>
        <w:t>J.,</w:t>
      </w:r>
      <w:r>
        <w:rPr>
          <w:color w:val="231F20"/>
          <w:spacing w:val="-1"/>
          <w:vertAlign w:val="baseline"/>
        </w:rPr>
        <w:t> </w:t>
      </w:r>
      <w:r>
        <w:rPr>
          <w:color w:val="231F20"/>
          <w:vertAlign w:val="baseline"/>
        </w:rPr>
        <w:t>Fitall, E.,</w:t>
      </w:r>
      <w:r>
        <w:rPr>
          <w:color w:val="231F20"/>
          <w:spacing w:val="-1"/>
          <w:vertAlign w:val="baseline"/>
        </w:rPr>
        <w:t> </w:t>
      </w:r>
      <w:r>
        <w:rPr>
          <w:color w:val="231F20"/>
          <w:vertAlign w:val="baseline"/>
        </w:rPr>
        <w:t>Hall,</w:t>
      </w:r>
      <w:r>
        <w:rPr>
          <w:color w:val="231F20"/>
          <w:spacing w:val="-1"/>
          <w:vertAlign w:val="baseline"/>
        </w:rPr>
        <w:t> </w:t>
      </w:r>
      <w:r>
        <w:rPr>
          <w:color w:val="231F20"/>
          <w:vertAlign w:val="baseline"/>
        </w:rPr>
        <w:t>K.</w:t>
      </w:r>
      <w:r>
        <w:rPr>
          <w:color w:val="231F20"/>
          <w:spacing w:val="-1"/>
          <w:vertAlign w:val="baseline"/>
        </w:rPr>
        <w:t> </w:t>
      </w:r>
      <w:r>
        <w:rPr>
          <w:color w:val="231F20"/>
          <w:vertAlign w:val="baseline"/>
        </w:rPr>
        <w:t>K.,</w:t>
      </w:r>
      <w:r>
        <w:rPr>
          <w:color w:val="231F20"/>
          <w:spacing w:val="-1"/>
          <w:vertAlign w:val="baseline"/>
        </w:rPr>
        <w:t> </w:t>
      </w:r>
      <w:r>
        <w:rPr>
          <w:color w:val="231F20"/>
          <w:vertAlign w:val="baseline"/>
        </w:rPr>
        <w:t>&amp;</w:t>
      </w:r>
      <w:r>
        <w:rPr>
          <w:color w:val="231F20"/>
          <w:spacing w:val="-1"/>
          <w:vertAlign w:val="baseline"/>
        </w:rPr>
        <w:t> </w:t>
      </w:r>
      <w:r>
        <w:rPr>
          <w:color w:val="231F20"/>
          <w:vertAlign w:val="baseline"/>
        </w:rPr>
        <w:t>Gale,</w:t>
      </w:r>
    </w:p>
    <w:p>
      <w:pPr>
        <w:spacing w:line="228" w:lineRule="auto" w:before="4"/>
        <w:ind w:left="480" w:right="1097" w:firstLine="0"/>
        <w:jc w:val="left"/>
        <w:rPr>
          <w:sz w:val="22"/>
        </w:rPr>
      </w:pPr>
      <w:r>
        <w:rPr>
          <w:color w:val="231F20"/>
          <w:sz w:val="22"/>
        </w:rPr>
        <w:t>B. (2020). </w:t>
      </w:r>
      <w:r>
        <w:rPr>
          <w:i/>
          <w:color w:val="231F20"/>
          <w:sz w:val="22"/>
        </w:rPr>
        <w:t>Telehealth and patient safety during</w:t>
      </w:r>
      <w:r>
        <w:rPr>
          <w:i/>
          <w:color w:val="231F20"/>
          <w:spacing w:val="1"/>
          <w:sz w:val="22"/>
        </w:rPr>
        <w:t> </w:t>
      </w:r>
      <w:r>
        <w:rPr>
          <w:i/>
          <w:color w:val="231F20"/>
          <w:w w:val="95"/>
          <w:sz w:val="22"/>
        </w:rPr>
        <w:t>the</w:t>
      </w:r>
      <w:r>
        <w:rPr>
          <w:i/>
          <w:color w:val="231F20"/>
          <w:spacing w:val="1"/>
          <w:w w:val="95"/>
          <w:sz w:val="22"/>
        </w:rPr>
        <w:t> </w:t>
      </w:r>
      <w:r>
        <w:rPr>
          <w:i/>
          <w:color w:val="231F20"/>
          <w:w w:val="95"/>
          <w:sz w:val="22"/>
        </w:rPr>
        <w:t>COVID-19</w:t>
      </w:r>
      <w:r>
        <w:rPr>
          <w:i/>
          <w:color w:val="231F20"/>
          <w:spacing w:val="1"/>
          <w:w w:val="95"/>
          <w:sz w:val="22"/>
        </w:rPr>
        <w:t> </w:t>
      </w:r>
      <w:r>
        <w:rPr>
          <w:i/>
          <w:color w:val="231F20"/>
          <w:w w:val="95"/>
          <w:sz w:val="22"/>
        </w:rPr>
        <w:t>response</w:t>
      </w:r>
      <w:r>
        <w:rPr>
          <w:color w:val="231F20"/>
          <w:w w:val="95"/>
          <w:sz w:val="22"/>
        </w:rPr>
        <w:t>. Agency</w:t>
      </w:r>
      <w:r>
        <w:rPr>
          <w:color w:val="231F20"/>
          <w:spacing w:val="1"/>
          <w:w w:val="95"/>
          <w:sz w:val="22"/>
        </w:rPr>
        <w:t> </w:t>
      </w:r>
      <w:r>
        <w:rPr>
          <w:color w:val="231F20"/>
          <w:w w:val="95"/>
          <w:sz w:val="22"/>
        </w:rPr>
        <w:t>for</w:t>
      </w:r>
      <w:r>
        <w:rPr>
          <w:color w:val="231F20"/>
          <w:spacing w:val="1"/>
          <w:w w:val="95"/>
          <w:sz w:val="22"/>
        </w:rPr>
        <w:t> </w:t>
      </w:r>
      <w:r>
        <w:rPr>
          <w:color w:val="231F20"/>
          <w:w w:val="95"/>
          <w:sz w:val="22"/>
        </w:rPr>
        <w:t>Healthcare</w:t>
      </w:r>
      <w:r>
        <w:rPr>
          <w:color w:val="231F20"/>
          <w:spacing w:val="1"/>
          <w:w w:val="95"/>
          <w:sz w:val="22"/>
        </w:rPr>
        <w:t> </w:t>
      </w:r>
      <w:r>
        <w:rPr>
          <w:color w:val="231F20"/>
          <w:sz w:val="22"/>
        </w:rPr>
        <w:t>Research and Quality.</w:t>
      </w:r>
      <w:r>
        <w:rPr>
          <w:color w:val="3953A4"/>
          <w:sz w:val="22"/>
        </w:rPr>
        <w:t> </w:t>
      </w:r>
      <w:hyperlink r:id="rId54">
        <w:r>
          <w:rPr>
            <w:color w:val="3953A4"/>
            <w:sz w:val="22"/>
            <w:u w:val="single" w:color="3953A4"/>
          </w:rPr>
          <w:t>https://psnet.ahrq.gov/</w:t>
        </w:r>
      </w:hyperlink>
      <w:r>
        <w:rPr>
          <w:color w:val="3953A4"/>
          <w:spacing w:val="1"/>
          <w:sz w:val="22"/>
        </w:rPr>
        <w:t> </w:t>
      </w:r>
      <w:hyperlink r:id="rId54">
        <w:r>
          <w:rPr>
            <w:color w:val="3953A4"/>
            <w:sz w:val="22"/>
            <w:u w:val="single" w:color="3953A4"/>
          </w:rPr>
          <w:t>perspective/telehealth-and-patient-safety-during-</w:t>
        </w:r>
      </w:hyperlink>
      <w:r>
        <w:rPr>
          <w:color w:val="3953A4"/>
          <w:spacing w:val="-53"/>
          <w:sz w:val="22"/>
        </w:rPr>
        <w:t> </w:t>
      </w:r>
      <w:hyperlink r:id="rId54">
        <w:r>
          <w:rPr>
            <w:color w:val="3953A4"/>
            <w:sz w:val="22"/>
            <w:u w:val="single" w:color="3953A4"/>
          </w:rPr>
          <w:t>covid-19-response</w:t>
        </w:r>
      </w:hyperlink>
    </w:p>
    <w:p>
      <w:pPr>
        <w:pStyle w:val="BodyText"/>
        <w:tabs>
          <w:tab w:pos="479" w:val="left" w:leader="none"/>
        </w:tabs>
        <w:spacing w:line="228" w:lineRule="auto" w:before="88"/>
        <w:ind w:left="480" w:right="723" w:hanging="360"/>
      </w:pPr>
      <w:r>
        <w:rPr>
          <w:color w:val="231F20"/>
          <w:vertAlign w:val="superscript"/>
        </w:rPr>
        <w:t>36</w:t>
      </w:r>
      <w:r>
        <w:rPr>
          <w:color w:val="231F20"/>
          <w:vertAlign w:val="baseline"/>
        </w:rPr>
        <w:tab/>
        <w:t>Avey,</w:t>
      </w:r>
      <w:r>
        <w:rPr>
          <w:color w:val="231F20"/>
          <w:spacing w:val="-7"/>
          <w:vertAlign w:val="baseline"/>
        </w:rPr>
        <w:t> </w:t>
      </w:r>
      <w:r>
        <w:rPr>
          <w:color w:val="231F20"/>
          <w:vertAlign w:val="baseline"/>
        </w:rPr>
        <w:t>J.</w:t>
      </w:r>
      <w:r>
        <w:rPr>
          <w:color w:val="231F20"/>
          <w:spacing w:val="-7"/>
          <w:vertAlign w:val="baseline"/>
        </w:rPr>
        <w:t> </w:t>
      </w:r>
      <w:r>
        <w:rPr>
          <w:color w:val="231F20"/>
          <w:vertAlign w:val="baseline"/>
        </w:rPr>
        <w:t>P.,</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Hobbs,</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L.</w:t>
      </w:r>
      <w:r>
        <w:rPr>
          <w:color w:val="231F20"/>
          <w:spacing w:val="-7"/>
          <w:vertAlign w:val="baseline"/>
        </w:rPr>
        <w:t> </w:t>
      </w:r>
      <w:r>
        <w:rPr>
          <w:color w:val="231F20"/>
          <w:vertAlign w:val="baseline"/>
        </w:rPr>
        <w:t>(2013).</w:t>
      </w:r>
      <w:r>
        <w:rPr>
          <w:color w:val="231F20"/>
          <w:spacing w:val="-7"/>
          <w:vertAlign w:val="baseline"/>
        </w:rPr>
        <w:t> </w:t>
      </w:r>
      <w:r>
        <w:rPr>
          <w:color w:val="231F20"/>
          <w:vertAlign w:val="baseline"/>
        </w:rPr>
        <w:t>Dial</w:t>
      </w:r>
      <w:r>
        <w:rPr>
          <w:color w:val="231F20"/>
          <w:spacing w:val="-7"/>
          <w:vertAlign w:val="baseline"/>
        </w:rPr>
        <w:t> </w:t>
      </w:r>
      <w:r>
        <w:rPr>
          <w:color w:val="231F20"/>
          <w:vertAlign w:val="baseline"/>
        </w:rPr>
        <w:t>in:</w:t>
      </w:r>
      <w:r>
        <w:rPr>
          <w:color w:val="231F20"/>
          <w:spacing w:val="-7"/>
          <w:vertAlign w:val="baseline"/>
        </w:rPr>
        <w:t> </w:t>
      </w:r>
      <w:r>
        <w:rPr>
          <w:color w:val="231F20"/>
          <w:vertAlign w:val="baseline"/>
        </w:rPr>
        <w:t>Fostering</w:t>
      </w:r>
      <w:r>
        <w:rPr>
          <w:color w:val="231F20"/>
          <w:spacing w:val="-52"/>
          <w:vertAlign w:val="baseline"/>
        </w:rPr>
        <w:t> </w:t>
      </w:r>
      <w:r>
        <w:rPr>
          <w:color w:val="231F20"/>
          <w:vertAlign w:val="baseline"/>
        </w:rPr>
        <w:t>the use of telebehavioral health services in frontier</w:t>
      </w:r>
      <w:r>
        <w:rPr>
          <w:color w:val="231F20"/>
          <w:spacing w:val="1"/>
          <w:vertAlign w:val="baseline"/>
        </w:rPr>
        <w:t> </w:t>
      </w:r>
      <w:r>
        <w:rPr>
          <w:color w:val="231F20"/>
          <w:vertAlign w:val="baseline"/>
        </w:rPr>
        <w:t>Alaska. </w:t>
      </w:r>
      <w:r>
        <w:rPr>
          <w:i/>
          <w:color w:val="231F20"/>
          <w:vertAlign w:val="baseline"/>
        </w:rPr>
        <w:t>Psychological Services, 10</w:t>
      </w:r>
      <w:r>
        <w:rPr>
          <w:color w:val="231F20"/>
          <w:vertAlign w:val="baseline"/>
        </w:rPr>
        <w:t>(3), 289. </w:t>
      </w:r>
      <w:hyperlink r:id="rId55">
        <w:r>
          <w:rPr>
            <w:color w:val="3953A4"/>
            <w:u w:val="single" w:color="3953A4"/>
            <w:vertAlign w:val="baseline"/>
          </w:rPr>
          <w:t>https://</w:t>
        </w:r>
      </w:hyperlink>
      <w:r>
        <w:rPr>
          <w:color w:val="3953A4"/>
          <w:spacing w:val="1"/>
          <w:vertAlign w:val="baseline"/>
        </w:rPr>
        <w:t> </w:t>
      </w:r>
      <w:hyperlink r:id="rId55">
        <w:r>
          <w:rPr>
            <w:color w:val="3953A4"/>
            <w:u w:val="single" w:color="3953A4"/>
            <w:vertAlign w:val="baseline"/>
          </w:rPr>
          <w:t>doi.org/10.1037/a0028231</w:t>
        </w:r>
      </w:hyperlink>
    </w:p>
    <w:p>
      <w:pPr>
        <w:pStyle w:val="BodyText"/>
        <w:tabs>
          <w:tab w:pos="479" w:val="left" w:leader="none"/>
        </w:tabs>
        <w:spacing w:line="228" w:lineRule="auto" w:before="89"/>
        <w:ind w:left="480" w:right="906" w:hanging="360"/>
        <w:rPr>
          <w:i/>
        </w:rPr>
      </w:pPr>
      <w:r>
        <w:rPr>
          <w:color w:val="231F20"/>
          <w:vertAlign w:val="superscript"/>
        </w:rPr>
        <w:t>37</w:t>
      </w:r>
      <w:r>
        <w:rPr>
          <w:color w:val="231F20"/>
          <w:vertAlign w:val="baseline"/>
        </w:rPr>
        <w:tab/>
      </w:r>
      <w:r>
        <w:rPr>
          <w:color w:val="231F20"/>
          <w:w w:val="95"/>
          <w:vertAlign w:val="baseline"/>
        </w:rPr>
        <w:t>Kichloo,</w:t>
      </w:r>
      <w:r>
        <w:rPr>
          <w:color w:val="231F20"/>
          <w:spacing w:val="2"/>
          <w:w w:val="95"/>
          <w:vertAlign w:val="baseline"/>
        </w:rPr>
        <w:t> </w:t>
      </w:r>
      <w:r>
        <w:rPr>
          <w:color w:val="231F20"/>
          <w:w w:val="95"/>
          <w:vertAlign w:val="baseline"/>
        </w:rPr>
        <w:t>A.,</w:t>
      </w:r>
      <w:r>
        <w:rPr>
          <w:color w:val="231F20"/>
          <w:spacing w:val="1"/>
          <w:w w:val="95"/>
          <w:vertAlign w:val="baseline"/>
        </w:rPr>
        <w:t> </w:t>
      </w:r>
      <w:r>
        <w:rPr>
          <w:color w:val="231F20"/>
          <w:w w:val="95"/>
          <w:vertAlign w:val="baseline"/>
        </w:rPr>
        <w:t>Albosta,</w:t>
      </w:r>
      <w:r>
        <w:rPr>
          <w:color w:val="231F20"/>
          <w:spacing w:val="18"/>
          <w:w w:val="95"/>
          <w:vertAlign w:val="baseline"/>
        </w:rPr>
        <w:t> </w:t>
      </w:r>
      <w:r>
        <w:rPr>
          <w:color w:val="231F20"/>
          <w:w w:val="95"/>
          <w:vertAlign w:val="baseline"/>
        </w:rPr>
        <w:t>M.,</w:t>
      </w:r>
      <w:r>
        <w:rPr>
          <w:color w:val="231F20"/>
          <w:spacing w:val="17"/>
          <w:w w:val="95"/>
          <w:vertAlign w:val="baseline"/>
        </w:rPr>
        <w:t> </w:t>
      </w:r>
      <w:r>
        <w:rPr>
          <w:color w:val="231F20"/>
          <w:w w:val="95"/>
          <w:vertAlign w:val="baseline"/>
        </w:rPr>
        <w:t>Dettloff,</w:t>
      </w:r>
      <w:r>
        <w:rPr>
          <w:color w:val="231F20"/>
          <w:spacing w:val="18"/>
          <w:w w:val="95"/>
          <w:vertAlign w:val="baseline"/>
        </w:rPr>
        <w:t> </w:t>
      </w:r>
      <w:r>
        <w:rPr>
          <w:color w:val="231F20"/>
          <w:w w:val="95"/>
          <w:vertAlign w:val="baseline"/>
        </w:rPr>
        <w:t>K.,</w:t>
      </w:r>
      <w:r>
        <w:rPr>
          <w:color w:val="231F20"/>
          <w:spacing w:val="12"/>
          <w:w w:val="95"/>
          <w:vertAlign w:val="baseline"/>
        </w:rPr>
        <w:t> </w:t>
      </w:r>
      <w:r>
        <w:rPr>
          <w:color w:val="231F20"/>
          <w:w w:val="95"/>
          <w:vertAlign w:val="baseline"/>
        </w:rPr>
        <w:t>Wani,</w:t>
      </w:r>
      <w:r>
        <w:rPr>
          <w:color w:val="231F20"/>
          <w:spacing w:val="19"/>
          <w:w w:val="95"/>
          <w:vertAlign w:val="baseline"/>
        </w:rPr>
        <w:t> </w:t>
      </w:r>
      <w:r>
        <w:rPr>
          <w:color w:val="231F20"/>
          <w:w w:val="95"/>
          <w:vertAlign w:val="baseline"/>
        </w:rPr>
        <w:t>F.,</w:t>
      </w:r>
      <w:r>
        <w:rPr>
          <w:color w:val="231F20"/>
          <w:spacing w:val="19"/>
          <w:w w:val="95"/>
          <w:vertAlign w:val="baseline"/>
        </w:rPr>
        <w:t> </w:t>
      </w:r>
      <w:r>
        <w:rPr>
          <w:color w:val="231F20"/>
          <w:w w:val="95"/>
          <w:vertAlign w:val="baseline"/>
        </w:rPr>
        <w:t>El-</w:t>
      </w:r>
      <w:r>
        <w:rPr>
          <w:color w:val="231F20"/>
          <w:spacing w:val="-49"/>
          <w:w w:val="95"/>
          <w:vertAlign w:val="baseline"/>
        </w:rPr>
        <w:t> </w:t>
      </w:r>
      <w:r>
        <w:rPr>
          <w:color w:val="231F20"/>
          <w:vertAlign w:val="baseline"/>
        </w:rPr>
        <w:t>Amir, Z., Singh, J., Aljadah, M., Chakinala, R. C.,</w:t>
      </w:r>
      <w:r>
        <w:rPr>
          <w:color w:val="231F20"/>
          <w:spacing w:val="1"/>
          <w:vertAlign w:val="baseline"/>
        </w:rPr>
        <w:t> </w:t>
      </w:r>
      <w:r>
        <w:rPr>
          <w:color w:val="231F20"/>
          <w:vertAlign w:val="baseline"/>
        </w:rPr>
        <w:t>Kanugula, A. K., Solanki, S., &amp; Chugh, S. (2020).</w:t>
      </w:r>
      <w:r>
        <w:rPr>
          <w:color w:val="231F20"/>
          <w:spacing w:val="1"/>
          <w:vertAlign w:val="baseline"/>
        </w:rPr>
        <w:t> </w:t>
      </w:r>
      <w:r>
        <w:rPr>
          <w:color w:val="231F20"/>
          <w:vertAlign w:val="baseline"/>
        </w:rPr>
        <w:t>Telemedicine, the current COVID-19 pandemic</w:t>
      </w:r>
      <w:r>
        <w:rPr>
          <w:color w:val="231F20"/>
          <w:spacing w:val="1"/>
          <w:vertAlign w:val="baseline"/>
        </w:rPr>
        <w:t> </w:t>
      </w:r>
      <w:r>
        <w:rPr>
          <w:color w:val="231F20"/>
          <w:vertAlign w:val="baseline"/>
        </w:rPr>
        <w:t>and the</w:t>
      </w:r>
      <w:r>
        <w:rPr>
          <w:color w:val="231F20"/>
          <w:spacing w:val="-1"/>
          <w:vertAlign w:val="baseline"/>
        </w:rPr>
        <w:t> </w:t>
      </w:r>
      <w:r>
        <w:rPr>
          <w:color w:val="231F20"/>
          <w:vertAlign w:val="baseline"/>
        </w:rPr>
        <w:t>future:</w:t>
      </w:r>
      <w:r>
        <w:rPr>
          <w:color w:val="231F20"/>
          <w:spacing w:val="-13"/>
          <w:vertAlign w:val="baseline"/>
        </w:rPr>
        <w:t> </w:t>
      </w:r>
      <w:r>
        <w:rPr>
          <w:color w:val="231F20"/>
          <w:vertAlign w:val="baseline"/>
        </w:rPr>
        <w:t>A</w:t>
      </w:r>
      <w:r>
        <w:rPr>
          <w:color w:val="231F20"/>
          <w:spacing w:val="-13"/>
          <w:vertAlign w:val="baseline"/>
        </w:rPr>
        <w:t> </w:t>
      </w:r>
      <w:r>
        <w:rPr>
          <w:color w:val="231F20"/>
          <w:vertAlign w:val="baseline"/>
        </w:rPr>
        <w:t>narrative review and perspectives</w:t>
      </w:r>
      <w:r>
        <w:rPr>
          <w:color w:val="231F20"/>
          <w:spacing w:val="-52"/>
          <w:vertAlign w:val="baseline"/>
        </w:rPr>
        <w:t> </w:t>
      </w:r>
      <w:r>
        <w:rPr>
          <w:color w:val="231F20"/>
          <w:vertAlign w:val="baseline"/>
        </w:rPr>
        <w:t>moving forward</w:t>
      </w:r>
      <w:r>
        <w:rPr>
          <w:color w:val="231F20"/>
          <w:spacing w:val="-1"/>
          <w:vertAlign w:val="baseline"/>
        </w:rPr>
        <w:t> </w:t>
      </w:r>
      <w:r>
        <w:rPr>
          <w:color w:val="231F20"/>
          <w:vertAlign w:val="baseline"/>
        </w:rPr>
        <w:t>in the USA. </w:t>
      </w:r>
      <w:r>
        <w:rPr>
          <w:i/>
          <w:color w:val="231F20"/>
          <w:vertAlign w:val="baseline"/>
        </w:rPr>
        <w:t>Family Medicine</w:t>
      </w:r>
    </w:p>
    <w:p>
      <w:pPr>
        <w:spacing w:line="228" w:lineRule="auto" w:before="0"/>
        <w:ind w:left="480" w:right="943" w:firstLine="0"/>
        <w:jc w:val="left"/>
        <w:rPr>
          <w:sz w:val="22"/>
        </w:rPr>
      </w:pPr>
      <w:r>
        <w:rPr>
          <w:i/>
          <w:color w:val="231F20"/>
          <w:sz w:val="22"/>
        </w:rPr>
        <w:t>and Community Health, 8</w:t>
      </w:r>
      <w:r>
        <w:rPr>
          <w:color w:val="231F20"/>
          <w:sz w:val="22"/>
        </w:rPr>
        <w:t>(3), e000530. </w:t>
      </w:r>
      <w:hyperlink r:id="rId56">
        <w:r>
          <w:rPr>
            <w:color w:val="3953A4"/>
            <w:sz w:val="22"/>
            <w:u w:val="single" w:color="3953A4"/>
          </w:rPr>
          <w:t>https://doi.</w:t>
        </w:r>
      </w:hyperlink>
      <w:r>
        <w:rPr>
          <w:color w:val="3953A4"/>
          <w:spacing w:val="-53"/>
          <w:sz w:val="22"/>
        </w:rPr>
        <w:t> </w:t>
      </w:r>
      <w:hyperlink r:id="rId56">
        <w:r>
          <w:rPr>
            <w:color w:val="3953A4"/>
            <w:sz w:val="22"/>
            <w:u w:val="single" w:color="3953A4"/>
          </w:rPr>
          <w:t>org/10.1136/fmch-2020-000530</w:t>
        </w:r>
      </w:hyperlink>
    </w:p>
    <w:p>
      <w:pPr>
        <w:spacing w:after="0" w:line="228" w:lineRule="auto"/>
        <w:jc w:val="left"/>
        <w:rPr>
          <w:sz w:val="22"/>
        </w:rPr>
        <w:sectPr>
          <w:type w:val="continuous"/>
          <w:pgSz w:w="12240" w:h="15840"/>
          <w:pgMar w:header="0" w:footer="666" w:top="1500" w:bottom="0" w:left="600" w:right="0"/>
          <w:cols w:num="2" w:equalWidth="0">
            <w:col w:w="5172" w:space="588"/>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tabs>
          <w:tab w:pos="479" w:val="left" w:leader="none"/>
        </w:tabs>
        <w:spacing w:line="228" w:lineRule="auto" w:before="101"/>
        <w:ind w:left="480" w:right="141" w:hanging="360"/>
      </w:pPr>
      <w:r>
        <w:rPr>
          <w:color w:val="231F20"/>
          <w:vertAlign w:val="superscript"/>
        </w:rPr>
        <w:t>38</w:t>
      </w:r>
      <w:r>
        <w:rPr>
          <w:color w:val="231F20"/>
          <w:vertAlign w:val="baseline"/>
        </w:rPr>
        <w:tab/>
      </w:r>
      <w:r>
        <w:rPr>
          <w:color w:val="231F20"/>
          <w:spacing w:val="-1"/>
          <w:vertAlign w:val="baseline"/>
        </w:rPr>
        <w:t>Uscher-Pines, </w:t>
      </w:r>
      <w:r>
        <w:rPr>
          <w:color w:val="231F20"/>
          <w:vertAlign w:val="baseline"/>
        </w:rPr>
        <w:t>L., Raja, P., Mehrotra, A., &amp;</w:t>
      </w:r>
      <w:r>
        <w:rPr>
          <w:color w:val="231F20"/>
          <w:spacing w:val="1"/>
          <w:vertAlign w:val="baseline"/>
        </w:rPr>
        <w:t> </w:t>
      </w:r>
      <w:r>
        <w:rPr>
          <w:color w:val="231F20"/>
          <w:vertAlign w:val="baseline"/>
        </w:rPr>
        <w:t>Huskamp, H. (2020). Health center implementation</w:t>
      </w:r>
      <w:r>
        <w:rPr>
          <w:color w:val="231F20"/>
          <w:spacing w:val="-52"/>
          <w:vertAlign w:val="baseline"/>
        </w:rPr>
        <w:t> </w:t>
      </w:r>
      <w:r>
        <w:rPr>
          <w:color w:val="231F20"/>
          <w:vertAlign w:val="baseline"/>
        </w:rPr>
        <w:t>of telemedicine for opioid use disorders: A</w:t>
      </w:r>
      <w:r>
        <w:rPr>
          <w:color w:val="231F20"/>
          <w:spacing w:val="1"/>
          <w:vertAlign w:val="baseline"/>
        </w:rPr>
        <w:t> </w:t>
      </w:r>
      <w:r>
        <w:rPr>
          <w:color w:val="231F20"/>
          <w:vertAlign w:val="baseline"/>
        </w:rPr>
        <w:t>qualitative assessment of adopters and nonadopters.</w:t>
      </w:r>
      <w:r>
        <w:rPr>
          <w:color w:val="231F20"/>
          <w:spacing w:val="-52"/>
          <w:vertAlign w:val="baseline"/>
        </w:rPr>
        <w:t> </w:t>
      </w:r>
      <w:r>
        <w:rPr>
          <w:i/>
          <w:color w:val="231F20"/>
          <w:vertAlign w:val="baseline"/>
        </w:rPr>
        <w:t>Journal of Substance Abuse Treatment</w:t>
      </w:r>
      <w:r>
        <w:rPr>
          <w:color w:val="231F20"/>
          <w:vertAlign w:val="baseline"/>
        </w:rPr>
        <w:t>, 108037.</w:t>
      </w:r>
      <w:r>
        <w:rPr>
          <w:color w:val="231F20"/>
          <w:spacing w:val="1"/>
          <w:vertAlign w:val="baseline"/>
        </w:rPr>
        <w:t> </w:t>
      </w:r>
      <w:hyperlink r:id="rId57">
        <w:r>
          <w:rPr>
            <w:color w:val="3953A4"/>
            <w:u w:val="single" w:color="3953A4"/>
            <w:vertAlign w:val="baseline"/>
          </w:rPr>
          <w:t>https://doi.org/10.1016/j.jsat.2020.108037</w:t>
        </w:r>
      </w:hyperlink>
    </w:p>
    <w:p>
      <w:pPr>
        <w:pStyle w:val="BodyText"/>
        <w:tabs>
          <w:tab w:pos="479" w:val="left" w:leader="none"/>
        </w:tabs>
        <w:spacing w:line="228" w:lineRule="auto" w:before="88"/>
        <w:ind w:left="480" w:right="115" w:hanging="360"/>
      </w:pPr>
      <w:r>
        <w:rPr>
          <w:color w:val="231F20"/>
          <w:vertAlign w:val="superscript"/>
        </w:rPr>
        <w:t>39</w:t>
      </w:r>
      <w:r>
        <w:rPr>
          <w:color w:val="231F20"/>
          <w:vertAlign w:val="baseline"/>
        </w:rPr>
        <w:tab/>
        <w:t>Mid-Atlantic Telehealth Resource Center. (2016).</w:t>
      </w:r>
      <w:r>
        <w:rPr>
          <w:color w:val="231F20"/>
          <w:spacing w:val="1"/>
          <w:vertAlign w:val="baseline"/>
        </w:rPr>
        <w:t> </w:t>
      </w:r>
      <w:r>
        <w:rPr>
          <w:i/>
          <w:color w:val="231F20"/>
          <w:vertAlign w:val="baseline"/>
        </w:rPr>
        <w:t>Telehealth: The big picture</w:t>
      </w:r>
      <w:r>
        <w:rPr>
          <w:color w:val="231F20"/>
          <w:vertAlign w:val="baseline"/>
        </w:rPr>
        <w:t>. </w:t>
      </w:r>
      <w:hyperlink r:id="rId58">
        <w:r>
          <w:rPr>
            <w:color w:val="3953A4"/>
            <w:u w:val="single" w:color="3953A4"/>
            <w:vertAlign w:val="baseline"/>
          </w:rPr>
          <w:t>https://nosorh.org/wp-</w:t>
        </w:r>
      </w:hyperlink>
      <w:r>
        <w:rPr>
          <w:color w:val="3953A4"/>
          <w:spacing w:val="1"/>
          <w:vertAlign w:val="baseline"/>
        </w:rPr>
        <w:t> </w:t>
      </w:r>
      <w:hyperlink r:id="rId58">
        <w:r>
          <w:rPr>
            <w:color w:val="3953A4"/>
            <w:spacing w:val="-1"/>
            <w:u w:val="single" w:color="3953A4"/>
            <w:vertAlign w:val="baseline"/>
          </w:rPr>
          <w:t>content/uploads/2016/11/NOSORH-Telehealth-Big-</w:t>
        </w:r>
      </w:hyperlink>
      <w:r>
        <w:rPr>
          <w:color w:val="3953A4"/>
          <w:spacing w:val="-52"/>
          <w:vertAlign w:val="baseline"/>
        </w:rPr>
        <w:t> </w:t>
      </w:r>
      <w:hyperlink r:id="rId58">
        <w:r>
          <w:rPr>
            <w:color w:val="3953A4"/>
            <w:u w:val="single" w:color="3953A4"/>
            <w:vertAlign w:val="baseline"/>
          </w:rPr>
          <w:t>Picture-Fact-Sheet-FINAL.pdf</w:t>
        </w:r>
      </w:hyperlink>
    </w:p>
    <w:p>
      <w:pPr>
        <w:tabs>
          <w:tab w:pos="479" w:val="left" w:leader="none"/>
        </w:tabs>
        <w:spacing w:line="228" w:lineRule="auto" w:before="89"/>
        <w:ind w:left="480" w:right="50" w:hanging="360"/>
        <w:jc w:val="left"/>
        <w:rPr>
          <w:sz w:val="22"/>
        </w:rPr>
      </w:pPr>
      <w:r>
        <w:rPr>
          <w:color w:val="231F20"/>
          <w:sz w:val="22"/>
          <w:vertAlign w:val="superscript"/>
        </w:rPr>
        <w:t>40</w:t>
      </w:r>
      <w:r>
        <w:rPr>
          <w:color w:val="231F20"/>
          <w:sz w:val="22"/>
          <w:vertAlign w:val="baseline"/>
        </w:rPr>
        <w:tab/>
        <w:t>Rural Health Information Hub. (2020). </w:t>
      </w:r>
      <w:r>
        <w:rPr>
          <w:i/>
          <w:color w:val="231F20"/>
          <w:sz w:val="22"/>
          <w:vertAlign w:val="baseline"/>
        </w:rPr>
        <w:t>Telehealth</w:t>
      </w:r>
      <w:r>
        <w:rPr>
          <w:i/>
          <w:color w:val="231F20"/>
          <w:spacing w:val="1"/>
          <w:sz w:val="22"/>
          <w:vertAlign w:val="baseline"/>
        </w:rPr>
        <w:t> </w:t>
      </w:r>
      <w:r>
        <w:rPr>
          <w:i/>
          <w:color w:val="231F20"/>
          <w:sz w:val="22"/>
          <w:vertAlign w:val="baseline"/>
        </w:rPr>
        <w:t>models for increasing access to specialty care</w:t>
      </w:r>
      <w:r>
        <w:rPr>
          <w:color w:val="231F20"/>
          <w:sz w:val="22"/>
          <w:vertAlign w:val="baseline"/>
        </w:rPr>
        <w:t>.</w:t>
      </w:r>
      <w:r>
        <w:rPr>
          <w:color w:val="231F20"/>
          <w:spacing w:val="1"/>
          <w:sz w:val="22"/>
          <w:vertAlign w:val="baseline"/>
        </w:rPr>
        <w:t> </w:t>
      </w:r>
      <w:hyperlink r:id="rId59">
        <w:r>
          <w:rPr>
            <w:color w:val="3953A4"/>
            <w:spacing w:val="-1"/>
            <w:sz w:val="22"/>
            <w:u w:val="single" w:color="3953A4"/>
            <w:vertAlign w:val="baseline"/>
          </w:rPr>
          <w:t>https://www.ruralhealthinfo.org/toolkits/telehealth/2/</w:t>
        </w:r>
      </w:hyperlink>
      <w:r>
        <w:rPr>
          <w:color w:val="3953A4"/>
          <w:spacing w:val="-52"/>
          <w:sz w:val="22"/>
          <w:vertAlign w:val="baseline"/>
        </w:rPr>
        <w:t> </w:t>
      </w:r>
      <w:hyperlink r:id="rId59">
        <w:r>
          <w:rPr>
            <w:color w:val="3953A4"/>
            <w:sz w:val="22"/>
            <w:u w:val="single" w:color="3953A4"/>
            <w:vertAlign w:val="baseline"/>
          </w:rPr>
          <w:t>care-delivery/specialty-care</w:t>
        </w:r>
      </w:hyperlink>
    </w:p>
    <w:p>
      <w:pPr>
        <w:pStyle w:val="BodyText"/>
        <w:tabs>
          <w:tab w:pos="479" w:val="left" w:leader="none"/>
        </w:tabs>
        <w:spacing w:line="228" w:lineRule="auto" w:before="88"/>
        <w:ind w:left="480" w:right="61" w:hanging="360"/>
      </w:pPr>
      <w:r>
        <w:rPr>
          <w:color w:val="231F20"/>
          <w:vertAlign w:val="superscript"/>
        </w:rPr>
        <w:t>41</w:t>
      </w:r>
      <w:r>
        <w:rPr>
          <w:color w:val="231F20"/>
          <w:vertAlign w:val="baseline"/>
        </w:rPr>
        <w:tab/>
      </w:r>
      <w:r>
        <w:rPr>
          <w:color w:val="231F20"/>
          <w:spacing w:val="-1"/>
          <w:vertAlign w:val="baseline"/>
        </w:rPr>
        <w:t>Texas A&amp;M Telebehavioral Care. (2020). </w:t>
      </w:r>
      <w:r>
        <w:rPr>
          <w:i/>
          <w:color w:val="231F20"/>
          <w:vertAlign w:val="baseline"/>
        </w:rPr>
        <w:t>What is</w:t>
      </w:r>
      <w:r>
        <w:rPr>
          <w:i/>
          <w:color w:val="231F20"/>
          <w:spacing w:val="1"/>
          <w:vertAlign w:val="baseline"/>
        </w:rPr>
        <w:t> </w:t>
      </w:r>
      <w:r>
        <w:rPr>
          <w:i/>
          <w:color w:val="231F20"/>
          <w:spacing w:val="-2"/>
          <w:vertAlign w:val="baseline"/>
        </w:rPr>
        <w:t>telebehavioral </w:t>
      </w:r>
      <w:r>
        <w:rPr>
          <w:i/>
          <w:color w:val="231F20"/>
          <w:spacing w:val="-1"/>
          <w:vertAlign w:val="baseline"/>
        </w:rPr>
        <w:t>care? </w:t>
      </w:r>
      <w:r>
        <w:rPr>
          <w:color w:val="231F20"/>
          <w:spacing w:val="-1"/>
          <w:vertAlign w:val="baseline"/>
        </w:rPr>
        <w:t>Texas A&amp;M University. </w:t>
      </w:r>
      <w:hyperlink r:id="rId60">
        <w:r>
          <w:rPr>
            <w:color w:val="3953A4"/>
            <w:spacing w:val="-1"/>
            <w:u w:val="single" w:color="3953A4"/>
            <w:vertAlign w:val="baseline"/>
          </w:rPr>
          <w:t>https://</w:t>
        </w:r>
      </w:hyperlink>
      <w:r>
        <w:rPr>
          <w:color w:val="3953A4"/>
          <w:spacing w:val="-52"/>
          <w:vertAlign w:val="baseline"/>
        </w:rPr>
        <w:t> </w:t>
      </w:r>
      <w:hyperlink r:id="rId60">
        <w:r>
          <w:rPr>
            <w:color w:val="3953A4"/>
            <w:u w:val="single" w:color="3953A4"/>
            <w:vertAlign w:val="baseline"/>
          </w:rPr>
          <w:t>health.tamu.edu/care/telebehavioral-care/about.html</w:t>
        </w:r>
      </w:hyperlink>
    </w:p>
    <w:p>
      <w:pPr>
        <w:pStyle w:val="BodyText"/>
        <w:tabs>
          <w:tab w:pos="479" w:val="left" w:leader="none"/>
        </w:tabs>
        <w:spacing w:line="228" w:lineRule="auto" w:before="89"/>
        <w:ind w:left="480" w:right="38" w:hanging="360"/>
      </w:pPr>
      <w:r>
        <w:rPr>
          <w:color w:val="231F20"/>
          <w:vertAlign w:val="superscript"/>
        </w:rPr>
        <w:t>42</w:t>
      </w:r>
      <w:r>
        <w:rPr>
          <w:color w:val="231F20"/>
          <w:vertAlign w:val="baseline"/>
        </w:rPr>
        <w:tab/>
        <w:t>Hills,</w:t>
      </w:r>
      <w:r>
        <w:rPr>
          <w:color w:val="231F20"/>
          <w:spacing w:val="-12"/>
          <w:vertAlign w:val="baseline"/>
        </w:rPr>
        <w:t> </w:t>
      </w:r>
      <w:r>
        <w:rPr>
          <w:color w:val="231F20"/>
          <w:vertAlign w:val="baseline"/>
        </w:rPr>
        <w:t>W.</w:t>
      </w:r>
      <w:r>
        <w:rPr>
          <w:color w:val="231F20"/>
          <w:spacing w:val="-7"/>
          <w:vertAlign w:val="baseline"/>
        </w:rPr>
        <w:t> </w:t>
      </w:r>
      <w:r>
        <w:rPr>
          <w:color w:val="231F20"/>
          <w:vertAlign w:val="baseline"/>
        </w:rPr>
        <w:t>E.,</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Hills,</w:t>
      </w:r>
      <w:r>
        <w:rPr>
          <w:color w:val="231F20"/>
          <w:spacing w:val="-7"/>
          <w:vertAlign w:val="baseline"/>
        </w:rPr>
        <w:t> </w:t>
      </w:r>
      <w:r>
        <w:rPr>
          <w:color w:val="231F20"/>
          <w:vertAlign w:val="baseline"/>
        </w:rPr>
        <w:t>K.</w:t>
      </w:r>
      <w:r>
        <w:rPr>
          <w:color w:val="231F20"/>
          <w:spacing w:val="-12"/>
          <w:vertAlign w:val="baseline"/>
        </w:rPr>
        <w:t> </w:t>
      </w:r>
      <w:r>
        <w:rPr>
          <w:color w:val="231F20"/>
          <w:vertAlign w:val="baseline"/>
        </w:rPr>
        <w:t>T.</w:t>
      </w:r>
      <w:r>
        <w:rPr>
          <w:color w:val="231F20"/>
          <w:spacing w:val="-7"/>
          <w:vertAlign w:val="baseline"/>
        </w:rPr>
        <w:t> </w:t>
      </w:r>
      <w:r>
        <w:rPr>
          <w:color w:val="231F20"/>
          <w:vertAlign w:val="baseline"/>
        </w:rPr>
        <w:t>(2019).</w:t>
      </w:r>
      <w:r>
        <w:rPr>
          <w:color w:val="231F20"/>
          <w:spacing w:val="-10"/>
          <w:vertAlign w:val="baseline"/>
        </w:rPr>
        <w:t> </w:t>
      </w:r>
      <w:r>
        <w:rPr>
          <w:color w:val="231F20"/>
          <w:vertAlign w:val="baseline"/>
        </w:rPr>
        <w:t>Virtual</w:t>
      </w:r>
      <w:r>
        <w:rPr>
          <w:color w:val="231F20"/>
          <w:spacing w:val="-7"/>
          <w:vertAlign w:val="baseline"/>
        </w:rPr>
        <w:t> </w:t>
      </w:r>
      <w:r>
        <w:rPr>
          <w:color w:val="231F20"/>
          <w:vertAlign w:val="baseline"/>
        </w:rPr>
        <w:t>treatments</w:t>
      </w:r>
      <w:r>
        <w:rPr>
          <w:color w:val="231F20"/>
          <w:spacing w:val="-52"/>
          <w:vertAlign w:val="baseline"/>
        </w:rPr>
        <w:t> </w:t>
      </w:r>
      <w:r>
        <w:rPr>
          <w:color w:val="231F20"/>
          <w:vertAlign w:val="baseline"/>
        </w:rPr>
        <w:t>in an integrated primary care-behavioral health</w:t>
      </w:r>
      <w:r>
        <w:rPr>
          <w:color w:val="231F20"/>
          <w:spacing w:val="1"/>
          <w:vertAlign w:val="baseline"/>
        </w:rPr>
        <w:t> </w:t>
      </w:r>
      <w:r>
        <w:rPr>
          <w:color w:val="231F20"/>
          <w:vertAlign w:val="baseline"/>
        </w:rPr>
        <w:t>practice: An overview of synchronous telehealth</w:t>
      </w:r>
      <w:r>
        <w:rPr>
          <w:color w:val="231F20"/>
          <w:spacing w:val="1"/>
          <w:vertAlign w:val="baseline"/>
        </w:rPr>
        <w:t> </w:t>
      </w:r>
      <w:r>
        <w:rPr>
          <w:color w:val="231F20"/>
          <w:vertAlign w:val="baseline"/>
        </w:rPr>
        <w:t>services to address rural-urban disparities in mental</w:t>
      </w:r>
      <w:r>
        <w:rPr>
          <w:color w:val="231F20"/>
          <w:spacing w:val="1"/>
          <w:vertAlign w:val="baseline"/>
        </w:rPr>
        <w:t> </w:t>
      </w:r>
      <w:r>
        <w:rPr>
          <w:color w:val="231F20"/>
          <w:vertAlign w:val="baseline"/>
        </w:rPr>
        <w:t>health care. </w:t>
      </w:r>
      <w:r>
        <w:rPr>
          <w:i/>
          <w:color w:val="231F20"/>
          <w:vertAlign w:val="baseline"/>
        </w:rPr>
        <w:t>Medical Science Pulse, 13</w:t>
      </w:r>
      <w:r>
        <w:rPr>
          <w:color w:val="231F20"/>
          <w:vertAlign w:val="baseline"/>
        </w:rPr>
        <w:t>(3). </w:t>
      </w:r>
      <w:hyperlink r:id="rId61">
        <w:r>
          <w:rPr>
            <w:color w:val="3953A4"/>
            <w:u w:val="single" w:color="3953A4"/>
            <w:vertAlign w:val="baseline"/>
          </w:rPr>
          <w:t>https://</w:t>
        </w:r>
      </w:hyperlink>
      <w:r>
        <w:rPr>
          <w:color w:val="3953A4"/>
          <w:spacing w:val="1"/>
          <w:vertAlign w:val="baseline"/>
        </w:rPr>
        <w:t> </w:t>
      </w:r>
      <w:hyperlink r:id="rId61">
        <w:r>
          <w:rPr>
            <w:color w:val="3953A4"/>
            <w:u w:val="single" w:color="3953A4"/>
            <w:vertAlign w:val="baseline"/>
          </w:rPr>
          <w:t>www.ceeol.com/search/article-detail?id=811029</w:t>
        </w:r>
      </w:hyperlink>
    </w:p>
    <w:p>
      <w:pPr>
        <w:pStyle w:val="BodyText"/>
        <w:spacing w:line="228" w:lineRule="auto" w:before="88"/>
        <w:ind w:left="480" w:right="372" w:hanging="360"/>
        <w:jc w:val="both"/>
      </w:pPr>
      <w:r>
        <w:rPr>
          <w:color w:val="231F20"/>
          <w:vertAlign w:val="superscript"/>
        </w:rPr>
        <w:t>43</w:t>
      </w:r>
      <w:r>
        <w:rPr>
          <w:color w:val="231F20"/>
          <w:spacing w:val="1"/>
          <w:vertAlign w:val="baseline"/>
        </w:rPr>
        <w:t> </w:t>
      </w:r>
      <w:r>
        <w:rPr>
          <w:color w:val="231F20"/>
          <w:vertAlign w:val="baseline"/>
        </w:rPr>
        <w:t>Bäuml, J., Froböse, T., Kraemer, S., Rentrop, M.,</w:t>
      </w:r>
      <w:r>
        <w:rPr>
          <w:color w:val="231F20"/>
          <w:spacing w:val="-52"/>
          <w:vertAlign w:val="baseline"/>
        </w:rPr>
        <w:t> </w:t>
      </w:r>
      <w:r>
        <w:rPr>
          <w:color w:val="231F20"/>
          <w:spacing w:val="-2"/>
          <w:vertAlign w:val="baseline"/>
        </w:rPr>
        <w:t>&amp; Pitschel-Walz, </w:t>
      </w:r>
      <w:r>
        <w:rPr>
          <w:color w:val="231F20"/>
          <w:spacing w:val="-1"/>
          <w:vertAlign w:val="baseline"/>
        </w:rPr>
        <w:t>G. (2006). Psychoeducation: A</w:t>
      </w:r>
      <w:r>
        <w:rPr>
          <w:color w:val="231F20"/>
          <w:vertAlign w:val="baseline"/>
        </w:rPr>
        <w:t> basic psychotherapeutic intervention for patients</w:t>
      </w:r>
    </w:p>
    <w:p>
      <w:pPr>
        <w:spacing w:line="228" w:lineRule="auto" w:before="0"/>
        <w:ind w:left="480" w:right="75" w:firstLine="0"/>
        <w:jc w:val="left"/>
        <w:rPr>
          <w:sz w:val="22"/>
        </w:rPr>
      </w:pPr>
      <w:r>
        <w:rPr>
          <w:color w:val="231F20"/>
          <w:sz w:val="22"/>
        </w:rPr>
        <w:t>with</w:t>
      </w:r>
      <w:r>
        <w:rPr>
          <w:color w:val="231F20"/>
          <w:spacing w:val="-6"/>
          <w:sz w:val="22"/>
        </w:rPr>
        <w:t> </w:t>
      </w:r>
      <w:r>
        <w:rPr>
          <w:color w:val="231F20"/>
          <w:sz w:val="22"/>
        </w:rPr>
        <w:t>schizophrenia</w:t>
      </w:r>
      <w:r>
        <w:rPr>
          <w:color w:val="231F20"/>
          <w:spacing w:val="-5"/>
          <w:sz w:val="22"/>
        </w:rPr>
        <w:t> </w:t>
      </w:r>
      <w:r>
        <w:rPr>
          <w:color w:val="231F20"/>
          <w:sz w:val="22"/>
        </w:rPr>
        <w:t>and</w:t>
      </w:r>
      <w:r>
        <w:rPr>
          <w:color w:val="231F20"/>
          <w:spacing w:val="-5"/>
          <w:sz w:val="22"/>
        </w:rPr>
        <w:t> </w:t>
      </w:r>
      <w:r>
        <w:rPr>
          <w:color w:val="231F20"/>
          <w:sz w:val="22"/>
        </w:rPr>
        <w:t>their</w:t>
      </w:r>
      <w:r>
        <w:rPr>
          <w:color w:val="231F20"/>
          <w:spacing w:val="-4"/>
          <w:sz w:val="22"/>
        </w:rPr>
        <w:t> </w:t>
      </w:r>
      <w:r>
        <w:rPr>
          <w:color w:val="231F20"/>
          <w:sz w:val="22"/>
        </w:rPr>
        <w:t>families.</w:t>
      </w:r>
      <w:r>
        <w:rPr>
          <w:color w:val="231F20"/>
          <w:spacing w:val="-5"/>
          <w:sz w:val="22"/>
        </w:rPr>
        <w:t> </w:t>
      </w:r>
      <w:r>
        <w:rPr>
          <w:i/>
          <w:color w:val="231F20"/>
          <w:sz w:val="22"/>
        </w:rPr>
        <w:t>Schizophrenia</w:t>
      </w:r>
      <w:r>
        <w:rPr>
          <w:i/>
          <w:color w:val="231F20"/>
          <w:spacing w:val="-52"/>
          <w:sz w:val="22"/>
        </w:rPr>
        <w:t> </w:t>
      </w:r>
      <w:r>
        <w:rPr>
          <w:i/>
          <w:color w:val="231F20"/>
          <w:sz w:val="22"/>
        </w:rPr>
        <w:t>Bulletin, 32</w:t>
      </w:r>
      <w:r>
        <w:rPr>
          <w:color w:val="231F20"/>
          <w:sz w:val="22"/>
        </w:rPr>
        <w:t>(suppl_1), S1-S9. </w:t>
      </w:r>
      <w:hyperlink r:id="rId62">
        <w:r>
          <w:rPr>
            <w:color w:val="3953A4"/>
            <w:sz w:val="22"/>
            <w:u w:val="single" w:color="3953A4"/>
          </w:rPr>
          <w:t>https://doi.</w:t>
        </w:r>
      </w:hyperlink>
      <w:r>
        <w:rPr>
          <w:color w:val="3953A4"/>
          <w:spacing w:val="1"/>
          <w:sz w:val="22"/>
        </w:rPr>
        <w:t> </w:t>
      </w:r>
      <w:hyperlink r:id="rId62">
        <w:r>
          <w:rPr>
            <w:color w:val="3953A4"/>
            <w:sz w:val="22"/>
            <w:u w:val="single" w:color="3953A4"/>
          </w:rPr>
          <w:t>org/10.1093%2Fschbul%2Fsbl017</w:t>
        </w:r>
      </w:hyperlink>
    </w:p>
    <w:p>
      <w:pPr>
        <w:pStyle w:val="BodyText"/>
        <w:tabs>
          <w:tab w:pos="479" w:val="left" w:leader="none"/>
        </w:tabs>
        <w:spacing w:line="228" w:lineRule="auto" w:before="89"/>
        <w:ind w:left="480" w:right="124" w:hanging="360"/>
      </w:pPr>
      <w:r>
        <w:rPr>
          <w:color w:val="231F20"/>
          <w:vertAlign w:val="superscript"/>
        </w:rPr>
        <w:t>44</w:t>
      </w:r>
      <w:r>
        <w:rPr>
          <w:color w:val="231F20"/>
          <w:vertAlign w:val="baseline"/>
        </w:rPr>
        <w:tab/>
        <w:t>mHealthIntelligence. (2020). Healthcare looks to</w:t>
      </w:r>
      <w:r>
        <w:rPr>
          <w:color w:val="231F20"/>
          <w:spacing w:val="1"/>
          <w:vertAlign w:val="baseline"/>
        </w:rPr>
        <w:t> </w:t>
      </w:r>
      <w:r>
        <w:rPr>
          <w:color w:val="231F20"/>
          <w:vertAlign w:val="baseline"/>
        </w:rPr>
        <w:t>telehelath to address physician burnout, stress.</w:t>
      </w:r>
      <w:r>
        <w:rPr>
          <w:color w:val="231F20"/>
          <w:spacing w:val="1"/>
          <w:vertAlign w:val="baseline"/>
        </w:rPr>
        <w:t> </w:t>
      </w:r>
      <w:hyperlink r:id="rId63">
        <w:r>
          <w:rPr>
            <w:color w:val="3953A4"/>
            <w:u w:val="single" w:color="3953A4"/>
            <w:vertAlign w:val="baseline"/>
          </w:rPr>
          <w:t>https://mhealthintelligence.com/features/healthcare-</w:t>
        </w:r>
      </w:hyperlink>
      <w:r>
        <w:rPr>
          <w:color w:val="3953A4"/>
          <w:spacing w:val="-53"/>
          <w:vertAlign w:val="baseline"/>
        </w:rPr>
        <w:t> </w:t>
      </w:r>
      <w:hyperlink r:id="rId63">
        <w:r>
          <w:rPr>
            <w:color w:val="3953A4"/>
            <w:u w:val="single" w:color="3953A4"/>
            <w:vertAlign w:val="baseline"/>
          </w:rPr>
          <w:t>looks-to-telehealth-to-address-physician-burnout-</w:t>
        </w:r>
      </w:hyperlink>
      <w:r>
        <w:rPr>
          <w:color w:val="3953A4"/>
          <w:spacing w:val="1"/>
          <w:vertAlign w:val="baseline"/>
        </w:rPr>
        <w:t> </w:t>
      </w:r>
      <w:hyperlink r:id="rId63">
        <w:r>
          <w:rPr>
            <w:color w:val="3953A4"/>
            <w:u w:val="single" w:color="3953A4"/>
            <w:vertAlign w:val="baseline"/>
          </w:rPr>
          <w:t>stress</w:t>
        </w:r>
      </w:hyperlink>
    </w:p>
    <w:p>
      <w:pPr>
        <w:pStyle w:val="BodyText"/>
        <w:tabs>
          <w:tab w:pos="479" w:val="left" w:leader="none"/>
        </w:tabs>
        <w:spacing w:line="228" w:lineRule="auto" w:before="88"/>
        <w:ind w:left="479" w:right="368" w:hanging="360"/>
      </w:pPr>
      <w:r>
        <w:rPr>
          <w:color w:val="231F20"/>
          <w:vertAlign w:val="superscript"/>
        </w:rPr>
        <w:t>45</w:t>
      </w:r>
      <w:r>
        <w:rPr>
          <w:color w:val="231F20"/>
          <w:vertAlign w:val="baseline"/>
        </w:rPr>
        <w:tab/>
        <w:t>iSalus Healthcare. (2019). Physician burnout: Is</w:t>
      </w:r>
      <w:r>
        <w:rPr>
          <w:color w:val="231F20"/>
          <w:spacing w:val="1"/>
          <w:vertAlign w:val="baseline"/>
        </w:rPr>
        <w:t> </w:t>
      </w:r>
      <w:r>
        <w:rPr>
          <w:color w:val="231F20"/>
          <w:vertAlign w:val="baseline"/>
        </w:rPr>
        <w:t>telehealth the cure?</w:t>
      </w:r>
      <w:r>
        <w:rPr>
          <w:color w:val="231F20"/>
          <w:spacing w:val="1"/>
          <w:vertAlign w:val="baseline"/>
        </w:rPr>
        <w:t> </w:t>
      </w:r>
      <w:hyperlink r:id="rId64">
        <w:r>
          <w:rPr>
            <w:color w:val="3953A4"/>
            <w:u w:val="single" w:color="3953A4"/>
            <w:vertAlign w:val="baseline"/>
          </w:rPr>
          <w:t>https://isalushealthcare.com/</w:t>
        </w:r>
      </w:hyperlink>
      <w:r>
        <w:rPr>
          <w:color w:val="3953A4"/>
          <w:spacing w:val="-52"/>
          <w:vertAlign w:val="baseline"/>
        </w:rPr>
        <w:t> </w:t>
      </w:r>
      <w:hyperlink r:id="rId64">
        <w:r>
          <w:rPr>
            <w:color w:val="3953A4"/>
            <w:u w:val="single" w:color="3953A4"/>
            <w:vertAlign w:val="baseline"/>
          </w:rPr>
          <w:t>blog/physician-burnout-is-telehealth-the-cure/</w:t>
        </w:r>
      </w:hyperlink>
    </w:p>
    <w:p>
      <w:pPr>
        <w:pStyle w:val="BodyText"/>
        <w:tabs>
          <w:tab w:pos="479" w:val="left" w:leader="none"/>
        </w:tabs>
        <w:spacing w:line="228" w:lineRule="auto" w:before="89"/>
        <w:ind w:left="480" w:right="232" w:hanging="360"/>
      </w:pPr>
      <w:r>
        <w:rPr>
          <w:color w:val="231F20"/>
          <w:vertAlign w:val="superscript"/>
        </w:rPr>
        <w:t>46</w:t>
      </w:r>
      <w:r>
        <w:rPr>
          <w:color w:val="231F20"/>
          <w:vertAlign w:val="baseline"/>
        </w:rPr>
        <w:tab/>
        <w:t>Sorenson, G. (2018). 3 ways telemedicine reduces</w:t>
      </w:r>
      <w:r>
        <w:rPr>
          <w:color w:val="231F20"/>
          <w:spacing w:val="-52"/>
          <w:vertAlign w:val="baseline"/>
        </w:rPr>
        <w:t> </w:t>
      </w:r>
      <w:r>
        <w:rPr>
          <w:color w:val="231F20"/>
          <w:vertAlign w:val="baseline"/>
        </w:rPr>
        <w:t>provider burnout. </w:t>
      </w:r>
      <w:r>
        <w:rPr>
          <w:i/>
          <w:color w:val="231F20"/>
          <w:vertAlign w:val="baseline"/>
        </w:rPr>
        <w:t>Physician’s Weekly. </w:t>
      </w:r>
      <w:hyperlink r:id="rId65">
        <w:r>
          <w:rPr>
            <w:color w:val="3953A4"/>
            <w:u w:val="single" w:color="3953A4"/>
            <w:vertAlign w:val="baseline"/>
          </w:rPr>
          <w:t>https://</w:t>
        </w:r>
      </w:hyperlink>
      <w:r>
        <w:rPr>
          <w:color w:val="3953A4"/>
          <w:spacing w:val="1"/>
          <w:vertAlign w:val="baseline"/>
        </w:rPr>
        <w:t> </w:t>
      </w:r>
      <w:hyperlink r:id="rId65">
        <w:r>
          <w:rPr>
            <w:color w:val="3953A4"/>
            <w:spacing w:val="-1"/>
            <w:u w:val="single" w:color="3953A4"/>
            <w:vertAlign w:val="baseline"/>
          </w:rPr>
          <w:t>www.physiciansweekly.com/3-ways-telemedicine-</w:t>
        </w:r>
      </w:hyperlink>
      <w:r>
        <w:rPr>
          <w:color w:val="3953A4"/>
          <w:spacing w:val="-52"/>
          <w:vertAlign w:val="baseline"/>
        </w:rPr>
        <w:t> </w:t>
      </w:r>
      <w:hyperlink r:id="rId65">
        <w:r>
          <w:rPr>
            <w:color w:val="3953A4"/>
            <w:u w:val="single" w:color="3953A4"/>
            <w:vertAlign w:val="baseline"/>
          </w:rPr>
          <w:t>reduces-provider-burnout/</w:t>
        </w:r>
      </w:hyperlink>
    </w:p>
    <w:p>
      <w:pPr>
        <w:pStyle w:val="BodyText"/>
        <w:tabs>
          <w:tab w:pos="479" w:val="left" w:leader="none"/>
        </w:tabs>
        <w:spacing w:line="228" w:lineRule="auto" w:before="89"/>
        <w:ind w:left="480" w:right="320" w:hanging="360"/>
      </w:pPr>
      <w:r>
        <w:rPr>
          <w:color w:val="231F20"/>
          <w:vertAlign w:val="superscript"/>
        </w:rPr>
        <w:t>47</w:t>
      </w:r>
      <w:r>
        <w:rPr>
          <w:color w:val="231F20"/>
          <w:vertAlign w:val="baseline"/>
        </w:rPr>
        <w:tab/>
      </w:r>
      <w:r>
        <w:rPr>
          <w:color w:val="231F20"/>
          <w:spacing w:val="-1"/>
          <w:vertAlign w:val="baseline"/>
        </w:rPr>
        <w:t>Baca, </w:t>
      </w:r>
      <w:r>
        <w:rPr>
          <w:color w:val="231F20"/>
          <w:vertAlign w:val="baseline"/>
        </w:rPr>
        <w:t>C. T., Alverson, D. C., Manuel, J. K., &amp;</w:t>
      </w:r>
      <w:r>
        <w:rPr>
          <w:color w:val="231F20"/>
          <w:spacing w:val="1"/>
          <w:vertAlign w:val="baseline"/>
        </w:rPr>
        <w:t> </w:t>
      </w:r>
      <w:r>
        <w:rPr>
          <w:color w:val="231F20"/>
          <w:vertAlign w:val="baseline"/>
        </w:rPr>
        <w:t>Blackwell, G. L. (2007). Telecounseling in rural</w:t>
      </w:r>
      <w:r>
        <w:rPr>
          <w:color w:val="231F20"/>
          <w:spacing w:val="1"/>
          <w:vertAlign w:val="baseline"/>
        </w:rPr>
        <w:t> </w:t>
      </w:r>
      <w:r>
        <w:rPr>
          <w:color w:val="231F20"/>
          <w:vertAlign w:val="baseline"/>
        </w:rPr>
        <w:t>areas</w:t>
      </w:r>
      <w:r>
        <w:rPr>
          <w:color w:val="231F20"/>
          <w:spacing w:val="-7"/>
          <w:vertAlign w:val="baseline"/>
        </w:rPr>
        <w:t> </w:t>
      </w:r>
      <w:r>
        <w:rPr>
          <w:color w:val="231F20"/>
          <w:vertAlign w:val="baseline"/>
        </w:rPr>
        <w:t>for</w:t>
      </w:r>
      <w:r>
        <w:rPr>
          <w:color w:val="231F20"/>
          <w:spacing w:val="-7"/>
          <w:vertAlign w:val="baseline"/>
        </w:rPr>
        <w:t> </w:t>
      </w:r>
      <w:r>
        <w:rPr>
          <w:color w:val="231F20"/>
          <w:vertAlign w:val="baseline"/>
        </w:rPr>
        <w:t>alcohol</w:t>
      </w:r>
      <w:r>
        <w:rPr>
          <w:color w:val="231F20"/>
          <w:spacing w:val="-7"/>
          <w:vertAlign w:val="baseline"/>
        </w:rPr>
        <w:t> </w:t>
      </w:r>
      <w:r>
        <w:rPr>
          <w:color w:val="231F20"/>
          <w:vertAlign w:val="baseline"/>
        </w:rPr>
        <w:t>problems.</w:t>
      </w:r>
      <w:r>
        <w:rPr>
          <w:color w:val="231F20"/>
          <w:spacing w:val="-7"/>
          <w:vertAlign w:val="baseline"/>
        </w:rPr>
        <w:t> </w:t>
      </w:r>
      <w:r>
        <w:rPr>
          <w:i/>
          <w:color w:val="231F20"/>
          <w:vertAlign w:val="baseline"/>
        </w:rPr>
        <w:t>Alcoholism</w:t>
      </w:r>
      <w:r>
        <w:rPr>
          <w:i/>
          <w:color w:val="231F20"/>
          <w:spacing w:val="-7"/>
          <w:vertAlign w:val="baseline"/>
        </w:rPr>
        <w:t> </w:t>
      </w:r>
      <w:r>
        <w:rPr>
          <w:i/>
          <w:color w:val="231F20"/>
          <w:vertAlign w:val="baseline"/>
        </w:rPr>
        <w:t>Treatment</w:t>
      </w:r>
      <w:r>
        <w:rPr>
          <w:i/>
          <w:color w:val="231F20"/>
          <w:spacing w:val="-52"/>
          <w:vertAlign w:val="baseline"/>
        </w:rPr>
        <w:t> </w:t>
      </w:r>
      <w:r>
        <w:rPr>
          <w:i/>
          <w:color w:val="231F20"/>
          <w:vertAlign w:val="baseline"/>
        </w:rPr>
        <w:t>Quarterly, 25</w:t>
      </w:r>
      <w:r>
        <w:rPr>
          <w:color w:val="231F20"/>
          <w:vertAlign w:val="baseline"/>
        </w:rPr>
        <w:t>(4), 31-45. </w:t>
      </w:r>
      <w:hyperlink r:id="rId66">
        <w:r>
          <w:rPr>
            <w:color w:val="3953A4"/>
            <w:u w:val="single" w:color="3953A4"/>
            <w:vertAlign w:val="baseline"/>
          </w:rPr>
          <w:t>https://doi.org/10.1300/</w:t>
        </w:r>
      </w:hyperlink>
      <w:r>
        <w:rPr>
          <w:color w:val="3953A4"/>
          <w:spacing w:val="1"/>
          <w:vertAlign w:val="baseline"/>
        </w:rPr>
        <w:t> </w:t>
      </w:r>
      <w:hyperlink r:id="rId66">
        <w:r>
          <w:rPr>
            <w:color w:val="3953A4"/>
            <w:u w:val="single" w:color="3953A4"/>
            <w:vertAlign w:val="baseline"/>
          </w:rPr>
          <w:t>J020v25n04_03</w:t>
        </w:r>
      </w:hyperlink>
    </w:p>
    <w:p>
      <w:pPr>
        <w:tabs>
          <w:tab w:pos="479" w:val="left" w:leader="none"/>
        </w:tabs>
        <w:spacing w:line="228" w:lineRule="auto" w:before="88"/>
        <w:ind w:left="480" w:right="508" w:hanging="360"/>
        <w:jc w:val="left"/>
        <w:rPr>
          <w:sz w:val="22"/>
        </w:rPr>
      </w:pPr>
      <w:r>
        <w:rPr>
          <w:color w:val="231F20"/>
          <w:sz w:val="22"/>
          <w:vertAlign w:val="superscript"/>
        </w:rPr>
        <w:t>48</w:t>
      </w:r>
      <w:r>
        <w:rPr>
          <w:color w:val="231F20"/>
          <w:sz w:val="22"/>
          <w:vertAlign w:val="baseline"/>
        </w:rPr>
        <w:tab/>
        <w:t>Simpson, S., &amp; Morrow, E. (2010). Using</w:t>
      </w:r>
      <w:r>
        <w:rPr>
          <w:color w:val="231F20"/>
          <w:spacing w:val="1"/>
          <w:sz w:val="22"/>
          <w:vertAlign w:val="baseline"/>
        </w:rPr>
        <w:t> </w:t>
      </w:r>
      <w:r>
        <w:rPr>
          <w:color w:val="231F20"/>
          <w:sz w:val="22"/>
          <w:vertAlign w:val="baseline"/>
        </w:rPr>
        <w:t>videoconferencing for conducting a therapeutic</w:t>
      </w:r>
      <w:r>
        <w:rPr>
          <w:color w:val="231F20"/>
          <w:spacing w:val="-52"/>
          <w:sz w:val="22"/>
          <w:vertAlign w:val="baseline"/>
        </w:rPr>
        <w:t> </w:t>
      </w:r>
      <w:r>
        <w:rPr>
          <w:color w:val="231F20"/>
          <w:sz w:val="22"/>
          <w:vertAlign w:val="baseline"/>
        </w:rPr>
        <w:t>relationship. In </w:t>
      </w:r>
      <w:r>
        <w:rPr>
          <w:i/>
          <w:color w:val="231F20"/>
          <w:sz w:val="22"/>
          <w:vertAlign w:val="baseline"/>
        </w:rPr>
        <w:t>The use of technology in mental</w:t>
      </w:r>
      <w:r>
        <w:rPr>
          <w:i/>
          <w:color w:val="231F20"/>
          <w:spacing w:val="-53"/>
          <w:sz w:val="22"/>
          <w:vertAlign w:val="baseline"/>
        </w:rPr>
        <w:t> </w:t>
      </w:r>
      <w:r>
        <w:rPr>
          <w:i/>
          <w:color w:val="231F20"/>
          <w:sz w:val="22"/>
          <w:vertAlign w:val="baseline"/>
        </w:rPr>
        <w:t>health: Applications, ethics and practice </w:t>
      </w:r>
      <w:r>
        <w:rPr>
          <w:color w:val="231F20"/>
          <w:sz w:val="22"/>
          <w:vertAlign w:val="baseline"/>
        </w:rPr>
        <w:t>(pp.</w:t>
      </w:r>
      <w:r>
        <w:rPr>
          <w:color w:val="231F20"/>
          <w:spacing w:val="1"/>
          <w:sz w:val="22"/>
          <w:vertAlign w:val="baseline"/>
        </w:rPr>
        <w:t> </w:t>
      </w:r>
      <w:r>
        <w:rPr>
          <w:color w:val="231F20"/>
          <w:sz w:val="22"/>
          <w:vertAlign w:val="baseline"/>
        </w:rPr>
        <w:t>94–103).</w:t>
      </w:r>
      <w:r>
        <w:rPr>
          <w:color w:val="231F20"/>
          <w:spacing w:val="-1"/>
          <w:sz w:val="22"/>
          <w:vertAlign w:val="baseline"/>
        </w:rPr>
        <w:t> </w:t>
      </w:r>
      <w:r>
        <w:rPr>
          <w:color w:val="231F20"/>
          <w:sz w:val="22"/>
          <w:vertAlign w:val="baseline"/>
        </w:rPr>
        <w:t>Charles</w:t>
      </w:r>
      <w:r>
        <w:rPr>
          <w:color w:val="231F20"/>
          <w:spacing w:val="-1"/>
          <w:sz w:val="22"/>
          <w:vertAlign w:val="baseline"/>
        </w:rPr>
        <w:t> </w:t>
      </w:r>
      <w:r>
        <w:rPr>
          <w:color w:val="231F20"/>
          <w:sz w:val="22"/>
          <w:vertAlign w:val="baseline"/>
        </w:rPr>
        <w:t>C.</w:t>
      </w:r>
      <w:r>
        <w:rPr>
          <w:color w:val="231F20"/>
          <w:spacing w:val="-6"/>
          <w:sz w:val="22"/>
          <w:vertAlign w:val="baseline"/>
        </w:rPr>
        <w:t> </w:t>
      </w:r>
      <w:r>
        <w:rPr>
          <w:color w:val="231F20"/>
          <w:sz w:val="22"/>
          <w:vertAlign w:val="baseline"/>
        </w:rPr>
        <w:t>Thomas Publisher.</w:t>
      </w:r>
    </w:p>
    <w:p>
      <w:pPr>
        <w:tabs>
          <w:tab w:pos="479" w:val="left" w:leader="none"/>
        </w:tabs>
        <w:spacing w:line="228" w:lineRule="auto" w:before="101"/>
        <w:ind w:left="480" w:right="768" w:hanging="360"/>
        <w:jc w:val="left"/>
        <w:rPr>
          <w:sz w:val="22"/>
        </w:rPr>
      </w:pPr>
      <w:r>
        <w:rPr/>
        <w:br w:type="column"/>
      </w:r>
      <w:r>
        <w:rPr>
          <w:color w:val="231F20"/>
          <w:sz w:val="22"/>
          <w:vertAlign w:val="superscript"/>
        </w:rPr>
        <w:t>49</w:t>
      </w:r>
      <w:r>
        <w:rPr>
          <w:color w:val="231F20"/>
          <w:sz w:val="22"/>
          <w:vertAlign w:val="baseline"/>
        </w:rPr>
        <w:tab/>
      </w:r>
      <w:r>
        <w:rPr>
          <w:color w:val="231F20"/>
          <w:spacing w:val="-4"/>
          <w:sz w:val="22"/>
          <w:vertAlign w:val="baseline"/>
        </w:rPr>
        <w:t>Robeznieks, </w:t>
      </w:r>
      <w:r>
        <w:rPr>
          <w:color w:val="231F20"/>
          <w:spacing w:val="-3"/>
          <w:sz w:val="22"/>
          <w:vertAlign w:val="baseline"/>
        </w:rPr>
        <w:t>A. (2020). </w:t>
      </w:r>
      <w:r>
        <w:rPr>
          <w:i/>
          <w:color w:val="231F20"/>
          <w:spacing w:val="-3"/>
          <w:sz w:val="22"/>
          <w:vertAlign w:val="baseline"/>
        </w:rPr>
        <w:t>Telehealth keeps care</w:t>
      </w:r>
      <w:r>
        <w:rPr>
          <w:i/>
          <w:color w:val="231F20"/>
          <w:spacing w:val="-2"/>
          <w:sz w:val="22"/>
          <w:vertAlign w:val="baseline"/>
        </w:rPr>
        <w:t> </w:t>
      </w:r>
      <w:r>
        <w:rPr>
          <w:i/>
          <w:color w:val="231F20"/>
          <w:spacing w:val="-1"/>
          <w:sz w:val="22"/>
          <w:vertAlign w:val="baseline"/>
        </w:rPr>
        <w:t>continuity during COVID-19—that </w:t>
      </w:r>
      <w:r>
        <w:rPr>
          <w:i/>
          <w:color w:val="231F20"/>
          <w:sz w:val="22"/>
          <w:vertAlign w:val="baseline"/>
        </w:rPr>
        <w:t>must continue</w:t>
      </w:r>
      <w:r>
        <w:rPr>
          <w:color w:val="231F20"/>
          <w:sz w:val="22"/>
          <w:vertAlign w:val="baseline"/>
        </w:rPr>
        <w:t>.</w:t>
      </w:r>
      <w:r>
        <w:rPr>
          <w:color w:val="231F20"/>
          <w:spacing w:val="1"/>
          <w:sz w:val="22"/>
          <w:vertAlign w:val="baseline"/>
        </w:rPr>
        <w:t> </w:t>
      </w:r>
      <w:r>
        <w:rPr>
          <w:color w:val="231F20"/>
          <w:spacing w:val="-4"/>
          <w:sz w:val="22"/>
          <w:vertAlign w:val="baseline"/>
        </w:rPr>
        <w:t>American </w:t>
      </w:r>
      <w:r>
        <w:rPr>
          <w:color w:val="231F20"/>
          <w:spacing w:val="-3"/>
          <w:sz w:val="22"/>
          <w:vertAlign w:val="baseline"/>
        </w:rPr>
        <w:t>Medical Association. </w:t>
      </w:r>
      <w:hyperlink r:id="rId67">
        <w:r>
          <w:rPr>
            <w:color w:val="3953A4"/>
            <w:spacing w:val="-3"/>
            <w:sz w:val="22"/>
            <w:u w:val="single" w:color="3953A4"/>
            <w:vertAlign w:val="baseline"/>
          </w:rPr>
          <w:t>https://www.ama-</w:t>
        </w:r>
      </w:hyperlink>
      <w:r>
        <w:rPr>
          <w:color w:val="3953A4"/>
          <w:spacing w:val="-2"/>
          <w:sz w:val="22"/>
          <w:vertAlign w:val="baseline"/>
        </w:rPr>
        <w:t> </w:t>
      </w:r>
      <w:hyperlink r:id="rId67">
        <w:r>
          <w:rPr>
            <w:color w:val="3953A4"/>
            <w:sz w:val="22"/>
            <w:u w:val="single" w:color="3953A4"/>
            <w:vertAlign w:val="baseline"/>
          </w:rPr>
          <w:t>assn.org/practice-management/digital/telehealth-</w:t>
        </w:r>
        <w:r>
          <w:rPr>
            <w:color w:val="3953A4"/>
            <w:spacing w:val="1"/>
            <w:sz w:val="22"/>
            <w:vertAlign w:val="baseline"/>
          </w:rPr>
          <w:t> </w:t>
        </w:r>
        <w:r>
          <w:rPr>
            <w:color w:val="3953A4"/>
            <w:spacing w:val="-3"/>
            <w:sz w:val="22"/>
            <w:u w:val="single" w:color="3953A4"/>
            <w:vertAlign w:val="baseline"/>
          </w:rPr>
          <w:t>keeps-care-continuity-during-covid-19-must-continue</w:t>
        </w:r>
      </w:hyperlink>
    </w:p>
    <w:p>
      <w:pPr>
        <w:pStyle w:val="BodyText"/>
        <w:tabs>
          <w:tab w:pos="479" w:val="left" w:leader="none"/>
        </w:tabs>
        <w:spacing w:line="228" w:lineRule="auto" w:before="89"/>
        <w:ind w:left="480" w:right="839" w:hanging="360"/>
      </w:pPr>
      <w:r>
        <w:rPr>
          <w:color w:val="231F20"/>
          <w:vertAlign w:val="superscript"/>
        </w:rPr>
        <w:t>50</w:t>
      </w:r>
      <w:r>
        <w:rPr>
          <w:color w:val="231F20"/>
          <w:vertAlign w:val="baseline"/>
        </w:rPr>
        <w:tab/>
        <w:t>Health Resources and Services Administration.</w:t>
      </w:r>
      <w:r>
        <w:rPr>
          <w:color w:val="231F20"/>
          <w:spacing w:val="1"/>
          <w:vertAlign w:val="baseline"/>
        </w:rPr>
        <w:t> </w:t>
      </w:r>
      <w:r>
        <w:rPr>
          <w:color w:val="231F20"/>
          <w:spacing w:val="-1"/>
          <w:vertAlign w:val="baseline"/>
        </w:rPr>
        <w:t>(2020).</w:t>
      </w:r>
      <w:r>
        <w:rPr>
          <w:color w:val="231F20"/>
          <w:spacing w:val="-11"/>
          <w:vertAlign w:val="baseline"/>
        </w:rPr>
        <w:t> </w:t>
      </w:r>
      <w:r>
        <w:rPr>
          <w:i/>
          <w:color w:val="231F20"/>
          <w:spacing w:val="-1"/>
          <w:vertAlign w:val="baseline"/>
        </w:rPr>
        <w:t>Telehealth</w:t>
      </w:r>
      <w:r>
        <w:rPr>
          <w:i/>
          <w:color w:val="231F20"/>
          <w:spacing w:val="-10"/>
          <w:vertAlign w:val="baseline"/>
        </w:rPr>
        <w:t> </w:t>
      </w:r>
      <w:r>
        <w:rPr>
          <w:i/>
          <w:color w:val="231F20"/>
          <w:spacing w:val="-1"/>
          <w:vertAlign w:val="baseline"/>
        </w:rPr>
        <w:t>programs</w:t>
      </w:r>
      <w:r>
        <w:rPr>
          <w:color w:val="231F20"/>
          <w:spacing w:val="-1"/>
          <w:vertAlign w:val="baseline"/>
        </w:rPr>
        <w:t>.</w:t>
      </w:r>
      <w:r>
        <w:rPr>
          <w:color w:val="231F20"/>
          <w:spacing w:val="-10"/>
          <w:vertAlign w:val="baseline"/>
        </w:rPr>
        <w:t> </w:t>
      </w:r>
      <w:hyperlink r:id="rId68">
        <w:r>
          <w:rPr>
            <w:color w:val="3953A4"/>
            <w:u w:val="single" w:color="3953A4"/>
            <w:vertAlign w:val="baseline"/>
          </w:rPr>
          <w:t>https://www.hrsa.gov/</w:t>
        </w:r>
      </w:hyperlink>
      <w:r>
        <w:rPr>
          <w:color w:val="3953A4"/>
          <w:spacing w:val="-52"/>
          <w:vertAlign w:val="baseline"/>
        </w:rPr>
        <w:t> </w:t>
      </w:r>
      <w:hyperlink r:id="rId68">
        <w:r>
          <w:rPr>
            <w:color w:val="3953A4"/>
            <w:u w:val="single" w:color="3953A4"/>
            <w:vertAlign w:val="baseline"/>
          </w:rPr>
          <w:t>rural-health/telehealth</w:t>
        </w:r>
      </w:hyperlink>
    </w:p>
    <w:p>
      <w:pPr>
        <w:pStyle w:val="BodyText"/>
        <w:tabs>
          <w:tab w:pos="479" w:val="left" w:leader="none"/>
        </w:tabs>
        <w:spacing w:line="228" w:lineRule="auto" w:before="89"/>
        <w:ind w:left="480" w:right="1299" w:hanging="360"/>
      </w:pPr>
      <w:r>
        <w:rPr>
          <w:color w:val="231F20"/>
          <w:vertAlign w:val="superscript"/>
        </w:rPr>
        <w:t>51</w:t>
      </w:r>
      <w:r>
        <w:rPr>
          <w:color w:val="231F20"/>
          <w:vertAlign w:val="baseline"/>
        </w:rPr>
        <w:tab/>
        <w:t>Frueh, B. C., Henderson, S., &amp; Myrick, H.</w:t>
      </w:r>
      <w:r>
        <w:rPr>
          <w:color w:val="231F20"/>
          <w:spacing w:val="1"/>
          <w:vertAlign w:val="baseline"/>
        </w:rPr>
        <w:t> </w:t>
      </w:r>
      <w:r>
        <w:rPr>
          <w:color w:val="231F20"/>
          <w:vertAlign w:val="baseline"/>
        </w:rPr>
        <w:t>(2005).</w:t>
      </w:r>
      <w:r>
        <w:rPr>
          <w:color w:val="231F20"/>
          <w:spacing w:val="-10"/>
          <w:vertAlign w:val="baseline"/>
        </w:rPr>
        <w:t> </w:t>
      </w:r>
      <w:r>
        <w:rPr>
          <w:color w:val="231F20"/>
          <w:vertAlign w:val="baseline"/>
        </w:rPr>
        <w:t>Telehealth</w:t>
      </w:r>
      <w:r>
        <w:rPr>
          <w:color w:val="231F20"/>
          <w:spacing w:val="-6"/>
          <w:vertAlign w:val="baseline"/>
        </w:rPr>
        <w:t> </w:t>
      </w:r>
      <w:r>
        <w:rPr>
          <w:color w:val="231F20"/>
          <w:vertAlign w:val="baseline"/>
        </w:rPr>
        <w:t>service</w:t>
      </w:r>
      <w:r>
        <w:rPr>
          <w:color w:val="231F20"/>
          <w:spacing w:val="-6"/>
          <w:vertAlign w:val="baseline"/>
        </w:rPr>
        <w:t> </w:t>
      </w:r>
      <w:r>
        <w:rPr>
          <w:color w:val="231F20"/>
          <w:vertAlign w:val="baseline"/>
        </w:rPr>
        <w:t>delivery</w:t>
      </w:r>
      <w:r>
        <w:rPr>
          <w:color w:val="231F20"/>
          <w:spacing w:val="-6"/>
          <w:vertAlign w:val="baseline"/>
        </w:rPr>
        <w:t> </w:t>
      </w:r>
      <w:r>
        <w:rPr>
          <w:color w:val="231F20"/>
          <w:vertAlign w:val="baseline"/>
        </w:rPr>
        <w:t>for</w:t>
      </w:r>
      <w:r>
        <w:rPr>
          <w:color w:val="231F20"/>
          <w:spacing w:val="-7"/>
          <w:vertAlign w:val="baseline"/>
        </w:rPr>
        <w:t> </w:t>
      </w:r>
      <w:r>
        <w:rPr>
          <w:color w:val="231F20"/>
          <w:vertAlign w:val="baseline"/>
        </w:rPr>
        <w:t>persons</w:t>
      </w:r>
      <w:r>
        <w:rPr>
          <w:color w:val="231F20"/>
          <w:spacing w:val="-52"/>
          <w:vertAlign w:val="baseline"/>
        </w:rPr>
        <w:t> </w:t>
      </w:r>
      <w:r>
        <w:rPr>
          <w:color w:val="231F20"/>
          <w:vertAlign w:val="baseline"/>
        </w:rPr>
        <w:t>with alcoholism. </w:t>
      </w:r>
      <w:r>
        <w:rPr>
          <w:i/>
          <w:color w:val="231F20"/>
          <w:vertAlign w:val="baseline"/>
        </w:rPr>
        <w:t>Journal of Telemedicine and</w:t>
      </w:r>
      <w:r>
        <w:rPr>
          <w:i/>
          <w:color w:val="231F20"/>
          <w:spacing w:val="1"/>
          <w:vertAlign w:val="baseline"/>
        </w:rPr>
        <w:t> </w:t>
      </w:r>
      <w:r>
        <w:rPr>
          <w:i/>
          <w:color w:val="231F20"/>
          <w:vertAlign w:val="baseline"/>
        </w:rPr>
        <w:t>Telecare, 11</w:t>
      </w:r>
      <w:r>
        <w:rPr>
          <w:color w:val="231F20"/>
          <w:vertAlign w:val="baseline"/>
        </w:rPr>
        <w:t>(7), 372-375.</w:t>
      </w:r>
      <w:r>
        <w:rPr>
          <w:color w:val="231F20"/>
          <w:spacing w:val="1"/>
          <w:vertAlign w:val="baseline"/>
        </w:rPr>
        <w:t> </w:t>
      </w:r>
      <w:hyperlink r:id="rId69">
        <w:r>
          <w:rPr>
            <w:color w:val="3852A3"/>
            <w:u w:val="single" w:color="3852A3"/>
            <w:vertAlign w:val="baseline"/>
          </w:rPr>
          <w:t>https://pubmed.ncbi.nlm.nih.gov/16238840/</w:t>
        </w:r>
      </w:hyperlink>
    </w:p>
    <w:p>
      <w:pPr>
        <w:pStyle w:val="BodyText"/>
        <w:tabs>
          <w:tab w:pos="479" w:val="left" w:leader="none"/>
        </w:tabs>
        <w:spacing w:line="246" w:lineRule="exact" w:before="78"/>
        <w:ind w:left="120"/>
      </w:pPr>
      <w:r>
        <w:rPr>
          <w:color w:val="231F20"/>
          <w:vertAlign w:val="superscript"/>
        </w:rPr>
        <w:t>52</w:t>
      </w:r>
      <w:r>
        <w:rPr>
          <w:color w:val="231F20"/>
          <w:vertAlign w:val="baseline"/>
        </w:rPr>
        <w:tab/>
        <w:t>Buzza,</w:t>
      </w:r>
      <w:r>
        <w:rPr>
          <w:color w:val="231F20"/>
          <w:spacing w:val="-5"/>
          <w:vertAlign w:val="baseline"/>
        </w:rPr>
        <w:t> </w:t>
      </w:r>
      <w:r>
        <w:rPr>
          <w:color w:val="231F20"/>
          <w:vertAlign w:val="baseline"/>
        </w:rPr>
        <w:t>C.,</w:t>
      </w:r>
      <w:r>
        <w:rPr>
          <w:color w:val="231F20"/>
          <w:spacing w:val="-4"/>
          <w:vertAlign w:val="baseline"/>
        </w:rPr>
        <w:t> </w:t>
      </w:r>
      <w:r>
        <w:rPr>
          <w:color w:val="231F20"/>
          <w:vertAlign w:val="baseline"/>
        </w:rPr>
        <w:t>Ono,</w:t>
      </w:r>
      <w:r>
        <w:rPr>
          <w:color w:val="231F20"/>
          <w:spacing w:val="-6"/>
          <w:vertAlign w:val="baseline"/>
        </w:rPr>
        <w:t> </w:t>
      </w:r>
      <w:r>
        <w:rPr>
          <w:color w:val="231F20"/>
          <w:vertAlign w:val="baseline"/>
        </w:rPr>
        <w:t>S.</w:t>
      </w:r>
      <w:r>
        <w:rPr>
          <w:color w:val="231F20"/>
          <w:spacing w:val="-5"/>
          <w:vertAlign w:val="baseline"/>
        </w:rPr>
        <w:t> </w:t>
      </w:r>
      <w:r>
        <w:rPr>
          <w:color w:val="231F20"/>
          <w:vertAlign w:val="baseline"/>
        </w:rPr>
        <w:t>S.,</w:t>
      </w:r>
      <w:r>
        <w:rPr>
          <w:color w:val="231F20"/>
          <w:spacing w:val="-9"/>
          <w:vertAlign w:val="baseline"/>
        </w:rPr>
        <w:t> </w:t>
      </w:r>
      <w:r>
        <w:rPr>
          <w:color w:val="231F20"/>
          <w:vertAlign w:val="baseline"/>
        </w:rPr>
        <w:t>Turvey,</w:t>
      </w:r>
      <w:r>
        <w:rPr>
          <w:color w:val="231F20"/>
          <w:spacing w:val="-5"/>
          <w:vertAlign w:val="baseline"/>
        </w:rPr>
        <w:t> </w:t>
      </w:r>
      <w:r>
        <w:rPr>
          <w:color w:val="231F20"/>
          <w:vertAlign w:val="baseline"/>
        </w:rPr>
        <w:t>C.,</w:t>
      </w:r>
      <w:r>
        <w:rPr>
          <w:color w:val="231F20"/>
          <w:spacing w:val="-8"/>
          <w:vertAlign w:val="baseline"/>
        </w:rPr>
        <w:t> </w:t>
      </w:r>
      <w:r>
        <w:rPr>
          <w:color w:val="231F20"/>
          <w:vertAlign w:val="baseline"/>
        </w:rPr>
        <w:t>Wittrock,</w:t>
      </w:r>
      <w:r>
        <w:rPr>
          <w:color w:val="231F20"/>
          <w:spacing w:val="-5"/>
          <w:vertAlign w:val="baseline"/>
        </w:rPr>
        <w:t> </w:t>
      </w:r>
      <w:r>
        <w:rPr>
          <w:color w:val="231F20"/>
          <w:vertAlign w:val="baseline"/>
        </w:rPr>
        <w:t>S.,</w:t>
      </w:r>
    </w:p>
    <w:p>
      <w:pPr>
        <w:pStyle w:val="BodyText"/>
        <w:spacing w:line="240" w:lineRule="exact"/>
        <w:ind w:left="480"/>
      </w:pPr>
      <w:r>
        <w:rPr>
          <w:color w:val="231F20"/>
        </w:rPr>
        <w:t>Noble,</w:t>
      </w:r>
      <w:r>
        <w:rPr>
          <w:color w:val="231F20"/>
          <w:spacing w:val="-5"/>
        </w:rPr>
        <w:t> </w:t>
      </w:r>
      <w:r>
        <w:rPr>
          <w:color w:val="231F20"/>
        </w:rPr>
        <w:t>M.,</w:t>
      </w:r>
      <w:r>
        <w:rPr>
          <w:color w:val="231F20"/>
          <w:spacing w:val="-5"/>
        </w:rPr>
        <w:t> </w:t>
      </w:r>
      <w:r>
        <w:rPr>
          <w:color w:val="231F20"/>
        </w:rPr>
        <w:t>Reddy,</w:t>
      </w:r>
      <w:r>
        <w:rPr>
          <w:color w:val="231F20"/>
          <w:spacing w:val="-5"/>
        </w:rPr>
        <w:t> </w:t>
      </w:r>
      <w:r>
        <w:rPr>
          <w:color w:val="231F20"/>
        </w:rPr>
        <w:t>G.,</w:t>
      </w:r>
      <w:r>
        <w:rPr>
          <w:color w:val="231F20"/>
          <w:spacing w:val="-5"/>
        </w:rPr>
        <w:t> </w:t>
      </w:r>
      <w:r>
        <w:rPr>
          <w:color w:val="231F20"/>
        </w:rPr>
        <w:t>Kaboli,</w:t>
      </w:r>
      <w:r>
        <w:rPr>
          <w:color w:val="231F20"/>
          <w:spacing w:val="-4"/>
        </w:rPr>
        <w:t> </w:t>
      </w:r>
      <w:r>
        <w:rPr>
          <w:color w:val="231F20"/>
        </w:rPr>
        <w:t>P.</w:t>
      </w:r>
      <w:r>
        <w:rPr>
          <w:color w:val="231F20"/>
          <w:spacing w:val="-5"/>
        </w:rPr>
        <w:t> </w:t>
      </w:r>
      <w:r>
        <w:rPr>
          <w:color w:val="231F20"/>
        </w:rPr>
        <w:t>J.,</w:t>
      </w:r>
      <w:r>
        <w:rPr>
          <w:color w:val="231F20"/>
          <w:spacing w:val="-5"/>
        </w:rPr>
        <w:t> </w:t>
      </w:r>
      <w:r>
        <w:rPr>
          <w:color w:val="231F20"/>
        </w:rPr>
        <w:t>&amp;</w:t>
      </w:r>
      <w:r>
        <w:rPr>
          <w:color w:val="231F20"/>
          <w:spacing w:val="-5"/>
        </w:rPr>
        <w:t> </w:t>
      </w:r>
      <w:r>
        <w:rPr>
          <w:color w:val="231F20"/>
        </w:rPr>
        <w:t>Reisinger,</w:t>
      </w:r>
      <w:r>
        <w:rPr>
          <w:color w:val="231F20"/>
          <w:spacing w:val="-4"/>
        </w:rPr>
        <w:t> </w:t>
      </w:r>
      <w:r>
        <w:rPr>
          <w:color w:val="231F20"/>
        </w:rPr>
        <w:t>H.</w:t>
      </w:r>
    </w:p>
    <w:p>
      <w:pPr>
        <w:spacing w:line="228" w:lineRule="auto" w:before="4"/>
        <w:ind w:left="480" w:right="720" w:firstLine="0"/>
        <w:jc w:val="left"/>
        <w:rPr>
          <w:sz w:val="22"/>
        </w:rPr>
      </w:pPr>
      <w:r>
        <w:rPr>
          <w:color w:val="231F20"/>
          <w:sz w:val="22"/>
        </w:rPr>
        <w:t>S.</w:t>
      </w:r>
      <w:r>
        <w:rPr>
          <w:color w:val="231F20"/>
          <w:spacing w:val="-4"/>
          <w:sz w:val="22"/>
        </w:rPr>
        <w:t> </w:t>
      </w:r>
      <w:r>
        <w:rPr>
          <w:color w:val="231F20"/>
          <w:sz w:val="22"/>
        </w:rPr>
        <w:t>(2011).</w:t>
      </w:r>
      <w:r>
        <w:rPr>
          <w:color w:val="231F20"/>
          <w:spacing w:val="-4"/>
          <w:sz w:val="22"/>
        </w:rPr>
        <w:t> </w:t>
      </w:r>
      <w:r>
        <w:rPr>
          <w:color w:val="231F20"/>
          <w:sz w:val="22"/>
        </w:rPr>
        <w:t>Distance</w:t>
      </w:r>
      <w:r>
        <w:rPr>
          <w:color w:val="231F20"/>
          <w:spacing w:val="-3"/>
          <w:sz w:val="22"/>
        </w:rPr>
        <w:t> </w:t>
      </w:r>
      <w:r>
        <w:rPr>
          <w:color w:val="231F20"/>
          <w:sz w:val="22"/>
        </w:rPr>
        <w:t>is</w:t>
      </w:r>
      <w:r>
        <w:rPr>
          <w:color w:val="231F20"/>
          <w:spacing w:val="-4"/>
          <w:sz w:val="22"/>
        </w:rPr>
        <w:t> </w:t>
      </w:r>
      <w:r>
        <w:rPr>
          <w:color w:val="231F20"/>
          <w:sz w:val="22"/>
        </w:rPr>
        <w:t>relative:</w:t>
      </w:r>
      <w:r>
        <w:rPr>
          <w:color w:val="231F20"/>
          <w:spacing w:val="-3"/>
          <w:sz w:val="22"/>
        </w:rPr>
        <w:t> </w:t>
      </w:r>
      <w:r>
        <w:rPr>
          <w:color w:val="231F20"/>
          <w:sz w:val="22"/>
        </w:rPr>
        <w:t>Unpacking</w:t>
      </w:r>
      <w:r>
        <w:rPr>
          <w:color w:val="231F20"/>
          <w:spacing w:val="-4"/>
          <w:sz w:val="22"/>
        </w:rPr>
        <w:t> </w:t>
      </w:r>
      <w:r>
        <w:rPr>
          <w:color w:val="231F20"/>
          <w:sz w:val="22"/>
        </w:rPr>
        <w:t>a</w:t>
      </w:r>
      <w:r>
        <w:rPr>
          <w:color w:val="231F20"/>
          <w:spacing w:val="-3"/>
          <w:sz w:val="22"/>
        </w:rPr>
        <w:t> </w:t>
      </w:r>
      <w:r>
        <w:rPr>
          <w:color w:val="231F20"/>
          <w:sz w:val="22"/>
        </w:rPr>
        <w:t>principal</w:t>
      </w:r>
      <w:r>
        <w:rPr>
          <w:color w:val="231F20"/>
          <w:spacing w:val="-52"/>
          <w:sz w:val="22"/>
        </w:rPr>
        <w:t> </w:t>
      </w:r>
      <w:r>
        <w:rPr>
          <w:color w:val="231F20"/>
          <w:sz w:val="22"/>
        </w:rPr>
        <w:t>barrier in rural healthcare. </w:t>
      </w:r>
      <w:r>
        <w:rPr>
          <w:i/>
          <w:color w:val="231F20"/>
          <w:sz w:val="22"/>
        </w:rPr>
        <w:t>Journal of General</w:t>
      </w:r>
      <w:r>
        <w:rPr>
          <w:i/>
          <w:color w:val="231F20"/>
          <w:spacing w:val="1"/>
          <w:sz w:val="22"/>
        </w:rPr>
        <w:t> </w:t>
      </w:r>
      <w:r>
        <w:rPr>
          <w:i/>
          <w:color w:val="231F20"/>
          <w:sz w:val="22"/>
        </w:rPr>
        <w:t>Internal Medicine, 26 Suppl 2</w:t>
      </w:r>
      <w:r>
        <w:rPr>
          <w:color w:val="231F20"/>
          <w:sz w:val="22"/>
        </w:rPr>
        <w:t>(Suppl 2), 648-654.</w:t>
      </w:r>
      <w:r>
        <w:rPr>
          <w:color w:val="3953A4"/>
          <w:spacing w:val="1"/>
          <w:sz w:val="22"/>
        </w:rPr>
        <w:t> </w:t>
      </w:r>
      <w:hyperlink r:id="rId70">
        <w:r>
          <w:rPr>
            <w:color w:val="3953A4"/>
            <w:sz w:val="22"/>
            <w:u w:val="single" w:color="3953A4"/>
          </w:rPr>
          <w:t>https://doi.org/10.1007/s11606-011-1762-1</w:t>
        </w:r>
      </w:hyperlink>
    </w:p>
    <w:p>
      <w:pPr>
        <w:pStyle w:val="BodyText"/>
        <w:tabs>
          <w:tab w:pos="479" w:val="left" w:leader="none"/>
        </w:tabs>
        <w:spacing w:line="228" w:lineRule="auto" w:before="88"/>
        <w:ind w:left="480" w:right="731" w:hanging="360"/>
      </w:pPr>
      <w:r>
        <w:rPr>
          <w:color w:val="231F20"/>
          <w:vertAlign w:val="superscript"/>
        </w:rPr>
        <w:t>53</w:t>
      </w:r>
      <w:r>
        <w:rPr>
          <w:color w:val="231F20"/>
          <w:vertAlign w:val="baseline"/>
        </w:rPr>
        <w:tab/>
      </w:r>
      <w:r>
        <w:rPr>
          <w:color w:val="231F20"/>
          <w:spacing w:val="-2"/>
          <w:vertAlign w:val="baseline"/>
        </w:rPr>
        <w:t>Beattie, </w:t>
      </w:r>
      <w:r>
        <w:rPr>
          <w:color w:val="231F20"/>
          <w:spacing w:val="-1"/>
          <w:vertAlign w:val="baseline"/>
        </w:rPr>
        <w:t>A., Shaw, A., Kaur, S., &amp; Kessler, D. (2009).</w:t>
      </w:r>
      <w:r>
        <w:rPr>
          <w:color w:val="231F20"/>
          <w:spacing w:val="-52"/>
          <w:vertAlign w:val="baseline"/>
        </w:rPr>
        <w:t> </w:t>
      </w:r>
      <w:r>
        <w:rPr>
          <w:color w:val="231F20"/>
          <w:spacing w:val="-1"/>
          <w:vertAlign w:val="baseline"/>
        </w:rPr>
        <w:t>Primary‐care </w:t>
      </w:r>
      <w:r>
        <w:rPr>
          <w:color w:val="231F20"/>
          <w:vertAlign w:val="baseline"/>
        </w:rPr>
        <w:t>patients’ expectations and experiences</w:t>
      </w:r>
      <w:r>
        <w:rPr>
          <w:color w:val="231F20"/>
          <w:spacing w:val="1"/>
          <w:vertAlign w:val="baseline"/>
        </w:rPr>
        <w:t> </w:t>
      </w:r>
      <w:r>
        <w:rPr>
          <w:color w:val="231F20"/>
          <w:vertAlign w:val="baseline"/>
        </w:rPr>
        <w:t>of online cognitive behavioural therapy for</w:t>
      </w:r>
      <w:r>
        <w:rPr>
          <w:color w:val="231F20"/>
          <w:spacing w:val="1"/>
          <w:vertAlign w:val="baseline"/>
        </w:rPr>
        <w:t> </w:t>
      </w:r>
      <w:r>
        <w:rPr>
          <w:color w:val="231F20"/>
          <w:spacing w:val="-1"/>
          <w:vertAlign w:val="baseline"/>
        </w:rPr>
        <w:t>depression: A qualitative </w:t>
      </w:r>
      <w:r>
        <w:rPr>
          <w:color w:val="231F20"/>
          <w:vertAlign w:val="baseline"/>
        </w:rPr>
        <w:t>study. </w:t>
      </w:r>
      <w:r>
        <w:rPr>
          <w:i/>
          <w:color w:val="231F20"/>
          <w:vertAlign w:val="baseline"/>
        </w:rPr>
        <w:t>Health Expectations,</w:t>
      </w:r>
      <w:r>
        <w:rPr>
          <w:i/>
          <w:color w:val="231F20"/>
          <w:spacing w:val="-52"/>
          <w:vertAlign w:val="baseline"/>
        </w:rPr>
        <w:t> </w:t>
      </w:r>
      <w:r>
        <w:rPr>
          <w:i/>
          <w:color w:val="231F20"/>
          <w:vertAlign w:val="baseline"/>
        </w:rPr>
        <w:t>12</w:t>
      </w:r>
      <w:r>
        <w:rPr>
          <w:color w:val="231F20"/>
          <w:vertAlign w:val="baseline"/>
        </w:rPr>
        <w:t>(1), 45-59. </w:t>
      </w:r>
      <w:hyperlink r:id="rId71">
        <w:r>
          <w:rPr>
            <w:color w:val="3953A4"/>
            <w:u w:val="single" w:color="3953A4"/>
            <w:vertAlign w:val="baseline"/>
          </w:rPr>
          <w:t>https://doi.org/10.1111/j.1369-</w:t>
        </w:r>
      </w:hyperlink>
      <w:r>
        <w:rPr>
          <w:color w:val="3953A4"/>
          <w:spacing w:val="1"/>
          <w:vertAlign w:val="baseline"/>
        </w:rPr>
        <w:t> </w:t>
      </w:r>
      <w:hyperlink r:id="rId71">
        <w:r>
          <w:rPr>
            <w:color w:val="3953A4"/>
            <w:u w:val="single" w:color="3953A4"/>
            <w:vertAlign w:val="baseline"/>
          </w:rPr>
          <w:t>7625.2008.00531.x</w:t>
        </w:r>
      </w:hyperlink>
    </w:p>
    <w:p>
      <w:pPr>
        <w:pStyle w:val="BodyText"/>
        <w:tabs>
          <w:tab w:pos="479" w:val="left" w:leader="none"/>
        </w:tabs>
        <w:spacing w:line="228" w:lineRule="auto" w:before="88"/>
        <w:ind w:left="480" w:right="721" w:hanging="360"/>
      </w:pPr>
      <w:r>
        <w:rPr>
          <w:color w:val="231F20"/>
          <w:vertAlign w:val="superscript"/>
        </w:rPr>
        <w:t>54</w:t>
      </w:r>
      <w:r>
        <w:rPr>
          <w:color w:val="231F20"/>
          <w:vertAlign w:val="baseline"/>
        </w:rPr>
        <w:tab/>
        <w:t>Swinton, J. J., Robinson, W. D., &amp; Bischoff, R. J.</w:t>
      </w:r>
      <w:r>
        <w:rPr>
          <w:color w:val="231F20"/>
          <w:spacing w:val="1"/>
          <w:vertAlign w:val="baseline"/>
        </w:rPr>
        <w:t> </w:t>
      </w:r>
      <w:r>
        <w:rPr>
          <w:color w:val="231F20"/>
          <w:vertAlign w:val="baseline"/>
        </w:rPr>
        <w:t>(2009). Telehealth and rural depression: Physician</w:t>
      </w:r>
      <w:r>
        <w:rPr>
          <w:color w:val="231F20"/>
          <w:spacing w:val="1"/>
          <w:vertAlign w:val="baseline"/>
        </w:rPr>
        <w:t> </w:t>
      </w:r>
      <w:r>
        <w:rPr>
          <w:color w:val="231F20"/>
          <w:vertAlign w:val="baseline"/>
        </w:rPr>
        <w:t>and patient perspectives. </w:t>
      </w:r>
      <w:r>
        <w:rPr>
          <w:i/>
          <w:color w:val="231F20"/>
          <w:vertAlign w:val="baseline"/>
        </w:rPr>
        <w:t>Families, Systems, &amp;</w:t>
      </w:r>
      <w:r>
        <w:rPr>
          <w:i/>
          <w:color w:val="231F20"/>
          <w:spacing w:val="1"/>
          <w:vertAlign w:val="baseline"/>
        </w:rPr>
        <w:t> </w:t>
      </w:r>
      <w:r>
        <w:rPr>
          <w:i/>
          <w:color w:val="231F20"/>
          <w:vertAlign w:val="baseline"/>
        </w:rPr>
        <w:t>Health,</w:t>
      </w:r>
      <w:r>
        <w:rPr>
          <w:i/>
          <w:color w:val="231F20"/>
          <w:spacing w:val="-8"/>
          <w:vertAlign w:val="baseline"/>
        </w:rPr>
        <w:t> </w:t>
      </w:r>
      <w:r>
        <w:rPr>
          <w:i/>
          <w:color w:val="231F20"/>
          <w:vertAlign w:val="baseline"/>
        </w:rPr>
        <w:t>27</w:t>
      </w:r>
      <w:r>
        <w:rPr>
          <w:color w:val="231F20"/>
          <w:vertAlign w:val="baseline"/>
        </w:rPr>
        <w:t>(2),</w:t>
      </w:r>
      <w:r>
        <w:rPr>
          <w:color w:val="231F20"/>
          <w:spacing w:val="-7"/>
          <w:vertAlign w:val="baseline"/>
        </w:rPr>
        <w:t> </w:t>
      </w:r>
      <w:r>
        <w:rPr>
          <w:color w:val="231F20"/>
          <w:vertAlign w:val="baseline"/>
        </w:rPr>
        <w:t>172.</w:t>
      </w:r>
      <w:r>
        <w:rPr>
          <w:color w:val="231F20"/>
          <w:spacing w:val="-7"/>
          <w:vertAlign w:val="baseline"/>
        </w:rPr>
        <w:t> </w:t>
      </w:r>
      <w:hyperlink r:id="rId72">
        <w:r>
          <w:rPr>
            <w:color w:val="3953A4"/>
            <w:u w:val="single" w:color="3953A4"/>
            <w:vertAlign w:val="baseline"/>
          </w:rPr>
          <w:t>https://doi.org/10.1037/a0016014</w:t>
        </w:r>
      </w:hyperlink>
    </w:p>
    <w:p>
      <w:pPr>
        <w:pStyle w:val="BodyText"/>
        <w:tabs>
          <w:tab w:pos="479" w:val="left" w:leader="none"/>
        </w:tabs>
        <w:spacing w:line="228" w:lineRule="auto" w:before="89"/>
        <w:ind w:left="480" w:right="736" w:hanging="360"/>
      </w:pPr>
      <w:r>
        <w:rPr>
          <w:color w:val="231F20"/>
          <w:vertAlign w:val="superscript"/>
        </w:rPr>
        <w:t>55</w:t>
      </w:r>
      <w:r>
        <w:rPr>
          <w:color w:val="231F20"/>
          <w:vertAlign w:val="baseline"/>
        </w:rPr>
        <w:tab/>
        <w:t>McGinty, K. L., Saeed, S. A., Simmons, S. C., &amp;</w:t>
      </w:r>
      <w:r>
        <w:rPr>
          <w:color w:val="231F20"/>
          <w:spacing w:val="1"/>
          <w:vertAlign w:val="baseline"/>
        </w:rPr>
        <w:t> </w:t>
      </w:r>
      <w:r>
        <w:rPr>
          <w:color w:val="231F20"/>
          <w:vertAlign w:val="baseline"/>
        </w:rPr>
        <w:t>Yildirim, Y. (2006). Telepsychiatry and e-mental</w:t>
      </w:r>
      <w:r>
        <w:rPr>
          <w:color w:val="231F20"/>
          <w:spacing w:val="1"/>
          <w:vertAlign w:val="baseline"/>
        </w:rPr>
        <w:t> </w:t>
      </w:r>
      <w:r>
        <w:rPr>
          <w:color w:val="231F20"/>
          <w:vertAlign w:val="baseline"/>
        </w:rPr>
        <w:t>health services: Potential for improving access to</w:t>
      </w:r>
      <w:r>
        <w:rPr>
          <w:color w:val="231F20"/>
          <w:spacing w:val="1"/>
          <w:vertAlign w:val="baseline"/>
        </w:rPr>
        <w:t> </w:t>
      </w:r>
      <w:r>
        <w:rPr>
          <w:color w:val="231F20"/>
          <w:vertAlign w:val="baseline"/>
        </w:rPr>
        <w:t>mental</w:t>
      </w:r>
      <w:r>
        <w:rPr>
          <w:color w:val="231F20"/>
          <w:spacing w:val="-5"/>
          <w:vertAlign w:val="baseline"/>
        </w:rPr>
        <w:t> </w:t>
      </w:r>
      <w:r>
        <w:rPr>
          <w:color w:val="231F20"/>
          <w:vertAlign w:val="baseline"/>
        </w:rPr>
        <w:t>health</w:t>
      </w:r>
      <w:r>
        <w:rPr>
          <w:color w:val="231F20"/>
          <w:spacing w:val="-4"/>
          <w:vertAlign w:val="baseline"/>
        </w:rPr>
        <w:t> </w:t>
      </w:r>
      <w:r>
        <w:rPr>
          <w:color w:val="231F20"/>
          <w:vertAlign w:val="baseline"/>
        </w:rPr>
        <w:t>care.</w:t>
      </w:r>
      <w:r>
        <w:rPr>
          <w:color w:val="231F20"/>
          <w:spacing w:val="-6"/>
          <w:vertAlign w:val="baseline"/>
        </w:rPr>
        <w:t> </w:t>
      </w:r>
      <w:r>
        <w:rPr>
          <w:i/>
          <w:color w:val="231F20"/>
          <w:vertAlign w:val="baseline"/>
        </w:rPr>
        <w:t>The</w:t>
      </w:r>
      <w:r>
        <w:rPr>
          <w:i/>
          <w:color w:val="231F20"/>
          <w:spacing w:val="-4"/>
          <w:vertAlign w:val="baseline"/>
        </w:rPr>
        <w:t> </w:t>
      </w:r>
      <w:r>
        <w:rPr>
          <w:i/>
          <w:color w:val="231F20"/>
          <w:vertAlign w:val="baseline"/>
        </w:rPr>
        <w:t>Psychiatric</w:t>
      </w:r>
      <w:r>
        <w:rPr>
          <w:i/>
          <w:color w:val="231F20"/>
          <w:spacing w:val="-5"/>
          <w:vertAlign w:val="baseline"/>
        </w:rPr>
        <w:t> </w:t>
      </w:r>
      <w:r>
        <w:rPr>
          <w:i/>
          <w:color w:val="231F20"/>
          <w:vertAlign w:val="baseline"/>
        </w:rPr>
        <w:t>Quarterly,</w:t>
      </w:r>
      <w:r>
        <w:rPr>
          <w:i/>
          <w:color w:val="231F20"/>
          <w:spacing w:val="-4"/>
          <w:vertAlign w:val="baseline"/>
        </w:rPr>
        <w:t> </w:t>
      </w:r>
      <w:r>
        <w:rPr>
          <w:i/>
          <w:color w:val="231F20"/>
          <w:vertAlign w:val="baseline"/>
        </w:rPr>
        <w:t>77</w:t>
      </w:r>
      <w:r>
        <w:rPr>
          <w:color w:val="231F20"/>
          <w:vertAlign w:val="baseline"/>
        </w:rPr>
        <w:t>(4),</w:t>
      </w:r>
      <w:r>
        <w:rPr>
          <w:color w:val="231F20"/>
          <w:spacing w:val="-52"/>
          <w:vertAlign w:val="baseline"/>
        </w:rPr>
        <w:t> </w:t>
      </w:r>
      <w:r>
        <w:rPr>
          <w:color w:val="231F20"/>
          <w:spacing w:val="-1"/>
          <w:vertAlign w:val="baseline"/>
        </w:rPr>
        <w:t>335-342.</w:t>
      </w:r>
      <w:r>
        <w:rPr>
          <w:color w:val="231F20"/>
          <w:spacing w:val="25"/>
          <w:vertAlign w:val="baseline"/>
        </w:rPr>
        <w:t> </w:t>
      </w:r>
      <w:hyperlink r:id="rId73">
        <w:r>
          <w:rPr>
            <w:color w:val="3953A4"/>
            <w:spacing w:val="-1"/>
            <w:u w:val="single" w:color="3953A4"/>
            <w:vertAlign w:val="baseline"/>
          </w:rPr>
          <w:t>https://doi.org/10.1007/s11126-006-9019-6</w:t>
        </w:r>
      </w:hyperlink>
    </w:p>
    <w:p>
      <w:pPr>
        <w:pStyle w:val="BodyText"/>
        <w:tabs>
          <w:tab w:pos="479" w:val="left" w:leader="none"/>
        </w:tabs>
        <w:spacing w:line="228" w:lineRule="auto" w:before="88"/>
        <w:ind w:left="480" w:right="866" w:hanging="360"/>
      </w:pPr>
      <w:r>
        <w:rPr>
          <w:color w:val="231F20"/>
          <w:vertAlign w:val="superscript"/>
        </w:rPr>
        <w:t>56</w:t>
      </w:r>
      <w:r>
        <w:rPr>
          <w:color w:val="231F20"/>
          <w:vertAlign w:val="baseline"/>
        </w:rPr>
        <w:tab/>
      </w:r>
      <w:r>
        <w:rPr>
          <w:color w:val="231F20"/>
          <w:spacing w:val="-1"/>
          <w:vertAlign w:val="baseline"/>
        </w:rPr>
        <w:t>Berryhill, M. B., Halli-Tierney, A., Culmer, </w:t>
      </w:r>
      <w:r>
        <w:rPr>
          <w:color w:val="231F20"/>
          <w:vertAlign w:val="baseline"/>
        </w:rPr>
        <w:t>N.,</w:t>
      </w:r>
      <w:r>
        <w:rPr>
          <w:color w:val="231F20"/>
          <w:spacing w:val="1"/>
          <w:vertAlign w:val="baseline"/>
        </w:rPr>
        <w:t> </w:t>
      </w:r>
      <w:r>
        <w:rPr>
          <w:color w:val="231F20"/>
          <w:spacing w:val="-1"/>
          <w:vertAlign w:val="baseline"/>
        </w:rPr>
        <w:t>Williams,</w:t>
      </w:r>
      <w:r>
        <w:rPr>
          <w:color w:val="231F20"/>
          <w:vertAlign w:val="baseline"/>
        </w:rPr>
        <w:t> </w:t>
      </w:r>
      <w:r>
        <w:rPr>
          <w:color w:val="231F20"/>
          <w:spacing w:val="-1"/>
          <w:vertAlign w:val="baseline"/>
        </w:rPr>
        <w:t>N.,</w:t>
      </w:r>
      <w:r>
        <w:rPr>
          <w:color w:val="231F20"/>
          <w:vertAlign w:val="baseline"/>
        </w:rPr>
        <w:t> </w:t>
      </w:r>
      <w:r>
        <w:rPr>
          <w:color w:val="231F20"/>
          <w:spacing w:val="-1"/>
          <w:vertAlign w:val="baseline"/>
        </w:rPr>
        <w:t>Betancourt,</w:t>
      </w:r>
      <w:r>
        <w:rPr>
          <w:color w:val="231F20"/>
          <w:spacing w:val="-13"/>
          <w:vertAlign w:val="baseline"/>
        </w:rPr>
        <w:t> </w:t>
      </w:r>
      <w:r>
        <w:rPr>
          <w:color w:val="231F20"/>
          <w:spacing w:val="-1"/>
          <w:vertAlign w:val="baseline"/>
        </w:rPr>
        <w:t>A.,</w:t>
      </w:r>
      <w:r>
        <w:rPr>
          <w:color w:val="231F20"/>
          <w:vertAlign w:val="baseline"/>
        </w:rPr>
        <w:t> King, M., &amp; Ruggles,</w:t>
      </w:r>
    </w:p>
    <w:p>
      <w:pPr>
        <w:pStyle w:val="BodyText"/>
        <w:spacing w:line="228" w:lineRule="auto"/>
        <w:ind w:left="480" w:right="718"/>
      </w:pPr>
      <w:r>
        <w:rPr>
          <w:color w:val="231F20"/>
        </w:rPr>
        <w:t>H. (2019). Videoconferencing psychological therapy</w:t>
      </w:r>
      <w:r>
        <w:rPr>
          <w:color w:val="231F20"/>
          <w:spacing w:val="-52"/>
        </w:rPr>
        <w:t> </w:t>
      </w:r>
      <w:r>
        <w:rPr>
          <w:color w:val="231F20"/>
          <w:spacing w:val="-1"/>
        </w:rPr>
        <w:t>and anxiety: A systematic </w:t>
      </w:r>
      <w:r>
        <w:rPr>
          <w:color w:val="231F20"/>
        </w:rPr>
        <w:t>review. </w:t>
      </w:r>
      <w:r>
        <w:rPr>
          <w:i/>
          <w:color w:val="231F20"/>
        </w:rPr>
        <w:t>Family Practice,</w:t>
      </w:r>
      <w:r>
        <w:rPr>
          <w:i/>
          <w:color w:val="231F20"/>
          <w:spacing w:val="1"/>
        </w:rPr>
        <w:t> </w:t>
      </w:r>
      <w:r>
        <w:rPr>
          <w:i/>
          <w:color w:val="231F20"/>
        </w:rPr>
        <w:t>36</w:t>
      </w:r>
      <w:r>
        <w:rPr>
          <w:color w:val="231F20"/>
        </w:rPr>
        <w:t>(1),</w:t>
      </w:r>
      <w:r>
        <w:rPr>
          <w:color w:val="231F20"/>
          <w:spacing w:val="-10"/>
        </w:rPr>
        <w:t> </w:t>
      </w:r>
      <w:r>
        <w:rPr>
          <w:color w:val="231F20"/>
        </w:rPr>
        <w:t>53-63.</w:t>
      </w:r>
      <w:r>
        <w:rPr>
          <w:color w:val="3953A4"/>
          <w:spacing w:val="-9"/>
        </w:rPr>
        <w:t> </w:t>
      </w:r>
      <w:hyperlink r:id="rId74">
        <w:r>
          <w:rPr>
            <w:color w:val="3953A4"/>
            <w:u w:val="single" w:color="3953A4"/>
          </w:rPr>
          <w:t>https://doi.org/10.1093/fampra/cmy072</w:t>
        </w:r>
      </w:hyperlink>
    </w:p>
    <w:p>
      <w:pPr>
        <w:pStyle w:val="BodyText"/>
        <w:tabs>
          <w:tab w:pos="479" w:val="left" w:leader="none"/>
        </w:tabs>
        <w:spacing w:line="228" w:lineRule="auto" w:before="89"/>
        <w:ind w:left="480" w:right="1044" w:hanging="360"/>
      </w:pPr>
      <w:r>
        <w:rPr>
          <w:color w:val="231F20"/>
          <w:vertAlign w:val="superscript"/>
        </w:rPr>
        <w:t>57</w:t>
      </w:r>
      <w:r>
        <w:rPr>
          <w:color w:val="231F20"/>
          <w:vertAlign w:val="baseline"/>
        </w:rPr>
        <w:tab/>
      </w:r>
      <w:r>
        <w:rPr>
          <w:color w:val="231F20"/>
          <w:spacing w:val="-4"/>
          <w:vertAlign w:val="baseline"/>
        </w:rPr>
        <w:t>Bouchard, S., Allard, M., </w:t>
      </w:r>
      <w:r>
        <w:rPr>
          <w:color w:val="231F20"/>
          <w:spacing w:val="-3"/>
          <w:vertAlign w:val="baseline"/>
        </w:rPr>
        <w:t>Robillard, G., Dumoulin,</w:t>
      </w:r>
      <w:r>
        <w:rPr>
          <w:color w:val="231F20"/>
          <w:spacing w:val="-52"/>
          <w:vertAlign w:val="baseline"/>
        </w:rPr>
        <w:t> </w:t>
      </w:r>
      <w:r>
        <w:rPr>
          <w:color w:val="231F20"/>
          <w:spacing w:val="-5"/>
          <w:vertAlign w:val="baseline"/>
        </w:rPr>
        <w:t>S., </w:t>
      </w:r>
      <w:r>
        <w:rPr>
          <w:color w:val="231F20"/>
          <w:spacing w:val="-4"/>
          <w:vertAlign w:val="baseline"/>
        </w:rPr>
        <w:t>Guitard, T., Loranger, C., Green-Demers, I.,</w:t>
      </w:r>
      <w:r>
        <w:rPr>
          <w:color w:val="231F20"/>
          <w:spacing w:val="-3"/>
          <w:vertAlign w:val="baseline"/>
        </w:rPr>
        <w:t> </w:t>
      </w:r>
      <w:r>
        <w:rPr>
          <w:color w:val="231F20"/>
          <w:spacing w:val="-5"/>
          <w:vertAlign w:val="baseline"/>
        </w:rPr>
        <w:t>Marchand, A., </w:t>
      </w:r>
      <w:r>
        <w:rPr>
          <w:color w:val="231F20"/>
          <w:spacing w:val="-4"/>
          <w:vertAlign w:val="baseline"/>
        </w:rPr>
        <w:t>Renaud, P., &amp; Cournoyer, L.-G.</w:t>
      </w:r>
      <w:r>
        <w:rPr>
          <w:color w:val="231F20"/>
          <w:spacing w:val="-3"/>
          <w:vertAlign w:val="baseline"/>
        </w:rPr>
        <w:t> </w:t>
      </w:r>
      <w:r>
        <w:rPr>
          <w:color w:val="231F20"/>
          <w:spacing w:val="-5"/>
          <w:vertAlign w:val="baseline"/>
        </w:rPr>
        <w:t>(2020). Videoconferencing </w:t>
      </w:r>
      <w:r>
        <w:rPr>
          <w:color w:val="231F20"/>
          <w:spacing w:val="-4"/>
          <w:vertAlign w:val="baseline"/>
        </w:rPr>
        <w:t>psychotherapy for panic</w:t>
      </w:r>
      <w:r>
        <w:rPr>
          <w:color w:val="231F20"/>
          <w:spacing w:val="-52"/>
          <w:vertAlign w:val="baseline"/>
        </w:rPr>
        <w:t> </w:t>
      </w:r>
      <w:r>
        <w:rPr>
          <w:color w:val="231F20"/>
          <w:spacing w:val="-4"/>
          <w:vertAlign w:val="baseline"/>
        </w:rPr>
        <w:t>disorder and agoraphobia: </w:t>
      </w:r>
      <w:r>
        <w:rPr>
          <w:color w:val="231F20"/>
          <w:spacing w:val="-3"/>
          <w:vertAlign w:val="baseline"/>
        </w:rPr>
        <w:t>Outcome and treatment</w:t>
      </w:r>
      <w:r>
        <w:rPr>
          <w:color w:val="231F20"/>
          <w:spacing w:val="-2"/>
          <w:vertAlign w:val="baseline"/>
        </w:rPr>
        <w:t> </w:t>
      </w:r>
      <w:r>
        <w:rPr>
          <w:color w:val="231F20"/>
          <w:spacing w:val="-4"/>
          <w:vertAlign w:val="baseline"/>
        </w:rPr>
        <w:t>processes from </w:t>
      </w:r>
      <w:r>
        <w:rPr>
          <w:color w:val="231F20"/>
          <w:spacing w:val="-3"/>
          <w:vertAlign w:val="baseline"/>
        </w:rPr>
        <w:t>a non-randomized non-inferiority</w:t>
      </w:r>
      <w:r>
        <w:rPr>
          <w:color w:val="231F20"/>
          <w:spacing w:val="-2"/>
          <w:vertAlign w:val="baseline"/>
        </w:rPr>
        <w:t> </w:t>
      </w:r>
      <w:r>
        <w:rPr>
          <w:color w:val="231F20"/>
          <w:spacing w:val="-5"/>
          <w:vertAlign w:val="baseline"/>
        </w:rPr>
        <w:t>trial. </w:t>
      </w:r>
      <w:r>
        <w:rPr>
          <w:i/>
          <w:color w:val="231F20"/>
          <w:spacing w:val="-5"/>
          <w:vertAlign w:val="baseline"/>
        </w:rPr>
        <w:t>Frontiers in </w:t>
      </w:r>
      <w:r>
        <w:rPr>
          <w:i/>
          <w:color w:val="231F20"/>
          <w:spacing w:val="-4"/>
          <w:vertAlign w:val="baseline"/>
        </w:rPr>
        <w:t>Psychology, 11</w:t>
      </w:r>
      <w:r>
        <w:rPr>
          <w:color w:val="231F20"/>
          <w:spacing w:val="-4"/>
          <w:vertAlign w:val="baseline"/>
        </w:rPr>
        <w:t>, 2164. </w:t>
      </w:r>
      <w:hyperlink r:id="rId75">
        <w:r>
          <w:rPr>
            <w:color w:val="3953A4"/>
            <w:spacing w:val="-4"/>
            <w:u w:val="single" w:color="3953A4"/>
            <w:vertAlign w:val="baseline"/>
          </w:rPr>
          <w:t>https://doi.</w:t>
        </w:r>
      </w:hyperlink>
      <w:r>
        <w:rPr>
          <w:color w:val="3953A4"/>
          <w:spacing w:val="-3"/>
          <w:vertAlign w:val="baseline"/>
        </w:rPr>
        <w:t> </w:t>
      </w:r>
      <w:hyperlink r:id="rId75">
        <w:r>
          <w:rPr>
            <w:color w:val="3953A4"/>
            <w:u w:val="single" w:color="3953A4"/>
            <w:vertAlign w:val="baseline"/>
          </w:rPr>
          <w:t>org/10.3389%2Ffpsyg.2020.02164</w:t>
        </w:r>
      </w:hyperlink>
    </w:p>
    <w:p>
      <w:pPr>
        <w:pStyle w:val="BodyText"/>
        <w:tabs>
          <w:tab w:pos="479" w:val="left" w:leader="none"/>
        </w:tabs>
        <w:spacing w:line="228" w:lineRule="auto" w:before="87"/>
        <w:ind w:left="479" w:right="809" w:hanging="360"/>
      </w:pPr>
      <w:r>
        <w:rPr>
          <w:color w:val="231F20"/>
          <w:vertAlign w:val="superscript"/>
        </w:rPr>
        <w:t>58</w:t>
      </w:r>
      <w:r>
        <w:rPr>
          <w:color w:val="231F20"/>
          <w:vertAlign w:val="baseline"/>
        </w:rPr>
        <w:tab/>
      </w:r>
      <w:r>
        <w:rPr>
          <w:color w:val="231F20"/>
          <w:spacing w:val="-4"/>
          <w:vertAlign w:val="baseline"/>
        </w:rPr>
        <w:t>Austen, S., &amp; McGrath, M. (2006). Telemental </w:t>
      </w:r>
      <w:r>
        <w:rPr>
          <w:color w:val="231F20"/>
          <w:spacing w:val="-3"/>
          <w:vertAlign w:val="baseline"/>
        </w:rPr>
        <w:t>health</w:t>
      </w:r>
      <w:r>
        <w:rPr>
          <w:color w:val="231F20"/>
          <w:spacing w:val="-2"/>
          <w:vertAlign w:val="baseline"/>
        </w:rPr>
        <w:t> </w:t>
      </w:r>
      <w:r>
        <w:rPr>
          <w:color w:val="231F20"/>
          <w:spacing w:val="-4"/>
          <w:vertAlign w:val="baseline"/>
        </w:rPr>
        <w:t>technology</w:t>
      </w:r>
      <w:r>
        <w:rPr>
          <w:color w:val="231F20"/>
          <w:spacing w:val="-8"/>
          <w:vertAlign w:val="baseline"/>
        </w:rPr>
        <w:t> </w:t>
      </w:r>
      <w:r>
        <w:rPr>
          <w:color w:val="231F20"/>
          <w:spacing w:val="-4"/>
          <w:vertAlign w:val="baseline"/>
        </w:rPr>
        <w:t>in</w:t>
      </w:r>
      <w:r>
        <w:rPr>
          <w:color w:val="231F20"/>
          <w:spacing w:val="-8"/>
          <w:vertAlign w:val="baseline"/>
        </w:rPr>
        <w:t> </w:t>
      </w:r>
      <w:r>
        <w:rPr>
          <w:color w:val="231F20"/>
          <w:spacing w:val="-4"/>
          <w:vertAlign w:val="baseline"/>
        </w:rPr>
        <w:t>deaf</w:t>
      </w:r>
      <w:r>
        <w:rPr>
          <w:color w:val="231F20"/>
          <w:spacing w:val="-8"/>
          <w:vertAlign w:val="baseline"/>
        </w:rPr>
        <w:t> </w:t>
      </w:r>
      <w:r>
        <w:rPr>
          <w:color w:val="231F20"/>
          <w:spacing w:val="-4"/>
          <w:vertAlign w:val="baseline"/>
        </w:rPr>
        <w:t>and</w:t>
      </w:r>
      <w:r>
        <w:rPr>
          <w:color w:val="231F20"/>
          <w:spacing w:val="-7"/>
          <w:vertAlign w:val="baseline"/>
        </w:rPr>
        <w:t> </w:t>
      </w:r>
      <w:r>
        <w:rPr>
          <w:color w:val="231F20"/>
          <w:spacing w:val="-4"/>
          <w:vertAlign w:val="baseline"/>
        </w:rPr>
        <w:t>general</w:t>
      </w:r>
      <w:r>
        <w:rPr>
          <w:color w:val="231F20"/>
          <w:spacing w:val="-8"/>
          <w:vertAlign w:val="baseline"/>
        </w:rPr>
        <w:t> </w:t>
      </w:r>
      <w:r>
        <w:rPr>
          <w:color w:val="231F20"/>
          <w:spacing w:val="-4"/>
          <w:vertAlign w:val="baseline"/>
        </w:rPr>
        <w:t>mental-health</w:t>
      </w:r>
      <w:r>
        <w:rPr>
          <w:color w:val="231F20"/>
          <w:spacing w:val="-8"/>
          <w:vertAlign w:val="baseline"/>
        </w:rPr>
        <w:t> </w:t>
      </w:r>
      <w:r>
        <w:rPr>
          <w:color w:val="231F20"/>
          <w:spacing w:val="-3"/>
          <w:vertAlign w:val="baseline"/>
        </w:rPr>
        <w:t>services:</w:t>
      </w:r>
      <w:r>
        <w:rPr>
          <w:color w:val="231F20"/>
          <w:spacing w:val="-52"/>
          <w:vertAlign w:val="baseline"/>
        </w:rPr>
        <w:t> </w:t>
      </w:r>
      <w:r>
        <w:rPr>
          <w:color w:val="231F20"/>
          <w:spacing w:val="-4"/>
          <w:vertAlign w:val="baseline"/>
        </w:rPr>
        <w:t>Access and use. </w:t>
      </w:r>
      <w:r>
        <w:rPr>
          <w:i/>
          <w:color w:val="231F20"/>
          <w:spacing w:val="-4"/>
          <w:vertAlign w:val="baseline"/>
        </w:rPr>
        <w:t>American </w:t>
      </w:r>
      <w:r>
        <w:rPr>
          <w:i/>
          <w:color w:val="231F20"/>
          <w:spacing w:val="-3"/>
          <w:vertAlign w:val="baseline"/>
        </w:rPr>
        <w:t>Annals of the Deaf, 151</w:t>
      </w:r>
      <w:r>
        <w:rPr>
          <w:color w:val="231F20"/>
          <w:spacing w:val="-3"/>
          <w:vertAlign w:val="baseline"/>
        </w:rPr>
        <w:t>(3),</w:t>
      </w:r>
      <w:r>
        <w:rPr>
          <w:color w:val="231F20"/>
          <w:spacing w:val="-52"/>
          <w:vertAlign w:val="baseline"/>
        </w:rPr>
        <w:t> </w:t>
      </w:r>
      <w:r>
        <w:rPr>
          <w:color w:val="231F20"/>
          <w:spacing w:val="-4"/>
          <w:vertAlign w:val="baseline"/>
        </w:rPr>
        <w:t>311-317.</w:t>
      </w:r>
      <w:r>
        <w:rPr>
          <w:color w:val="231F20"/>
          <w:spacing w:val="-9"/>
          <w:vertAlign w:val="baseline"/>
        </w:rPr>
        <w:t> </w:t>
      </w:r>
      <w:hyperlink r:id="rId76">
        <w:r>
          <w:rPr>
            <w:color w:val="3953A4"/>
            <w:spacing w:val="-4"/>
            <w:u w:val="single" w:color="3953A4"/>
            <w:vertAlign w:val="baseline"/>
          </w:rPr>
          <w:t>https://doi.org/10.1353/aad.2006.0033</w:t>
        </w:r>
      </w:hyperlink>
    </w:p>
    <w:p>
      <w:pPr>
        <w:spacing w:after="0" w:line="228" w:lineRule="auto"/>
        <w:sectPr>
          <w:type w:val="continuous"/>
          <w:pgSz w:w="12240" w:h="15840"/>
          <w:pgMar w:header="0" w:footer="666" w:top="1500" w:bottom="0" w:left="600" w:right="0"/>
          <w:cols w:num="2" w:equalWidth="0">
            <w:col w:w="5182" w:space="578"/>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tabs>
          <w:tab w:pos="479" w:val="left" w:leader="none"/>
        </w:tabs>
        <w:spacing w:line="228" w:lineRule="auto" w:before="101"/>
        <w:ind w:left="480" w:right="221" w:hanging="360"/>
        <w:jc w:val="left"/>
        <w:rPr>
          <w:sz w:val="22"/>
        </w:rPr>
      </w:pPr>
      <w:r>
        <w:rPr>
          <w:color w:val="231F20"/>
          <w:sz w:val="22"/>
          <w:vertAlign w:val="superscript"/>
        </w:rPr>
        <w:t>59</w:t>
      </w:r>
      <w:r>
        <w:rPr>
          <w:color w:val="231F20"/>
          <w:sz w:val="22"/>
          <w:vertAlign w:val="baseline"/>
        </w:rPr>
        <w:tab/>
      </w:r>
      <w:r>
        <w:rPr>
          <w:color w:val="231F20"/>
          <w:spacing w:val="-1"/>
          <w:sz w:val="22"/>
          <w:vertAlign w:val="baseline"/>
        </w:rPr>
        <w:t>Taskforce </w:t>
      </w:r>
      <w:r>
        <w:rPr>
          <w:color w:val="231F20"/>
          <w:sz w:val="22"/>
          <w:vertAlign w:val="baseline"/>
        </w:rPr>
        <w:t>on Telehealth Policy. (2020). </w:t>
      </w:r>
      <w:r>
        <w:rPr>
          <w:i/>
          <w:color w:val="231F20"/>
          <w:sz w:val="22"/>
          <w:vertAlign w:val="baseline"/>
        </w:rPr>
        <w:t>Taskforce</w:t>
      </w:r>
      <w:r>
        <w:rPr>
          <w:i/>
          <w:color w:val="231F20"/>
          <w:spacing w:val="1"/>
          <w:sz w:val="22"/>
          <w:vertAlign w:val="baseline"/>
        </w:rPr>
        <w:t> </w:t>
      </w:r>
      <w:r>
        <w:rPr>
          <w:i/>
          <w:color w:val="231F20"/>
          <w:sz w:val="22"/>
          <w:vertAlign w:val="baseline"/>
        </w:rPr>
        <w:t>on telehealth policy (TTP): Findings and</w:t>
      </w:r>
      <w:r>
        <w:rPr>
          <w:i/>
          <w:color w:val="231F20"/>
          <w:spacing w:val="1"/>
          <w:sz w:val="22"/>
          <w:vertAlign w:val="baseline"/>
        </w:rPr>
        <w:t> </w:t>
      </w:r>
      <w:r>
        <w:rPr>
          <w:i/>
          <w:color w:val="231F20"/>
          <w:sz w:val="22"/>
          <w:vertAlign w:val="baseline"/>
        </w:rPr>
        <w:t>recommendations</w:t>
      </w:r>
      <w:r>
        <w:rPr>
          <w:color w:val="231F20"/>
          <w:sz w:val="22"/>
          <w:vertAlign w:val="baseline"/>
        </w:rPr>
        <w:t>.</w:t>
      </w:r>
      <w:r>
        <w:rPr>
          <w:color w:val="231F20"/>
          <w:spacing w:val="-6"/>
          <w:sz w:val="22"/>
          <w:vertAlign w:val="baseline"/>
        </w:rPr>
        <w:t> </w:t>
      </w:r>
      <w:r>
        <w:rPr>
          <w:color w:val="231F20"/>
          <w:sz w:val="22"/>
          <w:vertAlign w:val="baseline"/>
        </w:rPr>
        <w:t>National</w:t>
      </w:r>
      <w:r>
        <w:rPr>
          <w:color w:val="231F20"/>
          <w:spacing w:val="-6"/>
          <w:sz w:val="22"/>
          <w:vertAlign w:val="baseline"/>
        </w:rPr>
        <w:t> </w:t>
      </w:r>
      <w:r>
        <w:rPr>
          <w:color w:val="231F20"/>
          <w:sz w:val="22"/>
          <w:vertAlign w:val="baseline"/>
        </w:rPr>
        <w:t>Committee</w:t>
      </w:r>
      <w:r>
        <w:rPr>
          <w:color w:val="231F20"/>
          <w:spacing w:val="-6"/>
          <w:sz w:val="22"/>
          <w:vertAlign w:val="baseline"/>
        </w:rPr>
        <w:t> </w:t>
      </w:r>
      <w:r>
        <w:rPr>
          <w:color w:val="231F20"/>
          <w:sz w:val="22"/>
          <w:vertAlign w:val="baseline"/>
        </w:rPr>
        <w:t>for</w:t>
      </w:r>
      <w:r>
        <w:rPr>
          <w:color w:val="231F20"/>
          <w:spacing w:val="-6"/>
          <w:sz w:val="22"/>
          <w:vertAlign w:val="baseline"/>
        </w:rPr>
        <w:t> </w:t>
      </w:r>
      <w:r>
        <w:rPr>
          <w:color w:val="231F20"/>
          <w:sz w:val="22"/>
          <w:vertAlign w:val="baseline"/>
        </w:rPr>
        <w:t>Quality</w:t>
      </w:r>
      <w:r>
        <w:rPr>
          <w:color w:val="231F20"/>
          <w:spacing w:val="-52"/>
          <w:sz w:val="22"/>
          <w:vertAlign w:val="baseline"/>
        </w:rPr>
        <w:t> </w:t>
      </w:r>
      <w:r>
        <w:rPr>
          <w:color w:val="231F20"/>
          <w:sz w:val="22"/>
          <w:vertAlign w:val="baseline"/>
        </w:rPr>
        <w:t>Assurance. </w:t>
      </w:r>
      <w:hyperlink r:id="rId77">
        <w:r>
          <w:rPr>
            <w:color w:val="3953A4"/>
            <w:sz w:val="22"/>
            <w:u w:val="single" w:color="3953A4"/>
            <w:vertAlign w:val="baseline"/>
          </w:rPr>
          <w:t>https://www.ncqa.org/wp-content/</w:t>
        </w:r>
      </w:hyperlink>
      <w:r>
        <w:rPr>
          <w:color w:val="3953A4"/>
          <w:spacing w:val="1"/>
          <w:sz w:val="22"/>
          <w:vertAlign w:val="baseline"/>
        </w:rPr>
        <w:t> </w:t>
      </w:r>
      <w:hyperlink r:id="rId77">
        <w:r>
          <w:rPr>
            <w:color w:val="3953A4"/>
            <w:sz w:val="22"/>
            <w:u w:val="single" w:color="3953A4"/>
            <w:vertAlign w:val="baseline"/>
          </w:rPr>
          <w:t>uploads/2020/09/20200914_Taskforce_on_</w:t>
        </w:r>
      </w:hyperlink>
      <w:r>
        <w:rPr>
          <w:color w:val="3953A4"/>
          <w:spacing w:val="1"/>
          <w:sz w:val="22"/>
          <w:vertAlign w:val="baseline"/>
        </w:rPr>
        <w:t> </w:t>
      </w:r>
      <w:hyperlink r:id="rId77">
        <w:r>
          <w:rPr>
            <w:color w:val="3953A4"/>
            <w:sz w:val="22"/>
            <w:u w:val="single" w:color="3953A4"/>
            <w:vertAlign w:val="baseline"/>
          </w:rPr>
          <w:t>Telehealth_Policy_Final_Report.pdf</w:t>
        </w:r>
      </w:hyperlink>
    </w:p>
    <w:p>
      <w:pPr>
        <w:pStyle w:val="BodyText"/>
        <w:tabs>
          <w:tab w:pos="479" w:val="left" w:leader="none"/>
        </w:tabs>
        <w:spacing w:line="228" w:lineRule="auto" w:before="88"/>
        <w:ind w:left="480" w:right="140" w:hanging="360"/>
      </w:pPr>
      <w:r>
        <w:rPr>
          <w:color w:val="231F20"/>
          <w:vertAlign w:val="superscript"/>
        </w:rPr>
        <w:t>60</w:t>
      </w:r>
      <w:r>
        <w:rPr>
          <w:color w:val="231F20"/>
          <w:vertAlign w:val="baseline"/>
        </w:rPr>
        <w:tab/>
        <w:t>Quinn, W. V., O’Brien, E., &amp; Springan, G. (2018).</w:t>
      </w:r>
      <w:r>
        <w:rPr>
          <w:color w:val="231F20"/>
          <w:spacing w:val="1"/>
          <w:vertAlign w:val="baseline"/>
        </w:rPr>
        <w:t> </w:t>
      </w:r>
      <w:r>
        <w:rPr>
          <w:color w:val="231F20"/>
          <w:vertAlign w:val="baseline"/>
        </w:rPr>
        <w:t>Using telehealth to improve home-based care for</w:t>
      </w:r>
      <w:r>
        <w:rPr>
          <w:color w:val="231F20"/>
          <w:spacing w:val="1"/>
          <w:vertAlign w:val="baseline"/>
        </w:rPr>
        <w:t> </w:t>
      </w:r>
      <w:r>
        <w:rPr>
          <w:color w:val="231F20"/>
          <w:vertAlign w:val="baseline"/>
        </w:rPr>
        <w:t>older adults and family caregivers. </w:t>
      </w:r>
      <w:r>
        <w:rPr>
          <w:i/>
          <w:color w:val="231F20"/>
          <w:vertAlign w:val="baseline"/>
        </w:rPr>
        <w:t>Insight</w:t>
      </w:r>
      <w:r>
        <w:rPr>
          <w:color w:val="231F20"/>
          <w:vertAlign w:val="baseline"/>
        </w:rPr>
        <w:t>. </w:t>
      </w:r>
      <w:hyperlink r:id="rId78">
        <w:r>
          <w:rPr>
            <w:color w:val="3953A4"/>
            <w:u w:val="single" w:color="3953A4"/>
            <w:vertAlign w:val="baseline"/>
          </w:rPr>
          <w:t>https://</w:t>
        </w:r>
      </w:hyperlink>
      <w:r>
        <w:rPr>
          <w:color w:val="3953A4"/>
          <w:spacing w:val="1"/>
          <w:vertAlign w:val="baseline"/>
        </w:rPr>
        <w:t> </w:t>
      </w:r>
      <w:hyperlink r:id="rId78">
        <w:r>
          <w:rPr>
            <w:color w:val="3953A4"/>
            <w:spacing w:val="-1"/>
            <w:u w:val="single" w:color="3953A4"/>
            <w:vertAlign w:val="baseline"/>
          </w:rPr>
          <w:t>www.aarp.org/content/dam/aarp/ppi/2018/05/using-</w:t>
        </w:r>
      </w:hyperlink>
      <w:r>
        <w:rPr>
          <w:color w:val="3953A4"/>
          <w:spacing w:val="-52"/>
          <w:vertAlign w:val="baseline"/>
        </w:rPr>
        <w:t> </w:t>
      </w:r>
      <w:hyperlink r:id="rId78">
        <w:r>
          <w:rPr>
            <w:color w:val="3953A4"/>
            <w:u w:val="single" w:color="3953A4"/>
            <w:vertAlign w:val="baseline"/>
          </w:rPr>
          <w:t>telehealth-to-improve-home-based-care-for-older-</w:t>
        </w:r>
      </w:hyperlink>
      <w:r>
        <w:rPr>
          <w:color w:val="3953A4"/>
          <w:spacing w:val="1"/>
          <w:vertAlign w:val="baseline"/>
        </w:rPr>
        <w:t> </w:t>
      </w:r>
      <w:hyperlink r:id="rId78">
        <w:r>
          <w:rPr>
            <w:color w:val="3953A4"/>
            <w:u w:val="single" w:color="3953A4"/>
            <w:vertAlign w:val="baseline"/>
          </w:rPr>
          <w:t>adults-and-family-caregivers.pdf</w:t>
        </w:r>
      </w:hyperlink>
    </w:p>
    <w:p>
      <w:pPr>
        <w:tabs>
          <w:tab w:pos="479" w:val="left" w:leader="none"/>
        </w:tabs>
        <w:spacing w:line="228" w:lineRule="auto" w:before="88"/>
        <w:ind w:left="480" w:right="38" w:hanging="360"/>
        <w:jc w:val="left"/>
        <w:rPr>
          <w:sz w:val="22"/>
        </w:rPr>
      </w:pPr>
      <w:r>
        <w:rPr>
          <w:color w:val="231F20"/>
          <w:sz w:val="22"/>
          <w:vertAlign w:val="superscript"/>
        </w:rPr>
        <w:t>61</w:t>
      </w:r>
      <w:r>
        <w:rPr>
          <w:color w:val="231F20"/>
          <w:sz w:val="22"/>
          <w:vertAlign w:val="baseline"/>
        </w:rPr>
        <w:tab/>
        <w:t>Dixon,</w:t>
      </w:r>
      <w:r>
        <w:rPr>
          <w:color w:val="231F20"/>
          <w:spacing w:val="2"/>
          <w:sz w:val="22"/>
          <w:vertAlign w:val="baseline"/>
        </w:rPr>
        <w:t> </w:t>
      </w:r>
      <w:r>
        <w:rPr>
          <w:color w:val="231F20"/>
          <w:sz w:val="22"/>
          <w:vertAlign w:val="baseline"/>
        </w:rPr>
        <w:t>B.</w:t>
      </w:r>
      <w:r>
        <w:rPr>
          <w:color w:val="231F20"/>
          <w:spacing w:val="2"/>
          <w:sz w:val="22"/>
          <w:vertAlign w:val="baseline"/>
        </w:rPr>
        <w:t> </w:t>
      </w:r>
      <w:r>
        <w:rPr>
          <w:color w:val="231F20"/>
          <w:sz w:val="22"/>
          <w:vertAlign w:val="baseline"/>
        </w:rPr>
        <w:t>E.,</w:t>
      </w:r>
      <w:r>
        <w:rPr>
          <w:color w:val="231F20"/>
          <w:spacing w:val="2"/>
          <w:sz w:val="22"/>
          <w:vertAlign w:val="baseline"/>
        </w:rPr>
        <w:t> </w:t>
      </w:r>
      <w:r>
        <w:rPr>
          <w:color w:val="231F20"/>
          <w:sz w:val="22"/>
          <w:vertAlign w:val="baseline"/>
        </w:rPr>
        <w:t>Hook,</w:t>
      </w:r>
      <w:r>
        <w:rPr>
          <w:color w:val="231F20"/>
          <w:spacing w:val="2"/>
          <w:sz w:val="22"/>
          <w:vertAlign w:val="baseline"/>
        </w:rPr>
        <w:t> </w:t>
      </w:r>
      <w:r>
        <w:rPr>
          <w:color w:val="231F20"/>
          <w:sz w:val="22"/>
          <w:vertAlign w:val="baseline"/>
        </w:rPr>
        <w:t>J.</w:t>
      </w:r>
      <w:r>
        <w:rPr>
          <w:color w:val="231F20"/>
          <w:spacing w:val="2"/>
          <w:sz w:val="22"/>
          <w:vertAlign w:val="baseline"/>
        </w:rPr>
        <w:t> </w:t>
      </w:r>
      <w:r>
        <w:rPr>
          <w:color w:val="231F20"/>
          <w:sz w:val="22"/>
          <w:vertAlign w:val="baseline"/>
        </w:rPr>
        <w:t>M.,</w:t>
      </w:r>
      <w:r>
        <w:rPr>
          <w:color w:val="231F20"/>
          <w:spacing w:val="2"/>
          <w:sz w:val="22"/>
          <w:vertAlign w:val="baseline"/>
        </w:rPr>
        <w:t> </w:t>
      </w:r>
      <w:r>
        <w:rPr>
          <w:color w:val="231F20"/>
          <w:sz w:val="22"/>
          <w:vertAlign w:val="baseline"/>
        </w:rPr>
        <w:t>McGowan,</w:t>
      </w:r>
      <w:r>
        <w:rPr>
          <w:color w:val="231F20"/>
          <w:spacing w:val="3"/>
          <w:sz w:val="22"/>
          <w:vertAlign w:val="baseline"/>
        </w:rPr>
        <w:t> </w:t>
      </w:r>
      <w:r>
        <w:rPr>
          <w:color w:val="231F20"/>
          <w:sz w:val="22"/>
          <w:vertAlign w:val="baseline"/>
        </w:rPr>
        <w:t>J.</w:t>
      </w:r>
      <w:r>
        <w:rPr>
          <w:color w:val="231F20"/>
          <w:spacing w:val="2"/>
          <w:sz w:val="22"/>
          <w:vertAlign w:val="baseline"/>
        </w:rPr>
        <w:t> </w:t>
      </w:r>
      <w:r>
        <w:rPr>
          <w:color w:val="231F20"/>
          <w:sz w:val="22"/>
          <w:vertAlign w:val="baseline"/>
        </w:rPr>
        <w:t>J.,</w:t>
      </w:r>
      <w:r>
        <w:rPr>
          <w:color w:val="231F20"/>
          <w:spacing w:val="2"/>
          <w:sz w:val="22"/>
          <w:vertAlign w:val="baseline"/>
        </w:rPr>
        <w:t> </w:t>
      </w:r>
      <w:r>
        <w:rPr>
          <w:color w:val="231F20"/>
          <w:sz w:val="22"/>
          <w:vertAlign w:val="baseline"/>
        </w:rPr>
        <w:t>&amp;</w:t>
      </w:r>
      <w:r>
        <w:rPr>
          <w:color w:val="231F20"/>
          <w:spacing w:val="1"/>
          <w:sz w:val="22"/>
          <w:vertAlign w:val="baseline"/>
        </w:rPr>
        <w:t> </w:t>
      </w:r>
      <w:r>
        <w:rPr>
          <w:color w:val="231F20"/>
          <w:sz w:val="22"/>
          <w:vertAlign w:val="baseline"/>
        </w:rPr>
        <w:t>AHRQ National Resource Center for Health</w:t>
      </w:r>
      <w:r>
        <w:rPr>
          <w:color w:val="231F20"/>
          <w:spacing w:val="1"/>
          <w:sz w:val="22"/>
          <w:vertAlign w:val="baseline"/>
        </w:rPr>
        <w:t> </w:t>
      </w:r>
      <w:r>
        <w:rPr>
          <w:color w:val="231F20"/>
          <w:sz w:val="22"/>
          <w:vertAlign w:val="baseline"/>
        </w:rPr>
        <w:t>Information Technology. (2008). </w:t>
      </w:r>
      <w:r>
        <w:rPr>
          <w:i/>
          <w:color w:val="231F20"/>
          <w:sz w:val="22"/>
          <w:vertAlign w:val="baseline"/>
        </w:rPr>
        <w:t>Using telehealth to</w:t>
      </w:r>
      <w:r>
        <w:rPr>
          <w:i/>
          <w:color w:val="231F20"/>
          <w:spacing w:val="-52"/>
          <w:sz w:val="22"/>
          <w:vertAlign w:val="baseline"/>
        </w:rPr>
        <w:t> </w:t>
      </w:r>
      <w:r>
        <w:rPr>
          <w:i/>
          <w:color w:val="231F20"/>
          <w:sz w:val="22"/>
          <w:vertAlign w:val="baseline"/>
        </w:rPr>
        <w:t>improve</w:t>
      </w:r>
      <w:r>
        <w:rPr>
          <w:i/>
          <w:color w:val="231F20"/>
          <w:spacing w:val="-5"/>
          <w:sz w:val="22"/>
          <w:vertAlign w:val="baseline"/>
        </w:rPr>
        <w:t> </w:t>
      </w:r>
      <w:r>
        <w:rPr>
          <w:i/>
          <w:color w:val="231F20"/>
          <w:sz w:val="22"/>
          <w:vertAlign w:val="baseline"/>
        </w:rPr>
        <w:t>quality</w:t>
      </w:r>
      <w:r>
        <w:rPr>
          <w:i/>
          <w:color w:val="231F20"/>
          <w:spacing w:val="-5"/>
          <w:sz w:val="22"/>
          <w:vertAlign w:val="baseline"/>
        </w:rPr>
        <w:t> </w:t>
      </w:r>
      <w:r>
        <w:rPr>
          <w:i/>
          <w:color w:val="231F20"/>
          <w:sz w:val="22"/>
          <w:vertAlign w:val="baseline"/>
        </w:rPr>
        <w:t>and</w:t>
      </w:r>
      <w:r>
        <w:rPr>
          <w:i/>
          <w:color w:val="231F20"/>
          <w:spacing w:val="-5"/>
          <w:sz w:val="22"/>
          <w:vertAlign w:val="baseline"/>
        </w:rPr>
        <w:t> </w:t>
      </w:r>
      <w:r>
        <w:rPr>
          <w:i/>
          <w:color w:val="231F20"/>
          <w:sz w:val="22"/>
          <w:vertAlign w:val="baseline"/>
        </w:rPr>
        <w:t>safety:</w:t>
      </w:r>
      <w:r>
        <w:rPr>
          <w:i/>
          <w:color w:val="231F20"/>
          <w:spacing w:val="-4"/>
          <w:sz w:val="22"/>
          <w:vertAlign w:val="baseline"/>
        </w:rPr>
        <w:t> </w:t>
      </w:r>
      <w:r>
        <w:rPr>
          <w:i/>
          <w:color w:val="231F20"/>
          <w:sz w:val="22"/>
          <w:vertAlign w:val="baseline"/>
        </w:rPr>
        <w:t>Findings</w:t>
      </w:r>
      <w:r>
        <w:rPr>
          <w:i/>
          <w:color w:val="231F20"/>
          <w:spacing w:val="-5"/>
          <w:sz w:val="22"/>
          <w:vertAlign w:val="baseline"/>
        </w:rPr>
        <w:t> </w:t>
      </w:r>
      <w:r>
        <w:rPr>
          <w:i/>
          <w:color w:val="231F20"/>
          <w:sz w:val="22"/>
          <w:vertAlign w:val="baseline"/>
        </w:rPr>
        <w:t>from</w:t>
      </w:r>
      <w:r>
        <w:rPr>
          <w:i/>
          <w:color w:val="231F20"/>
          <w:spacing w:val="-5"/>
          <w:sz w:val="22"/>
          <w:vertAlign w:val="baseline"/>
        </w:rPr>
        <w:t> </w:t>
      </w:r>
      <w:r>
        <w:rPr>
          <w:i/>
          <w:color w:val="231F20"/>
          <w:sz w:val="22"/>
          <w:vertAlign w:val="baseline"/>
        </w:rPr>
        <w:t>the</w:t>
      </w:r>
      <w:r>
        <w:rPr>
          <w:i/>
          <w:color w:val="231F20"/>
          <w:spacing w:val="-8"/>
          <w:sz w:val="22"/>
          <w:vertAlign w:val="baseline"/>
        </w:rPr>
        <w:t> </w:t>
      </w:r>
      <w:r>
        <w:rPr>
          <w:i/>
          <w:color w:val="231F20"/>
          <w:sz w:val="22"/>
          <w:vertAlign w:val="baseline"/>
        </w:rPr>
        <w:t>AHRQ</w:t>
      </w:r>
      <w:r>
        <w:rPr>
          <w:i/>
          <w:color w:val="231F20"/>
          <w:spacing w:val="-52"/>
          <w:sz w:val="22"/>
          <w:vertAlign w:val="baseline"/>
        </w:rPr>
        <w:t> </w:t>
      </w:r>
      <w:r>
        <w:rPr>
          <w:i/>
          <w:color w:val="231F20"/>
          <w:sz w:val="22"/>
          <w:vertAlign w:val="baseline"/>
        </w:rPr>
        <w:t>Health</w:t>
      </w:r>
      <w:r>
        <w:rPr>
          <w:i/>
          <w:color w:val="231F20"/>
          <w:spacing w:val="-1"/>
          <w:sz w:val="22"/>
          <w:vertAlign w:val="baseline"/>
        </w:rPr>
        <w:t> </w:t>
      </w:r>
      <w:r>
        <w:rPr>
          <w:i/>
          <w:color w:val="231F20"/>
          <w:sz w:val="22"/>
          <w:vertAlign w:val="baseline"/>
        </w:rPr>
        <w:t>IT</w:t>
      </w:r>
      <w:r>
        <w:rPr>
          <w:i/>
          <w:color w:val="231F20"/>
          <w:spacing w:val="-4"/>
          <w:sz w:val="22"/>
          <w:vertAlign w:val="baseline"/>
        </w:rPr>
        <w:t> </w:t>
      </w:r>
      <w:r>
        <w:rPr>
          <w:i/>
          <w:color w:val="231F20"/>
          <w:sz w:val="22"/>
          <w:vertAlign w:val="baseline"/>
        </w:rPr>
        <w:t>Portfolio</w:t>
      </w:r>
      <w:r>
        <w:rPr>
          <w:color w:val="231F20"/>
          <w:sz w:val="22"/>
          <w:vertAlign w:val="baseline"/>
        </w:rPr>
        <w:t>.</w:t>
      </w:r>
      <w:r>
        <w:rPr>
          <w:color w:val="231F20"/>
          <w:spacing w:val="-13"/>
          <w:sz w:val="22"/>
          <w:vertAlign w:val="baseline"/>
        </w:rPr>
        <w:t> </w:t>
      </w:r>
      <w:r>
        <w:rPr>
          <w:color w:val="231F20"/>
          <w:sz w:val="22"/>
          <w:vertAlign w:val="baseline"/>
        </w:rPr>
        <w:t>Agency for Healthcare</w:t>
      </w:r>
      <w:r>
        <w:rPr>
          <w:color w:val="231F20"/>
          <w:spacing w:val="-1"/>
          <w:sz w:val="22"/>
          <w:vertAlign w:val="baseline"/>
        </w:rPr>
        <w:t> </w:t>
      </w:r>
      <w:r>
        <w:rPr>
          <w:color w:val="231F20"/>
          <w:sz w:val="22"/>
          <w:vertAlign w:val="baseline"/>
        </w:rPr>
        <w:t>Research</w:t>
      </w:r>
      <w:r>
        <w:rPr>
          <w:color w:val="231F20"/>
          <w:spacing w:val="-52"/>
          <w:sz w:val="22"/>
          <w:vertAlign w:val="baseline"/>
        </w:rPr>
        <w:t> </w:t>
      </w:r>
      <w:r>
        <w:rPr>
          <w:color w:val="231F20"/>
          <w:sz w:val="22"/>
          <w:vertAlign w:val="baseline"/>
        </w:rPr>
        <w:t>and Quality. </w:t>
      </w:r>
      <w:hyperlink r:id="rId79">
        <w:r>
          <w:rPr>
            <w:color w:val="3953A4"/>
            <w:sz w:val="22"/>
            <w:u w:val="single" w:color="3953A4"/>
            <w:vertAlign w:val="baseline"/>
          </w:rPr>
          <w:t>https://digital.ahrq.gov/sites/default/</w:t>
        </w:r>
      </w:hyperlink>
      <w:r>
        <w:rPr>
          <w:color w:val="3953A4"/>
          <w:spacing w:val="1"/>
          <w:sz w:val="22"/>
          <w:vertAlign w:val="baseline"/>
        </w:rPr>
        <w:t> </w:t>
      </w:r>
      <w:hyperlink r:id="rId79">
        <w:r>
          <w:rPr>
            <w:color w:val="3953A4"/>
            <w:sz w:val="22"/>
            <w:u w:val="single" w:color="3953A4"/>
            <w:vertAlign w:val="baseline"/>
          </w:rPr>
          <w:t>files/docs/page/Telehealth_Issue_Paper_Final_1.pdf</w:t>
        </w:r>
      </w:hyperlink>
    </w:p>
    <w:p>
      <w:pPr>
        <w:pStyle w:val="BodyText"/>
        <w:tabs>
          <w:tab w:pos="479" w:val="left" w:leader="none"/>
        </w:tabs>
        <w:spacing w:line="228" w:lineRule="auto" w:before="88"/>
        <w:ind w:left="480" w:right="63" w:hanging="360"/>
      </w:pPr>
      <w:r>
        <w:rPr>
          <w:color w:val="231F20"/>
          <w:vertAlign w:val="superscript"/>
        </w:rPr>
        <w:t>62</w:t>
      </w:r>
      <w:r>
        <w:rPr>
          <w:color w:val="231F20"/>
          <w:vertAlign w:val="baseline"/>
        </w:rPr>
        <w:tab/>
        <w:t>Gentry, M. T., Lapid, M. I., Clark, M. M., &amp;</w:t>
      </w:r>
      <w:r>
        <w:rPr>
          <w:color w:val="231F20"/>
          <w:spacing w:val="1"/>
          <w:vertAlign w:val="baseline"/>
        </w:rPr>
        <w:t> </w:t>
      </w:r>
      <w:r>
        <w:rPr>
          <w:color w:val="231F20"/>
          <w:spacing w:val="-1"/>
          <w:vertAlign w:val="baseline"/>
        </w:rPr>
        <w:t>Rummans, </w:t>
      </w:r>
      <w:r>
        <w:rPr>
          <w:color w:val="231F20"/>
          <w:vertAlign w:val="baseline"/>
        </w:rPr>
        <w:t>T. A. (2019). Evidence for telehealth</w:t>
      </w:r>
      <w:r>
        <w:rPr>
          <w:color w:val="231F20"/>
          <w:spacing w:val="1"/>
          <w:vertAlign w:val="baseline"/>
        </w:rPr>
        <w:t> </w:t>
      </w:r>
      <w:r>
        <w:rPr>
          <w:color w:val="231F20"/>
          <w:spacing w:val="-1"/>
          <w:vertAlign w:val="baseline"/>
        </w:rPr>
        <w:t>group-based</w:t>
      </w:r>
      <w:r>
        <w:rPr>
          <w:color w:val="231F20"/>
          <w:vertAlign w:val="baseline"/>
        </w:rPr>
        <w:t> </w:t>
      </w:r>
      <w:r>
        <w:rPr>
          <w:color w:val="231F20"/>
          <w:spacing w:val="-1"/>
          <w:vertAlign w:val="baseline"/>
        </w:rPr>
        <w:t>treatment:</w:t>
      </w:r>
      <w:r>
        <w:rPr>
          <w:color w:val="231F20"/>
          <w:spacing w:val="-13"/>
          <w:vertAlign w:val="baseline"/>
        </w:rPr>
        <w:t> </w:t>
      </w:r>
      <w:r>
        <w:rPr>
          <w:color w:val="231F20"/>
          <w:spacing w:val="-1"/>
          <w:vertAlign w:val="baseline"/>
        </w:rPr>
        <w:t>A</w:t>
      </w:r>
      <w:r>
        <w:rPr>
          <w:color w:val="231F20"/>
          <w:spacing w:val="-13"/>
          <w:vertAlign w:val="baseline"/>
        </w:rPr>
        <w:t> </w:t>
      </w:r>
      <w:r>
        <w:rPr>
          <w:color w:val="231F20"/>
          <w:spacing w:val="-1"/>
          <w:vertAlign w:val="baseline"/>
        </w:rPr>
        <w:t>systematic</w:t>
      </w:r>
      <w:r>
        <w:rPr>
          <w:color w:val="231F20"/>
          <w:spacing w:val="1"/>
          <w:vertAlign w:val="baseline"/>
        </w:rPr>
        <w:t> </w:t>
      </w:r>
      <w:r>
        <w:rPr>
          <w:color w:val="231F20"/>
          <w:vertAlign w:val="baseline"/>
        </w:rPr>
        <w:t>review. </w:t>
      </w:r>
      <w:r>
        <w:rPr>
          <w:i/>
          <w:color w:val="231F20"/>
          <w:vertAlign w:val="baseline"/>
        </w:rPr>
        <w:t>Journal</w:t>
      </w:r>
      <w:r>
        <w:rPr>
          <w:i/>
          <w:color w:val="231F20"/>
          <w:spacing w:val="-52"/>
          <w:vertAlign w:val="baseline"/>
        </w:rPr>
        <w:t> </w:t>
      </w:r>
      <w:r>
        <w:rPr>
          <w:i/>
          <w:color w:val="231F20"/>
          <w:vertAlign w:val="baseline"/>
        </w:rPr>
        <w:t>of Telemedicine and Telecare, 25</w:t>
      </w:r>
      <w:r>
        <w:rPr>
          <w:color w:val="231F20"/>
          <w:vertAlign w:val="baseline"/>
        </w:rPr>
        <w:t>(6), 327-342.</w:t>
      </w:r>
      <w:r>
        <w:rPr>
          <w:color w:val="231F20"/>
          <w:spacing w:val="1"/>
          <w:vertAlign w:val="baseline"/>
        </w:rPr>
        <w:t> </w:t>
      </w:r>
      <w:hyperlink r:id="rId80">
        <w:r>
          <w:rPr>
            <w:color w:val="3953A4"/>
            <w:u w:val="single" w:color="3953A4"/>
            <w:vertAlign w:val="baseline"/>
          </w:rPr>
          <w:t>https://doi.org/10.1177/1357633x18775855</w:t>
        </w:r>
      </w:hyperlink>
    </w:p>
    <w:p>
      <w:pPr>
        <w:pStyle w:val="BodyText"/>
        <w:tabs>
          <w:tab w:pos="479" w:val="left" w:leader="none"/>
        </w:tabs>
        <w:spacing w:line="228" w:lineRule="auto" w:before="88"/>
        <w:ind w:left="480" w:right="111" w:hanging="360"/>
      </w:pPr>
      <w:r>
        <w:rPr>
          <w:color w:val="231F20"/>
          <w:vertAlign w:val="superscript"/>
        </w:rPr>
        <w:t>63</w:t>
      </w:r>
      <w:r>
        <w:rPr>
          <w:color w:val="231F20"/>
          <w:vertAlign w:val="baseline"/>
        </w:rPr>
        <w:tab/>
        <w:t>American Psychiatric Association. (2020). </w:t>
      </w:r>
      <w:r>
        <w:rPr>
          <w:i/>
          <w:color w:val="231F20"/>
          <w:vertAlign w:val="baseline"/>
        </w:rPr>
        <w:t>What is</w:t>
      </w:r>
      <w:r>
        <w:rPr>
          <w:i/>
          <w:color w:val="231F20"/>
          <w:spacing w:val="1"/>
          <w:vertAlign w:val="baseline"/>
        </w:rPr>
        <w:t> </w:t>
      </w:r>
      <w:r>
        <w:rPr>
          <w:i/>
          <w:color w:val="231F20"/>
          <w:spacing w:val="-1"/>
          <w:vertAlign w:val="baseline"/>
        </w:rPr>
        <w:t>telepsychiatry?</w:t>
      </w:r>
      <w:r>
        <w:rPr>
          <w:i/>
          <w:color w:val="231F20"/>
          <w:vertAlign w:val="baseline"/>
        </w:rPr>
        <w:t> </w:t>
      </w:r>
      <w:hyperlink r:id="rId81">
        <w:r>
          <w:rPr>
            <w:color w:val="3953A4"/>
            <w:spacing w:val="-1"/>
            <w:u w:val="single" w:color="3953A4"/>
            <w:vertAlign w:val="baseline"/>
          </w:rPr>
          <w:t>https://www.psychiatry.org/patients-</w:t>
        </w:r>
      </w:hyperlink>
      <w:r>
        <w:rPr>
          <w:color w:val="3953A4"/>
          <w:spacing w:val="-52"/>
          <w:vertAlign w:val="baseline"/>
        </w:rPr>
        <w:t> </w:t>
      </w:r>
      <w:hyperlink r:id="rId81">
        <w:r>
          <w:rPr>
            <w:color w:val="3953A4"/>
            <w:u w:val="single" w:color="3953A4"/>
            <w:vertAlign w:val="baseline"/>
          </w:rPr>
          <w:t>families/what-is-telepsychiatry</w:t>
        </w:r>
      </w:hyperlink>
    </w:p>
    <w:p>
      <w:pPr>
        <w:tabs>
          <w:tab w:pos="479" w:val="left" w:leader="none"/>
        </w:tabs>
        <w:spacing w:line="228" w:lineRule="auto" w:before="89"/>
        <w:ind w:left="480" w:right="318" w:hanging="360"/>
        <w:jc w:val="left"/>
        <w:rPr>
          <w:i/>
          <w:sz w:val="22"/>
        </w:rPr>
      </w:pPr>
      <w:r>
        <w:rPr>
          <w:color w:val="231F20"/>
          <w:sz w:val="22"/>
          <w:vertAlign w:val="superscript"/>
        </w:rPr>
        <w:t>64</w:t>
      </w:r>
      <w:r>
        <w:rPr>
          <w:color w:val="231F20"/>
          <w:sz w:val="22"/>
          <w:vertAlign w:val="baseline"/>
        </w:rPr>
        <w:tab/>
        <w:t>Rural</w:t>
      </w:r>
      <w:r>
        <w:rPr>
          <w:color w:val="231F20"/>
          <w:spacing w:val="-7"/>
          <w:sz w:val="22"/>
          <w:vertAlign w:val="baseline"/>
        </w:rPr>
        <w:t> </w:t>
      </w:r>
      <w:r>
        <w:rPr>
          <w:color w:val="231F20"/>
          <w:sz w:val="22"/>
          <w:vertAlign w:val="baseline"/>
        </w:rPr>
        <w:t>Health</w:t>
      </w:r>
      <w:r>
        <w:rPr>
          <w:color w:val="231F20"/>
          <w:spacing w:val="-7"/>
          <w:sz w:val="22"/>
          <w:vertAlign w:val="baseline"/>
        </w:rPr>
        <w:t> </w:t>
      </w:r>
      <w:r>
        <w:rPr>
          <w:color w:val="231F20"/>
          <w:sz w:val="22"/>
          <w:vertAlign w:val="baseline"/>
        </w:rPr>
        <w:t>Information</w:t>
      </w:r>
      <w:r>
        <w:rPr>
          <w:color w:val="231F20"/>
          <w:spacing w:val="-6"/>
          <w:sz w:val="22"/>
          <w:vertAlign w:val="baseline"/>
        </w:rPr>
        <w:t> </w:t>
      </w:r>
      <w:r>
        <w:rPr>
          <w:color w:val="231F20"/>
          <w:sz w:val="22"/>
          <w:vertAlign w:val="baseline"/>
        </w:rPr>
        <w:t>Hub.</w:t>
      </w:r>
      <w:r>
        <w:rPr>
          <w:color w:val="231F20"/>
          <w:spacing w:val="-7"/>
          <w:sz w:val="22"/>
          <w:vertAlign w:val="baseline"/>
        </w:rPr>
        <w:t> </w:t>
      </w:r>
      <w:r>
        <w:rPr>
          <w:color w:val="231F20"/>
          <w:sz w:val="22"/>
          <w:vertAlign w:val="baseline"/>
        </w:rPr>
        <w:t>(2020).</w:t>
      </w:r>
      <w:r>
        <w:rPr>
          <w:color w:val="231F20"/>
          <w:spacing w:val="-7"/>
          <w:sz w:val="22"/>
          <w:vertAlign w:val="baseline"/>
        </w:rPr>
        <w:t> </w:t>
      </w:r>
      <w:r>
        <w:rPr>
          <w:i/>
          <w:color w:val="231F20"/>
          <w:sz w:val="22"/>
          <w:vertAlign w:val="baseline"/>
        </w:rPr>
        <w:t>Telehealth</w:t>
      </w:r>
      <w:r>
        <w:rPr>
          <w:i/>
          <w:color w:val="231F20"/>
          <w:spacing w:val="-52"/>
          <w:sz w:val="22"/>
          <w:vertAlign w:val="baseline"/>
        </w:rPr>
        <w:t> </w:t>
      </w:r>
      <w:r>
        <w:rPr>
          <w:i/>
          <w:color w:val="231F20"/>
          <w:sz w:val="22"/>
          <w:vertAlign w:val="baseline"/>
        </w:rPr>
        <w:t>models</w:t>
      </w:r>
      <w:r>
        <w:rPr>
          <w:i/>
          <w:color w:val="231F20"/>
          <w:spacing w:val="-1"/>
          <w:sz w:val="22"/>
          <w:vertAlign w:val="baseline"/>
        </w:rPr>
        <w:t> </w:t>
      </w:r>
      <w:r>
        <w:rPr>
          <w:i/>
          <w:color w:val="231F20"/>
          <w:sz w:val="22"/>
          <w:vertAlign w:val="baseline"/>
        </w:rPr>
        <w:t>for</w:t>
      </w:r>
      <w:r>
        <w:rPr>
          <w:i/>
          <w:color w:val="231F20"/>
          <w:spacing w:val="-1"/>
          <w:sz w:val="22"/>
          <w:vertAlign w:val="baseline"/>
        </w:rPr>
        <w:t> </w:t>
      </w:r>
      <w:r>
        <w:rPr>
          <w:i/>
          <w:color w:val="231F20"/>
          <w:sz w:val="22"/>
          <w:vertAlign w:val="baseline"/>
        </w:rPr>
        <w:t>increasing access</w:t>
      </w:r>
      <w:r>
        <w:rPr>
          <w:i/>
          <w:color w:val="231F20"/>
          <w:spacing w:val="-1"/>
          <w:sz w:val="22"/>
          <w:vertAlign w:val="baseline"/>
        </w:rPr>
        <w:t> </w:t>
      </w:r>
      <w:r>
        <w:rPr>
          <w:i/>
          <w:color w:val="231F20"/>
          <w:sz w:val="22"/>
          <w:vertAlign w:val="baseline"/>
        </w:rPr>
        <w:t>to behavioral</w:t>
      </w:r>
    </w:p>
    <w:p>
      <w:pPr>
        <w:spacing w:line="228" w:lineRule="auto" w:before="0"/>
        <w:ind w:left="480" w:right="437" w:firstLine="0"/>
        <w:jc w:val="left"/>
        <w:rPr>
          <w:sz w:val="22"/>
        </w:rPr>
      </w:pPr>
      <w:r>
        <w:rPr>
          <w:i/>
          <w:color w:val="231F20"/>
          <w:sz w:val="22"/>
        </w:rPr>
        <w:t>and mental health treatment</w:t>
      </w:r>
      <w:r>
        <w:rPr>
          <w:color w:val="231F20"/>
          <w:sz w:val="22"/>
        </w:rPr>
        <w:t>. </w:t>
      </w:r>
      <w:hyperlink r:id="rId82">
        <w:r>
          <w:rPr>
            <w:color w:val="3953A4"/>
            <w:sz w:val="22"/>
            <w:u w:val="single" w:color="3953A4"/>
          </w:rPr>
          <w:t>https://www.</w:t>
        </w:r>
      </w:hyperlink>
      <w:r>
        <w:rPr>
          <w:color w:val="3953A4"/>
          <w:spacing w:val="1"/>
          <w:sz w:val="22"/>
        </w:rPr>
        <w:t> </w:t>
      </w:r>
      <w:hyperlink r:id="rId82">
        <w:r>
          <w:rPr>
            <w:color w:val="3953A4"/>
            <w:spacing w:val="-1"/>
            <w:sz w:val="22"/>
            <w:u w:val="single" w:color="3953A4"/>
          </w:rPr>
          <w:t>ruralhealthinfo.org/toolkits/telehealth/2/specific-</w:t>
        </w:r>
      </w:hyperlink>
      <w:r>
        <w:rPr>
          <w:color w:val="3953A4"/>
          <w:spacing w:val="-52"/>
          <w:sz w:val="22"/>
        </w:rPr>
        <w:t> </w:t>
      </w:r>
      <w:hyperlink r:id="rId82">
        <w:r>
          <w:rPr>
            <w:color w:val="3953A4"/>
            <w:sz w:val="22"/>
            <w:u w:val="single" w:color="3953A4"/>
          </w:rPr>
          <w:t>populations/behavioral-health</w:t>
        </w:r>
      </w:hyperlink>
    </w:p>
    <w:p>
      <w:pPr>
        <w:pStyle w:val="BodyText"/>
        <w:tabs>
          <w:tab w:pos="479" w:val="left" w:leader="none"/>
        </w:tabs>
        <w:spacing w:line="228" w:lineRule="auto" w:before="89"/>
        <w:ind w:left="480" w:right="42" w:hanging="360"/>
      </w:pPr>
      <w:r>
        <w:rPr>
          <w:color w:val="231F20"/>
          <w:vertAlign w:val="superscript"/>
        </w:rPr>
        <w:t>65</w:t>
      </w:r>
      <w:r>
        <w:rPr>
          <w:color w:val="231F20"/>
          <w:vertAlign w:val="baseline"/>
        </w:rPr>
        <w:tab/>
        <w:t>DeAndrea, D. C. (2015). Testing the proclaimed</w:t>
      </w:r>
      <w:r>
        <w:rPr>
          <w:color w:val="231F20"/>
          <w:spacing w:val="1"/>
          <w:vertAlign w:val="baseline"/>
        </w:rPr>
        <w:t> </w:t>
      </w:r>
      <w:r>
        <w:rPr>
          <w:color w:val="231F20"/>
          <w:vertAlign w:val="baseline"/>
        </w:rPr>
        <w:t>affordances of online support groups in a nationally</w:t>
      </w:r>
      <w:r>
        <w:rPr>
          <w:color w:val="231F20"/>
          <w:spacing w:val="1"/>
          <w:vertAlign w:val="baseline"/>
        </w:rPr>
        <w:t> </w:t>
      </w:r>
      <w:r>
        <w:rPr>
          <w:color w:val="231F20"/>
          <w:vertAlign w:val="baseline"/>
        </w:rPr>
        <w:t>representative</w:t>
      </w:r>
      <w:r>
        <w:rPr>
          <w:color w:val="231F20"/>
          <w:spacing w:val="3"/>
          <w:vertAlign w:val="baseline"/>
        </w:rPr>
        <w:t> </w:t>
      </w:r>
      <w:r>
        <w:rPr>
          <w:color w:val="231F20"/>
          <w:vertAlign w:val="baseline"/>
        </w:rPr>
        <w:t>sample</w:t>
      </w:r>
      <w:r>
        <w:rPr>
          <w:color w:val="231F20"/>
          <w:spacing w:val="3"/>
          <w:vertAlign w:val="baseline"/>
        </w:rPr>
        <w:t> </w:t>
      </w:r>
      <w:r>
        <w:rPr>
          <w:color w:val="231F20"/>
          <w:vertAlign w:val="baseline"/>
        </w:rPr>
        <w:t>of</w:t>
      </w:r>
      <w:r>
        <w:rPr>
          <w:color w:val="231F20"/>
          <w:spacing w:val="3"/>
          <w:vertAlign w:val="baseline"/>
        </w:rPr>
        <w:t> </w:t>
      </w:r>
      <w:r>
        <w:rPr>
          <w:color w:val="231F20"/>
          <w:vertAlign w:val="baseline"/>
        </w:rPr>
        <w:t>adults</w:t>
      </w:r>
      <w:r>
        <w:rPr>
          <w:color w:val="231F20"/>
          <w:spacing w:val="3"/>
          <w:vertAlign w:val="baseline"/>
        </w:rPr>
        <w:t> </w:t>
      </w:r>
      <w:r>
        <w:rPr>
          <w:color w:val="231F20"/>
          <w:vertAlign w:val="baseline"/>
        </w:rPr>
        <w:t>seeking</w:t>
      </w:r>
      <w:r>
        <w:rPr>
          <w:color w:val="231F20"/>
          <w:spacing w:val="4"/>
          <w:vertAlign w:val="baseline"/>
        </w:rPr>
        <w:t> </w:t>
      </w:r>
      <w:r>
        <w:rPr>
          <w:color w:val="231F20"/>
          <w:vertAlign w:val="baseline"/>
        </w:rPr>
        <w:t>mental</w:t>
      </w:r>
      <w:r>
        <w:rPr>
          <w:color w:val="231F20"/>
          <w:spacing w:val="1"/>
          <w:vertAlign w:val="baseline"/>
        </w:rPr>
        <w:t> </w:t>
      </w:r>
      <w:r>
        <w:rPr>
          <w:color w:val="231F20"/>
          <w:vertAlign w:val="baseline"/>
        </w:rPr>
        <w:t>health assistance. </w:t>
      </w:r>
      <w:r>
        <w:rPr>
          <w:i/>
          <w:color w:val="231F20"/>
          <w:vertAlign w:val="baseline"/>
        </w:rPr>
        <w:t>Journal of Health Communication,</w:t>
      </w:r>
      <w:r>
        <w:rPr>
          <w:i/>
          <w:color w:val="231F20"/>
          <w:spacing w:val="-53"/>
          <w:vertAlign w:val="baseline"/>
        </w:rPr>
        <w:t> </w:t>
      </w:r>
      <w:r>
        <w:rPr>
          <w:i/>
          <w:color w:val="231F20"/>
          <w:vertAlign w:val="baseline"/>
        </w:rPr>
        <w:t>20</w:t>
      </w:r>
      <w:r>
        <w:rPr>
          <w:color w:val="231F20"/>
          <w:vertAlign w:val="baseline"/>
        </w:rPr>
        <w:t>(2), 147-156. </w:t>
      </w:r>
      <w:hyperlink r:id="rId83">
        <w:r>
          <w:rPr>
            <w:color w:val="3953A4"/>
            <w:u w:val="single" w:color="3953A4"/>
            <w:vertAlign w:val="baseline"/>
          </w:rPr>
          <w:t>https://doi.org/10.1080/10810730.20</w:t>
        </w:r>
      </w:hyperlink>
      <w:r>
        <w:rPr>
          <w:color w:val="3953A4"/>
          <w:spacing w:val="-53"/>
          <w:vertAlign w:val="baseline"/>
        </w:rPr>
        <w:t> </w:t>
      </w:r>
      <w:hyperlink r:id="rId83">
        <w:r>
          <w:rPr>
            <w:color w:val="3953A4"/>
            <w:u w:val="single" w:color="3953A4"/>
            <w:vertAlign w:val="baseline"/>
          </w:rPr>
          <w:t>14.914606</w:t>
        </w:r>
      </w:hyperlink>
    </w:p>
    <w:p>
      <w:pPr>
        <w:pStyle w:val="BodyText"/>
        <w:tabs>
          <w:tab w:pos="479" w:val="left" w:leader="none"/>
        </w:tabs>
        <w:spacing w:line="246" w:lineRule="exact" w:before="77"/>
        <w:ind w:left="120"/>
      </w:pPr>
      <w:r>
        <w:rPr>
          <w:color w:val="231F20"/>
          <w:vertAlign w:val="superscript"/>
        </w:rPr>
        <w:t>66</w:t>
      </w:r>
      <w:r>
        <w:rPr>
          <w:color w:val="231F20"/>
          <w:vertAlign w:val="baseline"/>
        </w:rPr>
        <w:tab/>
      </w:r>
      <w:r>
        <w:rPr>
          <w:color w:val="231F20"/>
          <w:spacing w:val="-2"/>
          <w:vertAlign w:val="baseline"/>
        </w:rPr>
        <w:t>Shore,</w:t>
      </w:r>
      <w:r>
        <w:rPr>
          <w:color w:val="231F20"/>
          <w:vertAlign w:val="baseline"/>
        </w:rPr>
        <w:t> </w:t>
      </w:r>
      <w:r>
        <w:rPr>
          <w:color w:val="231F20"/>
          <w:spacing w:val="-2"/>
          <w:vertAlign w:val="baseline"/>
        </w:rPr>
        <w:t>P.,</w:t>
      </w:r>
      <w:r>
        <w:rPr>
          <w:color w:val="231F20"/>
          <w:vertAlign w:val="baseline"/>
        </w:rPr>
        <w:t> </w:t>
      </w:r>
      <w:r>
        <w:rPr>
          <w:color w:val="231F20"/>
          <w:spacing w:val="-2"/>
          <w:vertAlign w:val="baseline"/>
        </w:rPr>
        <w:t>Goranson,</w:t>
      </w:r>
      <w:r>
        <w:rPr>
          <w:color w:val="231F20"/>
          <w:spacing w:val="-13"/>
          <w:vertAlign w:val="baseline"/>
        </w:rPr>
        <w:t> </w:t>
      </w:r>
      <w:r>
        <w:rPr>
          <w:color w:val="231F20"/>
          <w:spacing w:val="-2"/>
          <w:vertAlign w:val="baseline"/>
        </w:rPr>
        <w:t>A.,</w:t>
      </w:r>
      <w:r>
        <w:rPr>
          <w:color w:val="231F20"/>
          <w:spacing w:val="-4"/>
          <w:vertAlign w:val="baseline"/>
        </w:rPr>
        <w:t> </w:t>
      </w:r>
      <w:r>
        <w:rPr>
          <w:color w:val="231F20"/>
          <w:spacing w:val="-2"/>
          <w:vertAlign w:val="baseline"/>
        </w:rPr>
        <w:t>Ward,</w:t>
      </w:r>
      <w:r>
        <w:rPr>
          <w:color w:val="231F20"/>
          <w:vertAlign w:val="baseline"/>
        </w:rPr>
        <w:t> </w:t>
      </w:r>
      <w:r>
        <w:rPr>
          <w:color w:val="231F20"/>
          <w:spacing w:val="-1"/>
          <w:vertAlign w:val="baseline"/>
        </w:rPr>
        <w:t>M.</w:t>
      </w:r>
      <w:r>
        <w:rPr>
          <w:color w:val="231F20"/>
          <w:spacing w:val="1"/>
          <w:vertAlign w:val="baseline"/>
        </w:rPr>
        <w:t> </w:t>
      </w:r>
      <w:r>
        <w:rPr>
          <w:color w:val="231F20"/>
          <w:spacing w:val="-1"/>
          <w:vertAlign w:val="baseline"/>
        </w:rPr>
        <w:t>F.,</w:t>
      </w:r>
      <w:r>
        <w:rPr>
          <w:color w:val="231F20"/>
          <w:vertAlign w:val="baseline"/>
        </w:rPr>
        <w:t> </w:t>
      </w:r>
      <w:r>
        <w:rPr>
          <w:color w:val="231F20"/>
          <w:spacing w:val="-1"/>
          <w:vertAlign w:val="baseline"/>
        </w:rPr>
        <w:t>&amp;</w:t>
      </w:r>
      <w:r>
        <w:rPr>
          <w:color w:val="231F20"/>
          <w:vertAlign w:val="baseline"/>
        </w:rPr>
        <w:t> </w:t>
      </w:r>
      <w:r>
        <w:rPr>
          <w:color w:val="231F20"/>
          <w:spacing w:val="-1"/>
          <w:vertAlign w:val="baseline"/>
        </w:rPr>
        <w:t>Lu,</w:t>
      </w:r>
      <w:r>
        <w:rPr>
          <w:color w:val="231F20"/>
          <w:vertAlign w:val="baseline"/>
        </w:rPr>
        <w:t> </w:t>
      </w:r>
      <w:r>
        <w:rPr>
          <w:color w:val="231F20"/>
          <w:spacing w:val="-1"/>
          <w:vertAlign w:val="baseline"/>
        </w:rPr>
        <w:t>M.</w:t>
      </w:r>
    </w:p>
    <w:p>
      <w:pPr>
        <w:spacing w:line="228" w:lineRule="auto" w:before="4"/>
        <w:ind w:left="480" w:right="193" w:firstLine="0"/>
        <w:jc w:val="left"/>
        <w:rPr>
          <w:sz w:val="22"/>
        </w:rPr>
      </w:pPr>
      <w:r>
        <w:rPr>
          <w:color w:val="231F20"/>
          <w:spacing w:val="-1"/>
          <w:sz w:val="22"/>
        </w:rPr>
        <w:t>W. (2014). Meeting </w:t>
      </w:r>
      <w:r>
        <w:rPr>
          <w:color w:val="231F20"/>
          <w:sz w:val="22"/>
        </w:rPr>
        <w:t>veterans where they’re @: A</w:t>
      </w:r>
      <w:r>
        <w:rPr>
          <w:color w:val="231F20"/>
          <w:spacing w:val="1"/>
          <w:sz w:val="22"/>
        </w:rPr>
        <w:t> </w:t>
      </w:r>
      <w:r>
        <w:rPr>
          <w:color w:val="231F20"/>
          <w:spacing w:val="-2"/>
          <w:sz w:val="22"/>
        </w:rPr>
        <w:t>VA</w:t>
      </w:r>
      <w:r>
        <w:rPr>
          <w:color w:val="231F20"/>
          <w:spacing w:val="-12"/>
          <w:sz w:val="22"/>
        </w:rPr>
        <w:t> </w:t>
      </w:r>
      <w:r>
        <w:rPr>
          <w:color w:val="231F20"/>
          <w:spacing w:val="-2"/>
          <w:sz w:val="22"/>
        </w:rPr>
        <w:t>home-based</w:t>
      </w:r>
      <w:r>
        <w:rPr>
          <w:color w:val="231F20"/>
          <w:spacing w:val="1"/>
          <w:sz w:val="22"/>
        </w:rPr>
        <w:t> </w:t>
      </w:r>
      <w:r>
        <w:rPr>
          <w:color w:val="231F20"/>
          <w:spacing w:val="-1"/>
          <w:sz w:val="22"/>
        </w:rPr>
        <w:t>telemental</w:t>
      </w:r>
      <w:r>
        <w:rPr>
          <w:color w:val="231F20"/>
          <w:spacing w:val="1"/>
          <w:sz w:val="22"/>
        </w:rPr>
        <w:t> </w:t>
      </w:r>
      <w:r>
        <w:rPr>
          <w:color w:val="231F20"/>
          <w:spacing w:val="-1"/>
          <w:sz w:val="22"/>
        </w:rPr>
        <w:t>health</w:t>
      </w:r>
      <w:r>
        <w:rPr>
          <w:color w:val="231F20"/>
          <w:spacing w:val="2"/>
          <w:sz w:val="22"/>
        </w:rPr>
        <w:t> </w:t>
      </w:r>
      <w:r>
        <w:rPr>
          <w:color w:val="231F20"/>
          <w:spacing w:val="-1"/>
          <w:sz w:val="22"/>
        </w:rPr>
        <w:t>(HBTMH)</w:t>
      </w:r>
      <w:r>
        <w:rPr>
          <w:color w:val="231F20"/>
          <w:spacing w:val="1"/>
          <w:sz w:val="22"/>
        </w:rPr>
        <w:t> </w:t>
      </w:r>
      <w:r>
        <w:rPr>
          <w:color w:val="231F20"/>
          <w:spacing w:val="-1"/>
          <w:sz w:val="22"/>
        </w:rPr>
        <w:t>pilot</w:t>
      </w:r>
      <w:r>
        <w:rPr>
          <w:color w:val="231F20"/>
          <w:spacing w:val="-52"/>
          <w:sz w:val="22"/>
        </w:rPr>
        <w:t> </w:t>
      </w:r>
      <w:r>
        <w:rPr>
          <w:color w:val="231F20"/>
          <w:sz w:val="22"/>
        </w:rPr>
        <w:t>program. </w:t>
      </w:r>
      <w:r>
        <w:rPr>
          <w:i/>
          <w:color w:val="231F20"/>
          <w:sz w:val="22"/>
        </w:rPr>
        <w:t>The International Journal of Psychiatry</w:t>
      </w:r>
      <w:r>
        <w:rPr>
          <w:i/>
          <w:color w:val="231F20"/>
          <w:spacing w:val="-52"/>
          <w:sz w:val="22"/>
        </w:rPr>
        <w:t> </w:t>
      </w:r>
      <w:r>
        <w:rPr>
          <w:i/>
          <w:color w:val="231F20"/>
          <w:sz w:val="22"/>
        </w:rPr>
        <w:t>in Medicine, 48</w:t>
      </w:r>
      <w:r>
        <w:rPr>
          <w:color w:val="231F20"/>
          <w:sz w:val="22"/>
        </w:rPr>
        <w:t>(1), 5-17.</w:t>
      </w:r>
      <w:r>
        <w:rPr>
          <w:color w:val="3953A4"/>
          <w:sz w:val="22"/>
        </w:rPr>
        <w:t> </w:t>
      </w:r>
      <w:hyperlink r:id="rId84">
        <w:r>
          <w:rPr>
            <w:color w:val="3953A4"/>
            <w:sz w:val="22"/>
            <w:u w:val="single" w:color="3953A4"/>
          </w:rPr>
          <w:t>https://doi.org/10.2190/</w:t>
        </w:r>
      </w:hyperlink>
      <w:r>
        <w:rPr>
          <w:color w:val="3953A4"/>
          <w:spacing w:val="1"/>
          <w:sz w:val="22"/>
        </w:rPr>
        <w:t> </w:t>
      </w:r>
      <w:hyperlink r:id="rId84">
        <w:r>
          <w:rPr>
            <w:color w:val="3953A4"/>
            <w:sz w:val="22"/>
            <w:u w:val="single" w:color="3953A4"/>
          </w:rPr>
          <w:t>pm.48.1.b</w:t>
        </w:r>
      </w:hyperlink>
    </w:p>
    <w:p>
      <w:pPr>
        <w:pStyle w:val="BodyText"/>
        <w:tabs>
          <w:tab w:pos="479" w:val="left" w:leader="none"/>
        </w:tabs>
        <w:spacing w:line="246" w:lineRule="exact" w:before="78"/>
        <w:ind w:left="120"/>
      </w:pPr>
      <w:r>
        <w:rPr>
          <w:color w:val="231F20"/>
          <w:vertAlign w:val="superscript"/>
        </w:rPr>
        <w:t>67</w:t>
      </w:r>
      <w:r>
        <w:rPr>
          <w:color w:val="231F20"/>
          <w:vertAlign w:val="baseline"/>
        </w:rPr>
        <w:tab/>
        <w:t>Jenkins-Guarnieri,</w:t>
      </w:r>
      <w:r>
        <w:rPr>
          <w:color w:val="231F20"/>
          <w:spacing w:val="-1"/>
          <w:vertAlign w:val="baseline"/>
        </w:rPr>
        <w:t> </w:t>
      </w:r>
      <w:r>
        <w:rPr>
          <w:color w:val="231F20"/>
          <w:vertAlign w:val="baseline"/>
        </w:rPr>
        <w:t>M.</w:t>
      </w:r>
      <w:r>
        <w:rPr>
          <w:color w:val="231F20"/>
          <w:spacing w:val="-13"/>
          <w:vertAlign w:val="baseline"/>
        </w:rPr>
        <w:t> </w:t>
      </w:r>
      <w:r>
        <w:rPr>
          <w:color w:val="231F20"/>
          <w:vertAlign w:val="baseline"/>
        </w:rPr>
        <w:t>A., Pruitt, L. D., Luxton,</w:t>
      </w:r>
    </w:p>
    <w:p>
      <w:pPr>
        <w:pStyle w:val="BodyText"/>
        <w:spacing w:line="228" w:lineRule="auto" w:before="4"/>
        <w:ind w:left="480" w:right="215"/>
      </w:pPr>
      <w:r>
        <w:rPr>
          <w:color w:val="231F20"/>
        </w:rPr>
        <w:t>D.</w:t>
      </w:r>
      <w:r>
        <w:rPr>
          <w:color w:val="231F20"/>
          <w:spacing w:val="1"/>
        </w:rPr>
        <w:t> </w:t>
      </w:r>
      <w:r>
        <w:rPr>
          <w:color w:val="231F20"/>
        </w:rPr>
        <w:t>D.,</w:t>
      </w:r>
      <w:r>
        <w:rPr>
          <w:color w:val="231F20"/>
          <w:spacing w:val="2"/>
        </w:rPr>
        <w:t> </w:t>
      </w:r>
      <w:r>
        <w:rPr>
          <w:color w:val="231F20"/>
        </w:rPr>
        <w:t>&amp;</w:t>
      </w:r>
      <w:r>
        <w:rPr>
          <w:color w:val="231F20"/>
          <w:spacing w:val="2"/>
        </w:rPr>
        <w:t> </w:t>
      </w:r>
      <w:r>
        <w:rPr>
          <w:color w:val="231F20"/>
        </w:rPr>
        <w:t>Johnson,</w:t>
      </w:r>
      <w:r>
        <w:rPr>
          <w:color w:val="231F20"/>
          <w:spacing w:val="2"/>
        </w:rPr>
        <w:t> </w:t>
      </w:r>
      <w:r>
        <w:rPr>
          <w:color w:val="231F20"/>
        </w:rPr>
        <w:t>K.</w:t>
      </w:r>
      <w:r>
        <w:rPr>
          <w:color w:val="231F20"/>
          <w:spacing w:val="2"/>
        </w:rPr>
        <w:t> </w:t>
      </w:r>
      <w:r>
        <w:rPr>
          <w:color w:val="231F20"/>
        </w:rPr>
        <w:t>(2015).</w:t>
      </w:r>
      <w:r>
        <w:rPr>
          <w:color w:val="231F20"/>
          <w:spacing w:val="2"/>
        </w:rPr>
        <w:t> </w:t>
      </w:r>
      <w:r>
        <w:rPr>
          <w:color w:val="231F20"/>
        </w:rPr>
        <w:t>Patient</w:t>
      </w:r>
      <w:r>
        <w:rPr>
          <w:color w:val="231F20"/>
          <w:spacing w:val="2"/>
        </w:rPr>
        <w:t> </w:t>
      </w:r>
      <w:r>
        <w:rPr>
          <w:color w:val="231F20"/>
        </w:rPr>
        <w:t>perceptions</w:t>
      </w:r>
      <w:r>
        <w:rPr>
          <w:color w:val="231F20"/>
          <w:spacing w:val="1"/>
        </w:rPr>
        <w:t> </w:t>
      </w:r>
      <w:r>
        <w:rPr>
          <w:color w:val="231F20"/>
        </w:rPr>
        <w:t>of telemental health: Systematic review of direct</w:t>
      </w:r>
      <w:r>
        <w:rPr>
          <w:color w:val="231F20"/>
          <w:spacing w:val="1"/>
        </w:rPr>
        <w:t> </w:t>
      </w:r>
      <w:r>
        <w:rPr>
          <w:color w:val="231F20"/>
        </w:rPr>
        <w:t>comparisons to in-person psychotherapeutic</w:t>
      </w:r>
      <w:r>
        <w:rPr>
          <w:color w:val="231F20"/>
          <w:spacing w:val="1"/>
        </w:rPr>
        <w:t> </w:t>
      </w:r>
      <w:r>
        <w:rPr>
          <w:color w:val="231F20"/>
        </w:rPr>
        <w:t>treatments.</w:t>
      </w:r>
      <w:r>
        <w:rPr>
          <w:color w:val="231F20"/>
          <w:spacing w:val="-8"/>
        </w:rPr>
        <w:t> </w:t>
      </w:r>
      <w:r>
        <w:rPr>
          <w:i/>
          <w:color w:val="231F20"/>
        </w:rPr>
        <w:t>Telemedicine</w:t>
      </w:r>
      <w:r>
        <w:rPr>
          <w:i/>
          <w:color w:val="231F20"/>
          <w:spacing w:val="-7"/>
        </w:rPr>
        <w:t> </w:t>
      </w:r>
      <w:r>
        <w:rPr>
          <w:i/>
          <w:color w:val="231F20"/>
        </w:rPr>
        <w:t>and</w:t>
      </w:r>
      <w:r>
        <w:rPr>
          <w:i/>
          <w:color w:val="231F20"/>
          <w:spacing w:val="-7"/>
        </w:rPr>
        <w:t> </w:t>
      </w:r>
      <w:r>
        <w:rPr>
          <w:i/>
          <w:color w:val="231F20"/>
        </w:rPr>
        <w:t>e-Health,</w:t>
      </w:r>
      <w:r>
        <w:rPr>
          <w:i/>
          <w:color w:val="231F20"/>
          <w:spacing w:val="-7"/>
        </w:rPr>
        <w:t> </w:t>
      </w:r>
      <w:r>
        <w:rPr>
          <w:i/>
          <w:color w:val="231F20"/>
        </w:rPr>
        <w:t>21</w:t>
      </w:r>
      <w:r>
        <w:rPr>
          <w:color w:val="231F20"/>
        </w:rPr>
        <w:t>(8),</w:t>
      </w:r>
      <w:r>
        <w:rPr>
          <w:color w:val="231F20"/>
          <w:spacing w:val="-6"/>
        </w:rPr>
        <w:t> </w:t>
      </w:r>
      <w:r>
        <w:rPr>
          <w:color w:val="231F20"/>
        </w:rPr>
        <w:t>652-</w:t>
      </w:r>
      <w:r>
        <w:rPr>
          <w:color w:val="231F20"/>
          <w:spacing w:val="-52"/>
        </w:rPr>
        <w:t> </w:t>
      </w:r>
      <w:r>
        <w:rPr>
          <w:color w:val="231F20"/>
        </w:rPr>
        <w:t>660.</w:t>
      </w:r>
      <w:r>
        <w:rPr>
          <w:color w:val="3953A4"/>
          <w:spacing w:val="-1"/>
        </w:rPr>
        <w:t> </w:t>
      </w:r>
      <w:hyperlink r:id="rId85">
        <w:r>
          <w:rPr>
            <w:color w:val="3953A4"/>
            <w:u w:val="single" w:color="3953A4"/>
          </w:rPr>
          <w:t>https://doi.org/10.1089/tmj.2014.0165</w:t>
        </w:r>
      </w:hyperlink>
    </w:p>
    <w:p>
      <w:pPr>
        <w:pStyle w:val="BodyText"/>
        <w:tabs>
          <w:tab w:pos="479" w:val="left" w:leader="none"/>
        </w:tabs>
        <w:spacing w:line="228" w:lineRule="auto" w:before="101"/>
        <w:ind w:left="480" w:right="822" w:hanging="360"/>
        <w:rPr>
          <w:i/>
        </w:rPr>
      </w:pPr>
      <w:r>
        <w:rPr/>
        <w:br w:type="column"/>
      </w:r>
      <w:r>
        <w:rPr>
          <w:color w:val="231F20"/>
          <w:vertAlign w:val="superscript"/>
        </w:rPr>
        <w:t>68</w:t>
      </w:r>
      <w:r>
        <w:rPr>
          <w:color w:val="231F20"/>
          <w:vertAlign w:val="baseline"/>
        </w:rPr>
        <w:tab/>
        <w:t>Brooks, E., Manson, S. M., Bair, B., Dailey, N., &amp;</w:t>
      </w:r>
      <w:r>
        <w:rPr>
          <w:color w:val="231F20"/>
          <w:spacing w:val="1"/>
          <w:vertAlign w:val="baseline"/>
        </w:rPr>
        <w:t> </w:t>
      </w:r>
      <w:r>
        <w:rPr>
          <w:color w:val="231F20"/>
          <w:vertAlign w:val="baseline"/>
        </w:rPr>
        <w:t>Shore, J. H. (2012). The diffusion of telehealth in</w:t>
      </w:r>
      <w:r>
        <w:rPr>
          <w:color w:val="231F20"/>
          <w:spacing w:val="1"/>
          <w:vertAlign w:val="baseline"/>
        </w:rPr>
        <w:t> </w:t>
      </w:r>
      <w:r>
        <w:rPr>
          <w:color w:val="231F20"/>
          <w:spacing w:val="-1"/>
          <w:vertAlign w:val="baseline"/>
        </w:rPr>
        <w:t>rural</w:t>
      </w:r>
      <w:r>
        <w:rPr>
          <w:color w:val="231F20"/>
          <w:spacing w:val="-13"/>
          <w:vertAlign w:val="baseline"/>
        </w:rPr>
        <w:t> </w:t>
      </w:r>
      <w:r>
        <w:rPr>
          <w:color w:val="231F20"/>
          <w:spacing w:val="-1"/>
          <w:vertAlign w:val="baseline"/>
        </w:rPr>
        <w:t>American</w:t>
      </w:r>
      <w:r>
        <w:rPr>
          <w:color w:val="231F20"/>
          <w:spacing w:val="1"/>
          <w:vertAlign w:val="baseline"/>
        </w:rPr>
        <w:t> </w:t>
      </w:r>
      <w:r>
        <w:rPr>
          <w:color w:val="231F20"/>
          <w:spacing w:val="-1"/>
          <w:vertAlign w:val="baseline"/>
        </w:rPr>
        <w:t>Indian</w:t>
      </w:r>
      <w:r>
        <w:rPr>
          <w:color w:val="231F20"/>
          <w:spacing w:val="1"/>
          <w:vertAlign w:val="baseline"/>
        </w:rPr>
        <w:t> </w:t>
      </w:r>
      <w:r>
        <w:rPr>
          <w:color w:val="231F20"/>
          <w:vertAlign w:val="baseline"/>
        </w:rPr>
        <w:t>communities:</w:t>
      </w:r>
      <w:r>
        <w:rPr>
          <w:color w:val="231F20"/>
          <w:spacing w:val="-13"/>
          <w:vertAlign w:val="baseline"/>
        </w:rPr>
        <w:t> </w:t>
      </w:r>
      <w:r>
        <w:rPr>
          <w:color w:val="231F20"/>
          <w:vertAlign w:val="baseline"/>
        </w:rPr>
        <w:t>A</w:t>
      </w:r>
      <w:r>
        <w:rPr>
          <w:color w:val="231F20"/>
          <w:spacing w:val="-12"/>
          <w:vertAlign w:val="baseline"/>
        </w:rPr>
        <w:t> </w:t>
      </w:r>
      <w:r>
        <w:rPr>
          <w:color w:val="231F20"/>
          <w:vertAlign w:val="baseline"/>
        </w:rPr>
        <w:t>retrospective</w:t>
      </w:r>
      <w:r>
        <w:rPr>
          <w:color w:val="231F20"/>
          <w:spacing w:val="-52"/>
          <w:vertAlign w:val="baseline"/>
        </w:rPr>
        <w:t> </w:t>
      </w:r>
      <w:r>
        <w:rPr>
          <w:color w:val="231F20"/>
          <w:vertAlign w:val="baseline"/>
        </w:rPr>
        <w:t>survey</w:t>
      </w:r>
      <w:r>
        <w:rPr>
          <w:color w:val="231F20"/>
          <w:spacing w:val="-2"/>
          <w:vertAlign w:val="baseline"/>
        </w:rPr>
        <w:t> </w:t>
      </w:r>
      <w:r>
        <w:rPr>
          <w:color w:val="231F20"/>
          <w:vertAlign w:val="baseline"/>
        </w:rPr>
        <w:t>of</w:t>
      </w:r>
      <w:r>
        <w:rPr>
          <w:color w:val="231F20"/>
          <w:spacing w:val="-1"/>
          <w:vertAlign w:val="baseline"/>
        </w:rPr>
        <w:t> </w:t>
      </w:r>
      <w:r>
        <w:rPr>
          <w:color w:val="231F20"/>
          <w:vertAlign w:val="baseline"/>
        </w:rPr>
        <w:t>key</w:t>
      </w:r>
      <w:r>
        <w:rPr>
          <w:color w:val="231F20"/>
          <w:spacing w:val="-2"/>
          <w:vertAlign w:val="baseline"/>
        </w:rPr>
        <w:t> </w:t>
      </w:r>
      <w:r>
        <w:rPr>
          <w:color w:val="231F20"/>
          <w:vertAlign w:val="baseline"/>
        </w:rPr>
        <w:t>stakeholders.</w:t>
      </w:r>
      <w:r>
        <w:rPr>
          <w:color w:val="231F20"/>
          <w:spacing w:val="-1"/>
          <w:vertAlign w:val="baseline"/>
        </w:rPr>
        <w:t> </w:t>
      </w:r>
      <w:r>
        <w:rPr>
          <w:i/>
          <w:color w:val="231F20"/>
          <w:vertAlign w:val="baseline"/>
        </w:rPr>
        <w:t>Telemedicine</w:t>
      </w:r>
      <w:r>
        <w:rPr>
          <w:i/>
          <w:color w:val="231F20"/>
          <w:spacing w:val="-1"/>
          <w:vertAlign w:val="baseline"/>
        </w:rPr>
        <w:t> </w:t>
      </w:r>
      <w:r>
        <w:rPr>
          <w:i/>
          <w:color w:val="231F20"/>
          <w:vertAlign w:val="baseline"/>
        </w:rPr>
        <w:t>and</w:t>
      </w:r>
    </w:p>
    <w:p>
      <w:pPr>
        <w:pStyle w:val="BodyText"/>
        <w:spacing w:line="228" w:lineRule="auto"/>
        <w:ind w:left="480" w:right="1232"/>
      </w:pPr>
      <w:r>
        <w:rPr>
          <w:i/>
          <w:color w:val="231F20"/>
        </w:rPr>
        <w:t>e-Health,</w:t>
      </w:r>
      <w:r>
        <w:rPr>
          <w:i/>
          <w:color w:val="231F20"/>
          <w:spacing w:val="-7"/>
        </w:rPr>
        <w:t> </w:t>
      </w:r>
      <w:r>
        <w:rPr>
          <w:i/>
          <w:color w:val="231F20"/>
        </w:rPr>
        <w:t>18</w:t>
      </w:r>
      <w:r>
        <w:rPr>
          <w:color w:val="231F20"/>
        </w:rPr>
        <w:t>(1),</w:t>
      </w:r>
      <w:r>
        <w:rPr>
          <w:color w:val="231F20"/>
          <w:spacing w:val="-6"/>
        </w:rPr>
        <w:t> </w:t>
      </w:r>
      <w:r>
        <w:rPr>
          <w:color w:val="231F20"/>
        </w:rPr>
        <w:t>60-66.</w:t>
      </w:r>
      <w:r>
        <w:rPr>
          <w:color w:val="231F20"/>
          <w:spacing w:val="-7"/>
        </w:rPr>
        <w:t> </w:t>
      </w:r>
      <w:hyperlink r:id="rId86">
        <w:r>
          <w:rPr>
            <w:color w:val="3953A4"/>
            <w:u w:val="single" w:color="3953A4"/>
          </w:rPr>
          <w:t>https://doi.org/10.1089/</w:t>
        </w:r>
      </w:hyperlink>
      <w:r>
        <w:rPr>
          <w:color w:val="3953A4"/>
          <w:spacing w:val="-52"/>
        </w:rPr>
        <w:t> </w:t>
      </w:r>
      <w:hyperlink r:id="rId86">
        <w:r>
          <w:rPr>
            <w:color w:val="3953A4"/>
            <w:u w:val="single" w:color="3953A4"/>
          </w:rPr>
          <w:t>tmj.2011.0076</w:t>
        </w:r>
      </w:hyperlink>
    </w:p>
    <w:p>
      <w:pPr>
        <w:pStyle w:val="BodyText"/>
        <w:tabs>
          <w:tab w:pos="479" w:val="left" w:leader="none"/>
        </w:tabs>
        <w:spacing w:line="228" w:lineRule="auto" w:before="88"/>
        <w:ind w:left="480" w:right="1077" w:hanging="360"/>
      </w:pPr>
      <w:r>
        <w:rPr>
          <w:color w:val="231F20"/>
          <w:vertAlign w:val="superscript"/>
        </w:rPr>
        <w:t>69</w:t>
      </w:r>
      <w:r>
        <w:rPr>
          <w:color w:val="231F20"/>
          <w:vertAlign w:val="baseline"/>
        </w:rPr>
        <w:tab/>
      </w:r>
      <w:r>
        <w:rPr>
          <w:color w:val="231F20"/>
          <w:w w:val="95"/>
          <w:vertAlign w:val="baseline"/>
        </w:rPr>
        <w:t>Mayworm,</w:t>
      </w:r>
      <w:r>
        <w:rPr>
          <w:color w:val="231F20"/>
          <w:spacing w:val="-1"/>
          <w:w w:val="95"/>
          <w:vertAlign w:val="baseline"/>
        </w:rPr>
        <w:t> </w:t>
      </w:r>
      <w:r>
        <w:rPr>
          <w:color w:val="231F20"/>
          <w:w w:val="95"/>
          <w:vertAlign w:val="baseline"/>
        </w:rPr>
        <w:t>A.</w:t>
      </w:r>
      <w:r>
        <w:rPr>
          <w:color w:val="231F20"/>
          <w:spacing w:val="14"/>
          <w:w w:val="95"/>
          <w:vertAlign w:val="baseline"/>
        </w:rPr>
        <w:t> </w:t>
      </w:r>
      <w:r>
        <w:rPr>
          <w:color w:val="231F20"/>
          <w:w w:val="95"/>
          <w:vertAlign w:val="baseline"/>
        </w:rPr>
        <w:t>M.,</w:t>
      </w:r>
      <w:r>
        <w:rPr>
          <w:color w:val="231F20"/>
          <w:spacing w:val="14"/>
          <w:w w:val="95"/>
          <w:vertAlign w:val="baseline"/>
        </w:rPr>
        <w:t> </w:t>
      </w:r>
      <w:r>
        <w:rPr>
          <w:color w:val="231F20"/>
          <w:w w:val="95"/>
          <w:vertAlign w:val="baseline"/>
        </w:rPr>
        <w:t>Lever,</w:t>
      </w:r>
      <w:r>
        <w:rPr>
          <w:color w:val="231F20"/>
          <w:spacing w:val="15"/>
          <w:w w:val="95"/>
          <w:vertAlign w:val="baseline"/>
        </w:rPr>
        <w:t> </w:t>
      </w:r>
      <w:r>
        <w:rPr>
          <w:color w:val="231F20"/>
          <w:w w:val="95"/>
          <w:vertAlign w:val="baseline"/>
        </w:rPr>
        <w:t>N.,</w:t>
      </w:r>
      <w:r>
        <w:rPr>
          <w:color w:val="231F20"/>
          <w:spacing w:val="15"/>
          <w:w w:val="95"/>
          <w:vertAlign w:val="baseline"/>
        </w:rPr>
        <w:t> </w:t>
      </w:r>
      <w:r>
        <w:rPr>
          <w:color w:val="231F20"/>
          <w:w w:val="95"/>
          <w:vertAlign w:val="baseline"/>
        </w:rPr>
        <w:t>Gloff,</w:t>
      </w:r>
      <w:r>
        <w:rPr>
          <w:color w:val="231F20"/>
          <w:spacing w:val="14"/>
          <w:w w:val="95"/>
          <w:vertAlign w:val="baseline"/>
        </w:rPr>
        <w:t> </w:t>
      </w:r>
      <w:r>
        <w:rPr>
          <w:color w:val="231F20"/>
          <w:w w:val="95"/>
          <w:vertAlign w:val="baseline"/>
        </w:rPr>
        <w:t>N.,</w:t>
      </w:r>
      <w:r>
        <w:rPr>
          <w:color w:val="231F20"/>
          <w:spacing w:val="14"/>
          <w:w w:val="95"/>
          <w:vertAlign w:val="baseline"/>
        </w:rPr>
        <w:t> </w:t>
      </w:r>
      <w:r>
        <w:rPr>
          <w:color w:val="231F20"/>
          <w:w w:val="95"/>
          <w:vertAlign w:val="baseline"/>
        </w:rPr>
        <w:t>Cox,</w:t>
      </w:r>
      <w:r>
        <w:rPr>
          <w:color w:val="231F20"/>
          <w:spacing w:val="15"/>
          <w:w w:val="95"/>
          <w:vertAlign w:val="baseline"/>
        </w:rPr>
        <w:t> </w:t>
      </w:r>
      <w:r>
        <w:rPr>
          <w:color w:val="231F20"/>
          <w:w w:val="95"/>
          <w:vertAlign w:val="baseline"/>
        </w:rPr>
        <w:t>J.,</w:t>
      </w:r>
      <w:r>
        <w:rPr>
          <w:color w:val="231F20"/>
          <w:spacing w:val="1"/>
          <w:w w:val="95"/>
          <w:vertAlign w:val="baseline"/>
        </w:rPr>
        <w:t> </w:t>
      </w:r>
      <w:r>
        <w:rPr>
          <w:color w:val="231F20"/>
          <w:spacing w:val="-1"/>
          <w:vertAlign w:val="baseline"/>
        </w:rPr>
        <w:t>Willis,</w:t>
      </w:r>
      <w:r>
        <w:rPr>
          <w:color w:val="231F20"/>
          <w:vertAlign w:val="baseline"/>
        </w:rPr>
        <w:t> </w:t>
      </w:r>
      <w:r>
        <w:rPr>
          <w:color w:val="231F20"/>
          <w:spacing w:val="-1"/>
          <w:vertAlign w:val="baseline"/>
        </w:rPr>
        <w:t>K.,</w:t>
      </w:r>
      <w:r>
        <w:rPr>
          <w:color w:val="231F20"/>
          <w:spacing w:val="1"/>
          <w:vertAlign w:val="baseline"/>
        </w:rPr>
        <w:t> </w:t>
      </w:r>
      <w:r>
        <w:rPr>
          <w:color w:val="231F20"/>
          <w:spacing w:val="-1"/>
          <w:vertAlign w:val="baseline"/>
        </w:rPr>
        <w:t>&amp;</w:t>
      </w:r>
      <w:r>
        <w:rPr>
          <w:color w:val="231F20"/>
          <w:spacing w:val="1"/>
          <w:vertAlign w:val="baseline"/>
        </w:rPr>
        <w:t> </w:t>
      </w:r>
      <w:r>
        <w:rPr>
          <w:color w:val="231F20"/>
          <w:spacing w:val="-1"/>
          <w:vertAlign w:val="baseline"/>
        </w:rPr>
        <w:t>Hoover,</w:t>
      </w:r>
      <w:r>
        <w:rPr>
          <w:color w:val="231F20"/>
          <w:spacing w:val="1"/>
          <w:vertAlign w:val="baseline"/>
        </w:rPr>
        <w:t> </w:t>
      </w:r>
      <w:r>
        <w:rPr>
          <w:color w:val="231F20"/>
          <w:spacing w:val="-1"/>
          <w:vertAlign w:val="baseline"/>
        </w:rPr>
        <w:t>S.</w:t>
      </w:r>
      <w:r>
        <w:rPr>
          <w:color w:val="231F20"/>
          <w:spacing w:val="-12"/>
          <w:vertAlign w:val="baseline"/>
        </w:rPr>
        <w:t> </w:t>
      </w:r>
      <w:r>
        <w:rPr>
          <w:color w:val="231F20"/>
          <w:spacing w:val="-1"/>
          <w:vertAlign w:val="baseline"/>
        </w:rPr>
        <w:t>A.</w:t>
      </w:r>
      <w:r>
        <w:rPr>
          <w:color w:val="231F20"/>
          <w:spacing w:val="1"/>
          <w:vertAlign w:val="baseline"/>
        </w:rPr>
        <w:t> </w:t>
      </w:r>
      <w:r>
        <w:rPr>
          <w:color w:val="231F20"/>
          <w:spacing w:val="-1"/>
          <w:vertAlign w:val="baseline"/>
        </w:rPr>
        <w:t>(2020).</w:t>
      </w:r>
      <w:r>
        <w:rPr>
          <w:color w:val="231F20"/>
          <w:spacing w:val="1"/>
          <w:vertAlign w:val="baseline"/>
        </w:rPr>
        <w:t> </w:t>
      </w:r>
      <w:r>
        <w:rPr>
          <w:color w:val="231F20"/>
          <w:spacing w:val="-1"/>
          <w:vertAlign w:val="baseline"/>
        </w:rPr>
        <w:t>School-based</w:t>
      </w:r>
      <w:r>
        <w:rPr>
          <w:color w:val="231F20"/>
          <w:spacing w:val="-52"/>
          <w:vertAlign w:val="baseline"/>
        </w:rPr>
        <w:t> </w:t>
      </w:r>
      <w:r>
        <w:rPr>
          <w:color w:val="231F20"/>
          <w:vertAlign w:val="baseline"/>
        </w:rPr>
        <w:t>telepsychiatry</w:t>
      </w:r>
      <w:r>
        <w:rPr>
          <w:color w:val="231F20"/>
          <w:spacing w:val="-3"/>
          <w:vertAlign w:val="baseline"/>
        </w:rPr>
        <w:t> </w:t>
      </w:r>
      <w:r>
        <w:rPr>
          <w:color w:val="231F20"/>
          <w:vertAlign w:val="baseline"/>
        </w:rPr>
        <w:t>in</w:t>
      </w:r>
      <w:r>
        <w:rPr>
          <w:color w:val="231F20"/>
          <w:spacing w:val="-2"/>
          <w:vertAlign w:val="baseline"/>
        </w:rPr>
        <w:t> </w:t>
      </w:r>
      <w:r>
        <w:rPr>
          <w:color w:val="231F20"/>
          <w:vertAlign w:val="baseline"/>
        </w:rPr>
        <w:t>an</w:t>
      </w:r>
      <w:r>
        <w:rPr>
          <w:color w:val="231F20"/>
          <w:spacing w:val="-2"/>
          <w:vertAlign w:val="baseline"/>
        </w:rPr>
        <w:t> </w:t>
      </w:r>
      <w:r>
        <w:rPr>
          <w:color w:val="231F20"/>
          <w:vertAlign w:val="baseline"/>
        </w:rPr>
        <w:t>urban</w:t>
      </w:r>
      <w:r>
        <w:rPr>
          <w:color w:val="231F20"/>
          <w:spacing w:val="-3"/>
          <w:vertAlign w:val="baseline"/>
        </w:rPr>
        <w:t> </w:t>
      </w:r>
      <w:r>
        <w:rPr>
          <w:color w:val="231F20"/>
          <w:vertAlign w:val="baseline"/>
        </w:rPr>
        <w:t>setting:</w:t>
      </w:r>
      <w:r>
        <w:rPr>
          <w:color w:val="231F20"/>
          <w:spacing w:val="-3"/>
          <w:vertAlign w:val="baseline"/>
        </w:rPr>
        <w:t> </w:t>
      </w:r>
      <w:r>
        <w:rPr>
          <w:color w:val="231F20"/>
          <w:vertAlign w:val="baseline"/>
        </w:rPr>
        <w:t>Efficiency</w:t>
      </w:r>
    </w:p>
    <w:p>
      <w:pPr>
        <w:spacing w:line="235" w:lineRule="exact" w:before="0"/>
        <w:ind w:left="480" w:right="0" w:firstLine="0"/>
        <w:jc w:val="left"/>
        <w:rPr>
          <w:i/>
          <w:sz w:val="22"/>
        </w:rPr>
      </w:pPr>
      <w:r>
        <w:rPr>
          <w:color w:val="231F20"/>
          <w:sz w:val="22"/>
        </w:rPr>
        <w:t>and</w:t>
      </w:r>
      <w:r>
        <w:rPr>
          <w:color w:val="231F20"/>
          <w:spacing w:val="-5"/>
          <w:sz w:val="22"/>
        </w:rPr>
        <w:t> </w:t>
      </w:r>
      <w:r>
        <w:rPr>
          <w:color w:val="231F20"/>
          <w:sz w:val="22"/>
        </w:rPr>
        <w:t>satisfaction</w:t>
      </w:r>
      <w:r>
        <w:rPr>
          <w:color w:val="231F20"/>
          <w:spacing w:val="-4"/>
          <w:sz w:val="22"/>
        </w:rPr>
        <w:t> </w:t>
      </w:r>
      <w:r>
        <w:rPr>
          <w:color w:val="231F20"/>
          <w:sz w:val="22"/>
        </w:rPr>
        <w:t>with</w:t>
      </w:r>
      <w:r>
        <w:rPr>
          <w:color w:val="231F20"/>
          <w:spacing w:val="-4"/>
          <w:sz w:val="22"/>
        </w:rPr>
        <w:t> </w:t>
      </w:r>
      <w:r>
        <w:rPr>
          <w:color w:val="231F20"/>
          <w:sz w:val="22"/>
        </w:rPr>
        <w:t>care.</w:t>
      </w:r>
      <w:r>
        <w:rPr>
          <w:color w:val="231F20"/>
          <w:spacing w:val="-5"/>
          <w:sz w:val="22"/>
        </w:rPr>
        <w:t> </w:t>
      </w:r>
      <w:r>
        <w:rPr>
          <w:i/>
          <w:color w:val="231F20"/>
          <w:sz w:val="22"/>
        </w:rPr>
        <w:t>Telemedicine</w:t>
      </w:r>
      <w:r>
        <w:rPr>
          <w:i/>
          <w:color w:val="231F20"/>
          <w:spacing w:val="-5"/>
          <w:sz w:val="22"/>
        </w:rPr>
        <w:t> </w:t>
      </w:r>
      <w:r>
        <w:rPr>
          <w:i/>
          <w:color w:val="231F20"/>
          <w:sz w:val="22"/>
        </w:rPr>
        <w:t>and</w:t>
      </w:r>
    </w:p>
    <w:p>
      <w:pPr>
        <w:pStyle w:val="BodyText"/>
        <w:spacing w:line="228" w:lineRule="auto" w:before="4"/>
        <w:ind w:left="480" w:right="1012"/>
      </w:pPr>
      <w:r>
        <w:rPr>
          <w:i/>
          <w:color w:val="231F20"/>
        </w:rPr>
        <w:t>e-Health,</w:t>
      </w:r>
      <w:r>
        <w:rPr>
          <w:i/>
          <w:color w:val="231F20"/>
          <w:spacing w:val="-7"/>
        </w:rPr>
        <w:t> </w:t>
      </w:r>
      <w:r>
        <w:rPr>
          <w:i/>
          <w:color w:val="231F20"/>
        </w:rPr>
        <w:t>26</w:t>
      </w:r>
      <w:r>
        <w:rPr>
          <w:color w:val="231F20"/>
        </w:rPr>
        <w:t>(4),</w:t>
      </w:r>
      <w:r>
        <w:rPr>
          <w:color w:val="231F20"/>
          <w:spacing w:val="-6"/>
        </w:rPr>
        <w:t> </w:t>
      </w:r>
      <w:r>
        <w:rPr>
          <w:color w:val="231F20"/>
        </w:rPr>
        <w:t>446-454.</w:t>
      </w:r>
      <w:r>
        <w:rPr>
          <w:color w:val="231F20"/>
          <w:spacing w:val="-7"/>
        </w:rPr>
        <w:t> </w:t>
      </w:r>
      <w:hyperlink r:id="rId87">
        <w:r>
          <w:rPr>
            <w:color w:val="3953A4"/>
            <w:u w:val="single" w:color="3953A4"/>
          </w:rPr>
          <w:t>https://doi.org/10.1089/</w:t>
        </w:r>
      </w:hyperlink>
      <w:r>
        <w:rPr>
          <w:color w:val="3953A4"/>
          <w:spacing w:val="-52"/>
        </w:rPr>
        <w:t> </w:t>
      </w:r>
      <w:hyperlink r:id="rId87">
        <w:r>
          <w:rPr>
            <w:color w:val="3953A4"/>
            <w:u w:val="single" w:color="3953A4"/>
          </w:rPr>
          <w:t>tmj.2019.0038</w:t>
        </w:r>
      </w:hyperlink>
    </w:p>
    <w:p>
      <w:pPr>
        <w:pStyle w:val="BodyText"/>
        <w:tabs>
          <w:tab w:pos="479" w:val="left" w:leader="none"/>
        </w:tabs>
        <w:spacing w:line="246" w:lineRule="exact" w:before="79"/>
        <w:ind w:left="120"/>
      </w:pPr>
      <w:r>
        <w:rPr>
          <w:color w:val="231F20"/>
          <w:vertAlign w:val="superscript"/>
        </w:rPr>
        <w:t>70</w:t>
      </w:r>
      <w:r>
        <w:rPr>
          <w:color w:val="231F20"/>
          <w:vertAlign w:val="baseline"/>
        </w:rPr>
        <w:tab/>
      </w:r>
      <w:r>
        <w:rPr>
          <w:color w:val="231F20"/>
          <w:spacing w:val="-1"/>
          <w:vertAlign w:val="baseline"/>
        </w:rPr>
        <w:t>Morgan,</w:t>
      </w:r>
      <w:r>
        <w:rPr>
          <w:color w:val="231F20"/>
          <w:vertAlign w:val="baseline"/>
        </w:rPr>
        <w:t> </w:t>
      </w:r>
      <w:r>
        <w:rPr>
          <w:color w:val="231F20"/>
          <w:spacing w:val="-1"/>
          <w:vertAlign w:val="baseline"/>
        </w:rPr>
        <w:t>R.</w:t>
      </w:r>
      <w:r>
        <w:rPr>
          <w:color w:val="231F20"/>
          <w:spacing w:val="1"/>
          <w:vertAlign w:val="baseline"/>
        </w:rPr>
        <w:t> </w:t>
      </w:r>
      <w:r>
        <w:rPr>
          <w:color w:val="231F20"/>
          <w:spacing w:val="-1"/>
          <w:vertAlign w:val="baseline"/>
        </w:rPr>
        <w:t>D.,</w:t>
      </w:r>
      <w:r>
        <w:rPr>
          <w:color w:val="231F20"/>
          <w:spacing w:val="1"/>
          <w:vertAlign w:val="baseline"/>
        </w:rPr>
        <w:t> </w:t>
      </w:r>
      <w:r>
        <w:rPr>
          <w:color w:val="231F20"/>
          <w:spacing w:val="-1"/>
          <w:vertAlign w:val="baseline"/>
        </w:rPr>
        <w:t>Patrick,</w:t>
      </w:r>
      <w:r>
        <w:rPr>
          <w:color w:val="231F20"/>
          <w:spacing w:val="-13"/>
          <w:vertAlign w:val="baseline"/>
        </w:rPr>
        <w:t> </w:t>
      </w:r>
      <w:r>
        <w:rPr>
          <w:color w:val="231F20"/>
          <w:spacing w:val="-1"/>
          <w:vertAlign w:val="baseline"/>
        </w:rPr>
        <w:t>A.</w:t>
      </w:r>
      <w:r>
        <w:rPr>
          <w:color w:val="231F20"/>
          <w:spacing w:val="1"/>
          <w:vertAlign w:val="baseline"/>
        </w:rPr>
        <w:t> </w:t>
      </w:r>
      <w:r>
        <w:rPr>
          <w:color w:val="231F20"/>
          <w:spacing w:val="-1"/>
          <w:vertAlign w:val="baseline"/>
        </w:rPr>
        <w:t>R.,</w:t>
      </w:r>
      <w:r>
        <w:rPr>
          <w:color w:val="231F20"/>
          <w:spacing w:val="1"/>
          <w:vertAlign w:val="baseline"/>
        </w:rPr>
        <w:t> </w:t>
      </w:r>
      <w:r>
        <w:rPr>
          <w:color w:val="231F20"/>
          <w:spacing w:val="-1"/>
          <w:vertAlign w:val="baseline"/>
        </w:rPr>
        <w:t>&amp;</w:t>
      </w:r>
      <w:r>
        <w:rPr>
          <w:color w:val="231F20"/>
          <w:spacing w:val="1"/>
          <w:vertAlign w:val="baseline"/>
        </w:rPr>
        <w:t> </w:t>
      </w:r>
      <w:r>
        <w:rPr>
          <w:color w:val="231F20"/>
          <w:spacing w:val="-1"/>
          <w:vertAlign w:val="baseline"/>
        </w:rPr>
        <w:t>Magaletta,</w:t>
      </w:r>
      <w:r>
        <w:rPr>
          <w:color w:val="231F20"/>
          <w:vertAlign w:val="baseline"/>
        </w:rPr>
        <w:t> P.</w:t>
      </w:r>
    </w:p>
    <w:p>
      <w:pPr>
        <w:pStyle w:val="BodyText"/>
        <w:spacing w:line="228" w:lineRule="auto" w:before="4"/>
        <w:ind w:left="480" w:right="1133"/>
      </w:pPr>
      <w:r>
        <w:rPr>
          <w:color w:val="231F20"/>
        </w:rPr>
        <w:t>R. (2008). Does the use of telemental health</w:t>
      </w:r>
      <w:r>
        <w:rPr>
          <w:color w:val="231F20"/>
          <w:spacing w:val="1"/>
        </w:rPr>
        <w:t> </w:t>
      </w:r>
      <w:r>
        <w:rPr>
          <w:color w:val="231F20"/>
        </w:rPr>
        <w:t>alter the treatment experience? Inmates’</w:t>
      </w:r>
      <w:r>
        <w:rPr>
          <w:color w:val="231F20"/>
          <w:spacing w:val="1"/>
        </w:rPr>
        <w:t> </w:t>
      </w:r>
      <w:r>
        <w:rPr>
          <w:color w:val="231F20"/>
        </w:rPr>
        <w:t>perceptions of telemental health versus face-to-</w:t>
      </w:r>
      <w:r>
        <w:rPr>
          <w:color w:val="231F20"/>
          <w:spacing w:val="1"/>
        </w:rPr>
        <w:t> </w:t>
      </w:r>
      <w:r>
        <w:rPr>
          <w:color w:val="231F20"/>
        </w:rPr>
        <w:t>face treatment modalities. </w:t>
      </w:r>
      <w:r>
        <w:rPr>
          <w:i/>
          <w:color w:val="231F20"/>
        </w:rPr>
        <w:t>Journal of Consulting</w:t>
      </w:r>
      <w:r>
        <w:rPr>
          <w:i/>
          <w:color w:val="231F20"/>
          <w:spacing w:val="-53"/>
        </w:rPr>
        <w:t> </w:t>
      </w:r>
      <w:r>
        <w:rPr>
          <w:i/>
          <w:color w:val="231F20"/>
        </w:rPr>
        <w:t>and Clinical Psychology, 76</w:t>
      </w:r>
      <w:r>
        <w:rPr>
          <w:color w:val="231F20"/>
        </w:rPr>
        <w:t>(1), 158.</w:t>
      </w:r>
      <w:r>
        <w:rPr>
          <w:color w:val="3953A4"/>
        </w:rPr>
        <w:t> </w:t>
      </w:r>
      <w:hyperlink r:id="rId88">
        <w:r>
          <w:rPr>
            <w:color w:val="3953A4"/>
            <w:u w:val="single" w:color="3953A4"/>
          </w:rPr>
          <w:t>https://doi.</w:t>
        </w:r>
      </w:hyperlink>
      <w:r>
        <w:rPr>
          <w:color w:val="3953A4"/>
          <w:spacing w:val="-52"/>
        </w:rPr>
        <w:t> </w:t>
      </w:r>
      <w:hyperlink r:id="rId88">
        <w:r>
          <w:rPr>
            <w:color w:val="3953A4"/>
            <w:u w:val="single" w:color="3953A4"/>
          </w:rPr>
          <w:t>org/10.1037/0022-006X.76.1.158</w:t>
        </w:r>
      </w:hyperlink>
    </w:p>
    <w:p>
      <w:pPr>
        <w:pStyle w:val="BodyText"/>
        <w:tabs>
          <w:tab w:pos="479" w:val="left" w:leader="none"/>
        </w:tabs>
        <w:spacing w:line="228" w:lineRule="auto" w:before="88"/>
        <w:ind w:left="480" w:right="1012" w:hanging="360"/>
      </w:pPr>
      <w:r>
        <w:rPr>
          <w:color w:val="231F20"/>
          <w:vertAlign w:val="superscript"/>
        </w:rPr>
        <w:t>71</w:t>
      </w:r>
      <w:r>
        <w:rPr>
          <w:color w:val="231F20"/>
          <w:vertAlign w:val="baseline"/>
        </w:rPr>
        <w:tab/>
      </w:r>
      <w:r>
        <w:rPr>
          <w:color w:val="231F20"/>
          <w:spacing w:val="-2"/>
          <w:vertAlign w:val="baseline"/>
        </w:rPr>
        <w:t>Turgoose,</w:t>
      </w:r>
      <w:r>
        <w:rPr>
          <w:color w:val="231F20"/>
          <w:vertAlign w:val="baseline"/>
        </w:rPr>
        <w:t> </w:t>
      </w:r>
      <w:r>
        <w:rPr>
          <w:color w:val="231F20"/>
          <w:spacing w:val="-1"/>
          <w:vertAlign w:val="baseline"/>
        </w:rPr>
        <w:t>D.,</w:t>
      </w:r>
      <w:r>
        <w:rPr>
          <w:color w:val="231F20"/>
          <w:spacing w:val="-12"/>
          <w:vertAlign w:val="baseline"/>
        </w:rPr>
        <w:t> </w:t>
      </w:r>
      <w:r>
        <w:rPr>
          <w:color w:val="231F20"/>
          <w:spacing w:val="-1"/>
          <w:vertAlign w:val="baseline"/>
        </w:rPr>
        <w:t>Ashwick,</w:t>
      </w:r>
      <w:r>
        <w:rPr>
          <w:color w:val="231F20"/>
          <w:spacing w:val="1"/>
          <w:vertAlign w:val="baseline"/>
        </w:rPr>
        <w:t> </w:t>
      </w:r>
      <w:r>
        <w:rPr>
          <w:color w:val="231F20"/>
          <w:spacing w:val="-1"/>
          <w:vertAlign w:val="baseline"/>
        </w:rPr>
        <w:t>R.,</w:t>
      </w:r>
      <w:r>
        <w:rPr>
          <w:color w:val="231F20"/>
          <w:spacing w:val="1"/>
          <w:vertAlign w:val="baseline"/>
        </w:rPr>
        <w:t> </w:t>
      </w:r>
      <w:r>
        <w:rPr>
          <w:color w:val="231F20"/>
          <w:spacing w:val="-1"/>
          <w:vertAlign w:val="baseline"/>
        </w:rPr>
        <w:t>&amp;</w:t>
      </w:r>
      <w:r>
        <w:rPr>
          <w:color w:val="231F20"/>
          <w:spacing w:val="1"/>
          <w:vertAlign w:val="baseline"/>
        </w:rPr>
        <w:t> </w:t>
      </w:r>
      <w:r>
        <w:rPr>
          <w:color w:val="231F20"/>
          <w:spacing w:val="-1"/>
          <w:vertAlign w:val="baseline"/>
        </w:rPr>
        <w:t>Murphy,</w:t>
      </w:r>
      <w:r>
        <w:rPr>
          <w:color w:val="231F20"/>
          <w:spacing w:val="1"/>
          <w:vertAlign w:val="baseline"/>
        </w:rPr>
        <w:t> </w:t>
      </w:r>
      <w:r>
        <w:rPr>
          <w:color w:val="231F20"/>
          <w:spacing w:val="-1"/>
          <w:vertAlign w:val="baseline"/>
        </w:rPr>
        <w:t>D.</w:t>
      </w:r>
      <w:r>
        <w:rPr>
          <w:color w:val="231F20"/>
          <w:spacing w:val="1"/>
          <w:vertAlign w:val="baseline"/>
        </w:rPr>
        <w:t> </w:t>
      </w:r>
      <w:r>
        <w:rPr>
          <w:color w:val="231F20"/>
          <w:spacing w:val="-1"/>
          <w:vertAlign w:val="baseline"/>
        </w:rPr>
        <w:t>(2018).</w:t>
      </w:r>
      <w:r>
        <w:rPr>
          <w:color w:val="231F20"/>
          <w:spacing w:val="-52"/>
          <w:vertAlign w:val="baseline"/>
        </w:rPr>
        <w:t> </w:t>
      </w:r>
      <w:r>
        <w:rPr>
          <w:color w:val="231F20"/>
          <w:vertAlign w:val="baseline"/>
        </w:rPr>
        <w:t>Systematic review of lessons learned from</w:t>
      </w:r>
      <w:r>
        <w:rPr>
          <w:color w:val="231F20"/>
          <w:spacing w:val="1"/>
          <w:vertAlign w:val="baseline"/>
        </w:rPr>
        <w:t> </w:t>
      </w:r>
      <w:r>
        <w:rPr>
          <w:color w:val="231F20"/>
          <w:vertAlign w:val="baseline"/>
        </w:rPr>
        <w:t>delivering tele-therapy to veterans with post-</w:t>
      </w:r>
      <w:r>
        <w:rPr>
          <w:color w:val="231F20"/>
          <w:spacing w:val="1"/>
          <w:vertAlign w:val="baseline"/>
        </w:rPr>
        <w:t> </w:t>
      </w:r>
      <w:r>
        <w:rPr>
          <w:color w:val="231F20"/>
          <w:vertAlign w:val="baseline"/>
        </w:rPr>
        <w:t>traumatic</w:t>
      </w:r>
      <w:r>
        <w:rPr>
          <w:color w:val="231F20"/>
          <w:spacing w:val="-7"/>
          <w:vertAlign w:val="baseline"/>
        </w:rPr>
        <w:t> </w:t>
      </w:r>
      <w:r>
        <w:rPr>
          <w:color w:val="231F20"/>
          <w:vertAlign w:val="baseline"/>
        </w:rPr>
        <w:t>stress</w:t>
      </w:r>
      <w:r>
        <w:rPr>
          <w:color w:val="231F20"/>
          <w:spacing w:val="-6"/>
          <w:vertAlign w:val="baseline"/>
        </w:rPr>
        <w:t> </w:t>
      </w:r>
      <w:r>
        <w:rPr>
          <w:color w:val="231F20"/>
          <w:vertAlign w:val="baseline"/>
        </w:rPr>
        <w:t>disorder.</w:t>
      </w:r>
      <w:r>
        <w:rPr>
          <w:color w:val="231F20"/>
          <w:spacing w:val="-6"/>
          <w:vertAlign w:val="baseline"/>
        </w:rPr>
        <w:t> </w:t>
      </w:r>
      <w:r>
        <w:rPr>
          <w:i/>
          <w:color w:val="231F20"/>
          <w:vertAlign w:val="baseline"/>
        </w:rPr>
        <w:t>Journal</w:t>
      </w:r>
      <w:r>
        <w:rPr>
          <w:i/>
          <w:color w:val="231F20"/>
          <w:spacing w:val="-7"/>
          <w:vertAlign w:val="baseline"/>
        </w:rPr>
        <w:t> </w:t>
      </w:r>
      <w:r>
        <w:rPr>
          <w:i/>
          <w:color w:val="231F20"/>
          <w:vertAlign w:val="baseline"/>
        </w:rPr>
        <w:t>of</w:t>
      </w:r>
      <w:r>
        <w:rPr>
          <w:i/>
          <w:color w:val="231F20"/>
          <w:spacing w:val="-6"/>
          <w:vertAlign w:val="baseline"/>
        </w:rPr>
        <w:t> </w:t>
      </w:r>
      <w:r>
        <w:rPr>
          <w:i/>
          <w:color w:val="231F20"/>
          <w:vertAlign w:val="baseline"/>
        </w:rPr>
        <w:t>Telemedicine</w:t>
      </w:r>
      <w:r>
        <w:rPr>
          <w:i/>
          <w:color w:val="231F20"/>
          <w:spacing w:val="-52"/>
          <w:vertAlign w:val="baseline"/>
        </w:rPr>
        <w:t> </w:t>
      </w:r>
      <w:r>
        <w:rPr>
          <w:i/>
          <w:color w:val="231F20"/>
          <w:vertAlign w:val="baseline"/>
        </w:rPr>
        <w:t>and Telecare, 24</w:t>
      </w:r>
      <w:r>
        <w:rPr>
          <w:color w:val="231F20"/>
          <w:vertAlign w:val="baseline"/>
        </w:rPr>
        <w:t>(9), 575-585. </w:t>
      </w:r>
      <w:hyperlink r:id="rId89">
        <w:r>
          <w:rPr>
            <w:color w:val="3953A4"/>
            <w:u w:val="single" w:color="3953A4"/>
            <w:vertAlign w:val="baseline"/>
          </w:rPr>
          <w:t>https://doi.</w:t>
        </w:r>
      </w:hyperlink>
      <w:r>
        <w:rPr>
          <w:color w:val="3953A4"/>
          <w:spacing w:val="1"/>
          <w:vertAlign w:val="baseline"/>
        </w:rPr>
        <w:t> </w:t>
      </w:r>
      <w:hyperlink r:id="rId89">
        <w:r>
          <w:rPr>
            <w:color w:val="3953A4"/>
            <w:u w:val="single" w:color="3953A4"/>
            <w:vertAlign w:val="baseline"/>
          </w:rPr>
          <w:t>org/10.1177/1357633X17730443</w:t>
        </w:r>
      </w:hyperlink>
    </w:p>
    <w:p>
      <w:pPr>
        <w:pStyle w:val="BodyText"/>
        <w:tabs>
          <w:tab w:pos="479" w:val="left" w:leader="none"/>
        </w:tabs>
        <w:spacing w:line="228" w:lineRule="auto" w:before="88"/>
        <w:ind w:left="480" w:right="832" w:hanging="360"/>
      </w:pPr>
      <w:r>
        <w:rPr>
          <w:color w:val="231F20"/>
          <w:vertAlign w:val="superscript"/>
        </w:rPr>
        <w:t>72</w:t>
      </w:r>
      <w:r>
        <w:rPr>
          <w:color w:val="231F20"/>
          <w:vertAlign w:val="baseline"/>
        </w:rPr>
        <w:tab/>
      </w:r>
      <w:r>
        <w:rPr>
          <w:color w:val="231F20"/>
          <w:spacing w:val="-1"/>
          <w:vertAlign w:val="baseline"/>
        </w:rPr>
        <w:t>Tuerk, P. W., Yoder, M., Ruggiero, K. </w:t>
      </w:r>
      <w:r>
        <w:rPr>
          <w:color w:val="231F20"/>
          <w:vertAlign w:val="baseline"/>
        </w:rPr>
        <w:t>J., Gros, D.</w:t>
      </w:r>
      <w:r>
        <w:rPr>
          <w:color w:val="231F20"/>
          <w:spacing w:val="1"/>
          <w:vertAlign w:val="baseline"/>
        </w:rPr>
        <w:t> </w:t>
      </w:r>
      <w:r>
        <w:rPr>
          <w:color w:val="231F20"/>
          <w:spacing w:val="-1"/>
          <w:vertAlign w:val="baseline"/>
        </w:rPr>
        <w:t>F.,</w:t>
      </w:r>
      <w:r>
        <w:rPr>
          <w:color w:val="231F20"/>
          <w:vertAlign w:val="baseline"/>
        </w:rPr>
        <w:t> </w:t>
      </w:r>
      <w:r>
        <w:rPr>
          <w:color w:val="231F20"/>
          <w:spacing w:val="-1"/>
          <w:vertAlign w:val="baseline"/>
        </w:rPr>
        <w:t>&amp;</w:t>
      </w:r>
      <w:r>
        <w:rPr>
          <w:color w:val="231F20"/>
          <w:spacing w:val="-13"/>
          <w:vertAlign w:val="baseline"/>
        </w:rPr>
        <w:t> </w:t>
      </w:r>
      <w:r>
        <w:rPr>
          <w:color w:val="231F20"/>
          <w:spacing w:val="-1"/>
          <w:vertAlign w:val="baseline"/>
        </w:rPr>
        <w:t>Acierno,</w:t>
      </w:r>
      <w:r>
        <w:rPr>
          <w:color w:val="231F20"/>
          <w:vertAlign w:val="baseline"/>
        </w:rPr>
        <w:t> </w:t>
      </w:r>
      <w:r>
        <w:rPr>
          <w:color w:val="231F20"/>
          <w:spacing w:val="-1"/>
          <w:vertAlign w:val="baseline"/>
        </w:rPr>
        <w:t>R.</w:t>
      </w:r>
      <w:r>
        <w:rPr>
          <w:color w:val="231F20"/>
          <w:vertAlign w:val="baseline"/>
        </w:rPr>
        <w:t> </w:t>
      </w:r>
      <w:r>
        <w:rPr>
          <w:color w:val="231F20"/>
          <w:spacing w:val="-1"/>
          <w:vertAlign w:val="baseline"/>
        </w:rPr>
        <w:t>(2010).</w:t>
      </w:r>
      <w:r>
        <w:rPr>
          <w:color w:val="231F20"/>
          <w:spacing w:val="-13"/>
          <w:vertAlign w:val="baseline"/>
        </w:rPr>
        <w:t> </w:t>
      </w:r>
      <w:r>
        <w:rPr>
          <w:color w:val="231F20"/>
          <w:spacing w:val="-1"/>
          <w:vertAlign w:val="baseline"/>
        </w:rPr>
        <w:t>A</w:t>
      </w:r>
      <w:r>
        <w:rPr>
          <w:color w:val="231F20"/>
          <w:spacing w:val="-13"/>
          <w:vertAlign w:val="baseline"/>
        </w:rPr>
        <w:t> </w:t>
      </w:r>
      <w:r>
        <w:rPr>
          <w:color w:val="231F20"/>
          <w:spacing w:val="-1"/>
          <w:vertAlign w:val="baseline"/>
        </w:rPr>
        <w:t>pilot</w:t>
      </w:r>
      <w:r>
        <w:rPr>
          <w:color w:val="231F20"/>
          <w:vertAlign w:val="baseline"/>
        </w:rPr>
        <w:t> </w:t>
      </w:r>
      <w:r>
        <w:rPr>
          <w:color w:val="231F20"/>
          <w:spacing w:val="-1"/>
          <w:vertAlign w:val="baseline"/>
        </w:rPr>
        <w:t>study</w:t>
      </w:r>
      <w:r>
        <w:rPr>
          <w:color w:val="231F20"/>
          <w:spacing w:val="1"/>
          <w:vertAlign w:val="baseline"/>
        </w:rPr>
        <w:t> </w:t>
      </w:r>
      <w:r>
        <w:rPr>
          <w:color w:val="231F20"/>
          <w:spacing w:val="-1"/>
          <w:vertAlign w:val="baseline"/>
        </w:rPr>
        <w:t>of</w:t>
      </w:r>
      <w:r>
        <w:rPr>
          <w:color w:val="231F20"/>
          <w:vertAlign w:val="baseline"/>
        </w:rPr>
        <w:t> prolonged</w:t>
      </w:r>
      <w:r>
        <w:rPr>
          <w:color w:val="231F20"/>
          <w:spacing w:val="-52"/>
          <w:vertAlign w:val="baseline"/>
        </w:rPr>
        <w:t> </w:t>
      </w:r>
      <w:r>
        <w:rPr>
          <w:color w:val="231F20"/>
          <w:vertAlign w:val="baseline"/>
        </w:rPr>
        <w:t>exposure therapy for posttraumatic stress disorder</w:t>
      </w:r>
      <w:r>
        <w:rPr>
          <w:color w:val="231F20"/>
          <w:spacing w:val="1"/>
          <w:vertAlign w:val="baseline"/>
        </w:rPr>
        <w:t> </w:t>
      </w:r>
      <w:r>
        <w:rPr>
          <w:color w:val="231F20"/>
          <w:vertAlign w:val="baseline"/>
        </w:rPr>
        <w:t>delivered via telehealth technology. </w:t>
      </w:r>
      <w:r>
        <w:rPr>
          <w:i/>
          <w:color w:val="231F20"/>
          <w:vertAlign w:val="baseline"/>
        </w:rPr>
        <w:t>Journal of</w:t>
      </w:r>
      <w:r>
        <w:rPr>
          <w:i/>
          <w:color w:val="231F20"/>
          <w:spacing w:val="1"/>
          <w:vertAlign w:val="baseline"/>
        </w:rPr>
        <w:t> </w:t>
      </w:r>
      <w:r>
        <w:rPr>
          <w:i/>
          <w:color w:val="231F20"/>
          <w:vertAlign w:val="baseline"/>
        </w:rPr>
        <w:t>Traumatic Stress, 23</w:t>
      </w:r>
      <w:r>
        <w:rPr>
          <w:color w:val="231F20"/>
          <w:vertAlign w:val="baseline"/>
        </w:rPr>
        <w:t>(1), 116-123. </w:t>
      </w:r>
      <w:hyperlink r:id="rId90">
        <w:r>
          <w:rPr>
            <w:color w:val="3953A4"/>
            <w:u w:val="single" w:color="3953A4"/>
            <w:vertAlign w:val="baseline"/>
          </w:rPr>
          <w:t>https://doi.</w:t>
        </w:r>
      </w:hyperlink>
      <w:r>
        <w:rPr>
          <w:color w:val="3953A4"/>
          <w:spacing w:val="1"/>
          <w:vertAlign w:val="baseline"/>
        </w:rPr>
        <w:t> </w:t>
      </w:r>
      <w:hyperlink r:id="rId90">
        <w:r>
          <w:rPr>
            <w:color w:val="3953A4"/>
            <w:u w:val="single" w:color="3953A4"/>
            <w:vertAlign w:val="baseline"/>
          </w:rPr>
          <w:t>org/10.1002/jts.20494</w:t>
        </w:r>
      </w:hyperlink>
    </w:p>
    <w:p>
      <w:pPr>
        <w:pStyle w:val="BodyText"/>
        <w:tabs>
          <w:tab w:pos="479" w:val="left" w:leader="none"/>
        </w:tabs>
        <w:spacing w:line="228" w:lineRule="auto" w:before="88"/>
        <w:ind w:left="480" w:right="799" w:hanging="360"/>
      </w:pPr>
      <w:r>
        <w:rPr>
          <w:color w:val="231F20"/>
          <w:vertAlign w:val="superscript"/>
        </w:rPr>
        <w:t>73</w:t>
      </w:r>
      <w:r>
        <w:rPr>
          <w:color w:val="231F20"/>
          <w:vertAlign w:val="baseline"/>
        </w:rPr>
        <w:tab/>
        <w:t>Shelton,</w:t>
      </w:r>
      <w:r>
        <w:rPr>
          <w:color w:val="231F20"/>
          <w:spacing w:val="14"/>
          <w:vertAlign w:val="baseline"/>
        </w:rPr>
        <w:t> </w:t>
      </w:r>
      <w:r>
        <w:rPr>
          <w:color w:val="231F20"/>
          <w:vertAlign w:val="baseline"/>
        </w:rPr>
        <w:t>C.</w:t>
      </w:r>
      <w:r>
        <w:rPr>
          <w:color w:val="231F20"/>
          <w:spacing w:val="15"/>
          <w:vertAlign w:val="baseline"/>
        </w:rPr>
        <w:t> </w:t>
      </w:r>
      <w:r>
        <w:rPr>
          <w:color w:val="231F20"/>
          <w:vertAlign w:val="baseline"/>
        </w:rPr>
        <w:t>J.,</w:t>
      </w:r>
      <w:r>
        <w:rPr>
          <w:color w:val="231F20"/>
          <w:spacing w:val="15"/>
          <w:vertAlign w:val="baseline"/>
        </w:rPr>
        <w:t> </w:t>
      </w:r>
      <w:r>
        <w:rPr>
          <w:color w:val="231F20"/>
          <w:vertAlign w:val="baseline"/>
        </w:rPr>
        <w:t>Kim,</w:t>
      </w:r>
      <w:r>
        <w:rPr>
          <w:color w:val="231F20"/>
          <w:spacing w:val="2"/>
          <w:vertAlign w:val="baseline"/>
        </w:rPr>
        <w:t> </w:t>
      </w:r>
      <w:r>
        <w:rPr>
          <w:color w:val="231F20"/>
          <w:vertAlign w:val="baseline"/>
        </w:rPr>
        <w:t>A.,</w:t>
      </w:r>
      <w:r>
        <w:rPr>
          <w:color w:val="231F20"/>
          <w:spacing w:val="15"/>
          <w:vertAlign w:val="baseline"/>
        </w:rPr>
        <w:t> </w:t>
      </w:r>
      <w:r>
        <w:rPr>
          <w:color w:val="231F20"/>
          <w:vertAlign w:val="baseline"/>
        </w:rPr>
        <w:t>Hassan,</w:t>
      </w:r>
      <w:r>
        <w:rPr>
          <w:color w:val="231F20"/>
          <w:spacing w:val="1"/>
          <w:vertAlign w:val="baseline"/>
        </w:rPr>
        <w:t> </w:t>
      </w:r>
      <w:r>
        <w:rPr>
          <w:color w:val="231F20"/>
          <w:vertAlign w:val="baseline"/>
        </w:rPr>
        <w:t>A.</w:t>
      </w:r>
      <w:r>
        <w:rPr>
          <w:color w:val="231F20"/>
          <w:spacing w:val="15"/>
          <w:vertAlign w:val="baseline"/>
        </w:rPr>
        <w:t> </w:t>
      </w:r>
      <w:r>
        <w:rPr>
          <w:color w:val="231F20"/>
          <w:vertAlign w:val="baseline"/>
        </w:rPr>
        <w:t>M.,</w:t>
      </w:r>
      <w:r>
        <w:rPr>
          <w:color w:val="231F20"/>
          <w:spacing w:val="15"/>
          <w:vertAlign w:val="baseline"/>
        </w:rPr>
        <w:t> </w:t>
      </w:r>
      <w:r>
        <w:rPr>
          <w:color w:val="231F20"/>
          <w:vertAlign w:val="baseline"/>
        </w:rPr>
        <w:t>Bhat,</w:t>
      </w:r>
      <w:r>
        <w:rPr>
          <w:color w:val="231F20"/>
          <w:spacing w:val="2"/>
          <w:vertAlign w:val="baseline"/>
        </w:rPr>
        <w:t> </w:t>
      </w:r>
      <w:r>
        <w:rPr>
          <w:color w:val="231F20"/>
          <w:vertAlign w:val="baseline"/>
        </w:rPr>
        <w:t>A.,</w:t>
      </w:r>
      <w:r>
        <w:rPr>
          <w:color w:val="231F20"/>
          <w:spacing w:val="1"/>
          <w:vertAlign w:val="baseline"/>
        </w:rPr>
        <w:t> </w:t>
      </w:r>
      <w:r>
        <w:rPr>
          <w:color w:val="231F20"/>
          <w:vertAlign w:val="baseline"/>
        </w:rPr>
        <w:t>Barnello,</w:t>
      </w:r>
      <w:r>
        <w:rPr>
          <w:color w:val="231F20"/>
          <w:spacing w:val="1"/>
          <w:vertAlign w:val="baseline"/>
        </w:rPr>
        <w:t> </w:t>
      </w:r>
      <w:r>
        <w:rPr>
          <w:color w:val="231F20"/>
          <w:vertAlign w:val="baseline"/>
        </w:rPr>
        <w:t>J.,</w:t>
      </w:r>
      <w:r>
        <w:rPr>
          <w:color w:val="231F20"/>
          <w:spacing w:val="1"/>
          <w:vertAlign w:val="baseline"/>
        </w:rPr>
        <w:t> </w:t>
      </w:r>
      <w:r>
        <w:rPr>
          <w:color w:val="231F20"/>
          <w:vertAlign w:val="baseline"/>
        </w:rPr>
        <w:t>&amp;</w:t>
      </w:r>
      <w:r>
        <w:rPr>
          <w:color w:val="231F20"/>
          <w:spacing w:val="55"/>
          <w:vertAlign w:val="baseline"/>
        </w:rPr>
        <w:t> </w:t>
      </w:r>
      <w:r>
        <w:rPr>
          <w:color w:val="231F20"/>
          <w:vertAlign w:val="baseline"/>
        </w:rPr>
        <w:t>Castro,</w:t>
      </w:r>
      <w:r>
        <w:rPr>
          <w:color w:val="231F20"/>
          <w:spacing w:val="55"/>
          <w:vertAlign w:val="baseline"/>
        </w:rPr>
        <w:t> </w:t>
      </w:r>
      <w:r>
        <w:rPr>
          <w:color w:val="231F20"/>
          <w:vertAlign w:val="baseline"/>
        </w:rPr>
        <w:t>C. A.</w:t>
      </w:r>
      <w:r>
        <w:rPr>
          <w:color w:val="231F20"/>
          <w:spacing w:val="55"/>
          <w:vertAlign w:val="baseline"/>
        </w:rPr>
        <w:t> </w:t>
      </w:r>
      <w:r>
        <w:rPr>
          <w:color w:val="231F20"/>
          <w:vertAlign w:val="baseline"/>
        </w:rPr>
        <w:t>(2020).</w:t>
      </w:r>
      <w:r>
        <w:rPr>
          <w:color w:val="231F20"/>
          <w:spacing w:val="55"/>
          <w:vertAlign w:val="baseline"/>
        </w:rPr>
        <w:t> </w:t>
      </w:r>
      <w:r>
        <w:rPr>
          <w:color w:val="231F20"/>
          <w:vertAlign w:val="baseline"/>
        </w:rPr>
        <w:t>System-</w:t>
      </w:r>
      <w:r>
        <w:rPr>
          <w:color w:val="231F20"/>
          <w:spacing w:val="1"/>
          <w:vertAlign w:val="baseline"/>
        </w:rPr>
        <w:t> </w:t>
      </w:r>
      <w:r>
        <w:rPr>
          <w:color w:val="231F20"/>
          <w:vertAlign w:val="baseline"/>
        </w:rPr>
        <w:t>wide</w:t>
      </w:r>
      <w:r>
        <w:rPr>
          <w:color w:val="231F20"/>
          <w:spacing w:val="1"/>
          <w:vertAlign w:val="baseline"/>
        </w:rPr>
        <w:t> </w:t>
      </w:r>
      <w:r>
        <w:rPr>
          <w:color w:val="231F20"/>
          <w:vertAlign w:val="baseline"/>
        </w:rPr>
        <w:t>implementation</w:t>
      </w:r>
      <w:r>
        <w:rPr>
          <w:color w:val="231F20"/>
          <w:spacing w:val="1"/>
          <w:vertAlign w:val="baseline"/>
        </w:rPr>
        <w:t> </w:t>
      </w:r>
      <w:r>
        <w:rPr>
          <w:color w:val="231F20"/>
          <w:vertAlign w:val="baseline"/>
        </w:rPr>
        <w:t>of</w:t>
      </w:r>
      <w:r>
        <w:rPr>
          <w:color w:val="231F20"/>
          <w:spacing w:val="1"/>
          <w:vertAlign w:val="baseline"/>
        </w:rPr>
        <w:t> </w:t>
      </w:r>
      <w:r>
        <w:rPr>
          <w:color w:val="231F20"/>
          <w:vertAlign w:val="baseline"/>
        </w:rPr>
        <w:t>telehealth</w:t>
      </w:r>
      <w:r>
        <w:rPr>
          <w:color w:val="231F20"/>
          <w:spacing w:val="1"/>
          <w:vertAlign w:val="baseline"/>
        </w:rPr>
        <w:t> </w:t>
      </w:r>
      <w:r>
        <w:rPr>
          <w:color w:val="231F20"/>
          <w:vertAlign w:val="baseline"/>
        </w:rPr>
        <w:t>to</w:t>
      </w:r>
      <w:r>
        <w:rPr>
          <w:color w:val="231F20"/>
          <w:spacing w:val="1"/>
          <w:vertAlign w:val="baseline"/>
        </w:rPr>
        <w:t> </w:t>
      </w:r>
      <w:r>
        <w:rPr>
          <w:color w:val="231F20"/>
          <w:vertAlign w:val="baseline"/>
        </w:rPr>
        <w:t>support</w:t>
      </w:r>
      <w:r>
        <w:rPr>
          <w:color w:val="231F20"/>
          <w:spacing w:val="1"/>
          <w:vertAlign w:val="baseline"/>
        </w:rPr>
        <w:t> </w:t>
      </w:r>
      <w:r>
        <w:rPr>
          <w:color w:val="231F20"/>
          <w:vertAlign w:val="baseline"/>
        </w:rPr>
        <w:t>military</w:t>
      </w:r>
      <w:r>
        <w:rPr>
          <w:color w:val="231F20"/>
          <w:spacing w:val="22"/>
          <w:vertAlign w:val="baseline"/>
        </w:rPr>
        <w:t> </w:t>
      </w:r>
      <w:r>
        <w:rPr>
          <w:color w:val="231F20"/>
          <w:vertAlign w:val="baseline"/>
        </w:rPr>
        <w:t>veterans</w:t>
      </w:r>
      <w:r>
        <w:rPr>
          <w:color w:val="231F20"/>
          <w:spacing w:val="22"/>
          <w:vertAlign w:val="baseline"/>
        </w:rPr>
        <w:t> </w:t>
      </w:r>
      <w:r>
        <w:rPr>
          <w:color w:val="231F20"/>
          <w:vertAlign w:val="baseline"/>
        </w:rPr>
        <w:t>and</w:t>
      </w:r>
      <w:r>
        <w:rPr>
          <w:color w:val="231F20"/>
          <w:spacing w:val="23"/>
          <w:vertAlign w:val="baseline"/>
        </w:rPr>
        <w:t> </w:t>
      </w:r>
      <w:r>
        <w:rPr>
          <w:color w:val="231F20"/>
          <w:vertAlign w:val="baseline"/>
        </w:rPr>
        <w:t>their</w:t>
      </w:r>
      <w:r>
        <w:rPr>
          <w:color w:val="231F20"/>
          <w:spacing w:val="22"/>
          <w:vertAlign w:val="baseline"/>
        </w:rPr>
        <w:t> </w:t>
      </w:r>
      <w:r>
        <w:rPr>
          <w:color w:val="231F20"/>
          <w:vertAlign w:val="baseline"/>
        </w:rPr>
        <w:t>families</w:t>
      </w:r>
      <w:r>
        <w:rPr>
          <w:color w:val="231F20"/>
          <w:spacing w:val="22"/>
          <w:vertAlign w:val="baseline"/>
        </w:rPr>
        <w:t> </w:t>
      </w:r>
      <w:r>
        <w:rPr>
          <w:color w:val="231F20"/>
          <w:vertAlign w:val="baseline"/>
        </w:rPr>
        <w:t>in</w:t>
      </w:r>
      <w:r>
        <w:rPr>
          <w:color w:val="231F20"/>
          <w:spacing w:val="23"/>
          <w:vertAlign w:val="baseline"/>
        </w:rPr>
        <w:t> </w:t>
      </w:r>
      <w:r>
        <w:rPr>
          <w:color w:val="231F20"/>
          <w:vertAlign w:val="baseline"/>
        </w:rPr>
        <w:t>response</w:t>
      </w:r>
      <w:r>
        <w:rPr>
          <w:color w:val="231F20"/>
          <w:spacing w:val="22"/>
          <w:vertAlign w:val="baseline"/>
        </w:rPr>
        <w:t> </w:t>
      </w:r>
      <w:r>
        <w:rPr>
          <w:color w:val="231F20"/>
          <w:vertAlign w:val="baseline"/>
        </w:rPr>
        <w:t>to</w:t>
      </w:r>
      <w:r>
        <w:rPr>
          <w:color w:val="231F20"/>
          <w:spacing w:val="1"/>
          <w:vertAlign w:val="baseline"/>
        </w:rPr>
        <w:t> </w:t>
      </w:r>
      <w:r>
        <w:rPr>
          <w:color w:val="231F20"/>
          <w:vertAlign w:val="baseline"/>
        </w:rPr>
        <w:t>COVID-19:</w:t>
      </w:r>
      <w:r>
        <w:rPr>
          <w:color w:val="231F20"/>
          <w:spacing w:val="7"/>
          <w:vertAlign w:val="baseline"/>
        </w:rPr>
        <w:t> </w:t>
      </w:r>
      <w:r>
        <w:rPr>
          <w:color w:val="231F20"/>
          <w:vertAlign w:val="baseline"/>
        </w:rPr>
        <w:t>A</w:t>
      </w:r>
      <w:r>
        <w:rPr>
          <w:color w:val="231F20"/>
          <w:spacing w:val="8"/>
          <w:vertAlign w:val="baseline"/>
        </w:rPr>
        <w:t> </w:t>
      </w:r>
      <w:r>
        <w:rPr>
          <w:color w:val="231F20"/>
          <w:vertAlign w:val="baseline"/>
        </w:rPr>
        <w:t>paradigm</w:t>
      </w:r>
      <w:r>
        <w:rPr>
          <w:color w:val="231F20"/>
          <w:spacing w:val="23"/>
          <w:vertAlign w:val="baseline"/>
        </w:rPr>
        <w:t> </w:t>
      </w:r>
      <w:r>
        <w:rPr>
          <w:color w:val="231F20"/>
          <w:vertAlign w:val="baseline"/>
        </w:rPr>
        <w:t>shift.</w:t>
      </w:r>
      <w:r>
        <w:rPr>
          <w:color w:val="231F20"/>
          <w:spacing w:val="25"/>
          <w:vertAlign w:val="baseline"/>
        </w:rPr>
        <w:t> </w:t>
      </w:r>
      <w:r>
        <w:rPr>
          <w:i/>
          <w:color w:val="231F20"/>
          <w:vertAlign w:val="baseline"/>
        </w:rPr>
        <w:t>Journal</w:t>
      </w:r>
      <w:r>
        <w:rPr>
          <w:i/>
          <w:color w:val="231F20"/>
          <w:spacing w:val="23"/>
          <w:vertAlign w:val="baseline"/>
        </w:rPr>
        <w:t> </w:t>
      </w:r>
      <w:r>
        <w:rPr>
          <w:i/>
          <w:color w:val="231F20"/>
          <w:vertAlign w:val="baseline"/>
        </w:rPr>
        <w:t>of</w:t>
      </w:r>
      <w:r>
        <w:rPr>
          <w:i/>
          <w:color w:val="231F20"/>
          <w:spacing w:val="23"/>
          <w:vertAlign w:val="baseline"/>
        </w:rPr>
        <w:t> </w:t>
      </w:r>
      <w:r>
        <w:rPr>
          <w:i/>
          <w:color w:val="231F20"/>
          <w:vertAlign w:val="baseline"/>
        </w:rPr>
        <w:t>Military,</w:t>
      </w:r>
      <w:r>
        <w:rPr>
          <w:i/>
          <w:color w:val="231F20"/>
          <w:spacing w:val="-52"/>
          <w:vertAlign w:val="baseline"/>
        </w:rPr>
        <w:t> </w:t>
      </w:r>
      <w:r>
        <w:rPr>
          <w:i/>
          <w:color w:val="231F20"/>
          <w:vertAlign w:val="baseline"/>
        </w:rPr>
        <w:t>Veteran</w:t>
      </w:r>
      <w:r>
        <w:rPr>
          <w:i/>
          <w:color w:val="231F20"/>
          <w:spacing w:val="14"/>
          <w:vertAlign w:val="baseline"/>
        </w:rPr>
        <w:t> </w:t>
      </w:r>
      <w:r>
        <w:rPr>
          <w:i/>
          <w:color w:val="231F20"/>
          <w:vertAlign w:val="baseline"/>
        </w:rPr>
        <w:t>and</w:t>
      </w:r>
      <w:r>
        <w:rPr>
          <w:i/>
          <w:color w:val="231F20"/>
          <w:spacing w:val="15"/>
          <w:vertAlign w:val="baseline"/>
        </w:rPr>
        <w:t> </w:t>
      </w:r>
      <w:r>
        <w:rPr>
          <w:i/>
          <w:color w:val="231F20"/>
          <w:vertAlign w:val="baseline"/>
        </w:rPr>
        <w:t>Family</w:t>
      </w:r>
      <w:r>
        <w:rPr>
          <w:i/>
          <w:color w:val="231F20"/>
          <w:spacing w:val="15"/>
          <w:vertAlign w:val="baseline"/>
        </w:rPr>
        <w:t> </w:t>
      </w:r>
      <w:r>
        <w:rPr>
          <w:i/>
          <w:color w:val="231F20"/>
          <w:vertAlign w:val="baseline"/>
        </w:rPr>
        <w:t>Health</w:t>
      </w:r>
      <w:r>
        <w:rPr>
          <w:color w:val="231F20"/>
          <w:vertAlign w:val="baseline"/>
        </w:rPr>
        <w:t>,</w:t>
      </w:r>
      <w:r>
        <w:rPr>
          <w:color w:val="231F20"/>
          <w:spacing w:val="2"/>
          <w:vertAlign w:val="baseline"/>
        </w:rPr>
        <w:t> </w:t>
      </w:r>
      <w:r>
        <w:rPr>
          <w:color w:val="231F20"/>
          <w:vertAlign w:val="baseline"/>
        </w:rPr>
        <w:t>Author’s</w:t>
      </w:r>
      <w:r>
        <w:rPr>
          <w:color w:val="231F20"/>
          <w:spacing w:val="15"/>
          <w:vertAlign w:val="baseline"/>
        </w:rPr>
        <w:t> </w:t>
      </w:r>
      <w:r>
        <w:rPr>
          <w:color w:val="231F20"/>
          <w:vertAlign w:val="baseline"/>
        </w:rPr>
        <w:t>original,</w:t>
      </w:r>
      <w:r>
        <w:rPr>
          <w:color w:val="231F20"/>
          <w:spacing w:val="1"/>
          <w:vertAlign w:val="baseline"/>
        </w:rPr>
        <w:t> </w:t>
      </w:r>
      <w:r>
        <w:rPr>
          <w:color w:val="231F20"/>
          <w:vertAlign w:val="baseline"/>
        </w:rPr>
        <w:t>CO19003.</w:t>
      </w:r>
      <w:r>
        <w:rPr>
          <w:color w:val="231F20"/>
          <w:spacing w:val="1"/>
          <w:vertAlign w:val="baseline"/>
        </w:rPr>
        <w:t> </w:t>
      </w:r>
      <w:hyperlink r:id="rId91">
        <w:r>
          <w:rPr>
            <w:color w:val="3953A4"/>
            <w:u w:val="single" w:color="3953A4"/>
            <w:vertAlign w:val="baseline"/>
          </w:rPr>
          <w:t>https://doi.org/10.3138/jmvfh-6.s2-</w:t>
        </w:r>
      </w:hyperlink>
      <w:r>
        <w:rPr>
          <w:color w:val="3953A4"/>
          <w:spacing w:val="1"/>
          <w:vertAlign w:val="baseline"/>
        </w:rPr>
        <w:t> </w:t>
      </w:r>
      <w:hyperlink r:id="rId91">
        <w:r>
          <w:rPr>
            <w:color w:val="3953A4"/>
            <w:u w:val="single" w:color="3953A4"/>
            <w:vertAlign w:val="baseline"/>
          </w:rPr>
          <w:t>CO19-0003</w:t>
        </w:r>
      </w:hyperlink>
    </w:p>
    <w:p>
      <w:pPr>
        <w:spacing w:line="228" w:lineRule="auto" w:before="87"/>
        <w:ind w:left="480" w:right="858" w:hanging="360"/>
        <w:jc w:val="both"/>
        <w:rPr>
          <w:sz w:val="22"/>
        </w:rPr>
      </w:pPr>
      <w:r>
        <w:rPr>
          <w:color w:val="231F20"/>
          <w:sz w:val="22"/>
          <w:vertAlign w:val="superscript"/>
        </w:rPr>
        <w:t>74</w:t>
      </w:r>
      <w:r>
        <w:rPr>
          <w:color w:val="231F20"/>
          <w:sz w:val="22"/>
          <w:vertAlign w:val="baseline"/>
        </w:rPr>
        <w:t>    Anderson, M., Perrin, A., &amp; Jiang, J. (2019). </w:t>
      </w:r>
      <w:r>
        <w:rPr>
          <w:i/>
          <w:color w:val="231F20"/>
          <w:sz w:val="22"/>
          <w:vertAlign w:val="baseline"/>
        </w:rPr>
        <w:t>10%</w:t>
      </w:r>
      <w:r>
        <w:rPr>
          <w:i/>
          <w:color w:val="231F20"/>
          <w:spacing w:val="1"/>
          <w:sz w:val="22"/>
          <w:vertAlign w:val="baseline"/>
        </w:rPr>
        <w:t> </w:t>
      </w:r>
      <w:r>
        <w:rPr>
          <w:i/>
          <w:color w:val="231F20"/>
          <w:sz w:val="22"/>
          <w:vertAlign w:val="baseline"/>
        </w:rPr>
        <w:t>of Americans don’t use the internet: Who are they</w:t>
      </w:r>
      <w:r>
        <w:rPr>
          <w:color w:val="231F20"/>
          <w:sz w:val="22"/>
          <w:vertAlign w:val="baseline"/>
        </w:rPr>
        <w:t>.</w:t>
      </w:r>
      <w:r>
        <w:rPr>
          <w:color w:val="231F20"/>
          <w:spacing w:val="1"/>
          <w:sz w:val="22"/>
          <w:vertAlign w:val="baseline"/>
        </w:rPr>
        <w:t> </w:t>
      </w:r>
      <w:hyperlink r:id="rId92">
        <w:r>
          <w:rPr>
            <w:color w:val="3953A4"/>
            <w:spacing w:val="-1"/>
            <w:sz w:val="22"/>
            <w:u w:val="single" w:color="3953A4"/>
            <w:vertAlign w:val="baseline"/>
          </w:rPr>
          <w:t>https://www.pewresearch.org/fact-tank/2019/04/22/</w:t>
        </w:r>
      </w:hyperlink>
    </w:p>
    <w:p>
      <w:pPr>
        <w:pStyle w:val="BodyText"/>
        <w:spacing w:line="242" w:lineRule="exact"/>
        <w:ind w:left="480"/>
      </w:pPr>
      <w:hyperlink r:id="rId92">
        <w:r>
          <w:rPr>
            <w:color w:val="3953A4"/>
            <w:u w:val="single" w:color="3953A4"/>
          </w:rPr>
          <w:t>some-americans-dont-use-the-internet-who-are-they/</w:t>
        </w:r>
      </w:hyperlink>
    </w:p>
    <w:p>
      <w:pPr>
        <w:pStyle w:val="BodyText"/>
        <w:tabs>
          <w:tab w:pos="479" w:val="left" w:leader="none"/>
        </w:tabs>
        <w:spacing w:line="228" w:lineRule="auto" w:before="87"/>
        <w:ind w:left="480" w:right="795" w:hanging="360"/>
      </w:pPr>
      <w:r>
        <w:rPr>
          <w:color w:val="231F20"/>
          <w:vertAlign w:val="superscript"/>
        </w:rPr>
        <w:t>75</w:t>
      </w:r>
      <w:r>
        <w:rPr>
          <w:color w:val="231F20"/>
          <w:vertAlign w:val="baseline"/>
        </w:rPr>
        <w:tab/>
        <w:t>Anderson, M. (2018). About a quarter of rural</w:t>
      </w:r>
      <w:r>
        <w:rPr>
          <w:color w:val="231F20"/>
          <w:spacing w:val="1"/>
          <w:vertAlign w:val="baseline"/>
        </w:rPr>
        <w:t> </w:t>
      </w:r>
      <w:r>
        <w:rPr>
          <w:color w:val="231F20"/>
          <w:vertAlign w:val="baseline"/>
        </w:rPr>
        <w:t>Americans say access to high-speed internet is a</w:t>
      </w:r>
      <w:r>
        <w:rPr>
          <w:color w:val="231F20"/>
          <w:spacing w:val="1"/>
          <w:vertAlign w:val="baseline"/>
        </w:rPr>
        <w:t> </w:t>
      </w:r>
      <w:r>
        <w:rPr>
          <w:color w:val="231F20"/>
          <w:vertAlign w:val="baseline"/>
        </w:rPr>
        <w:t>major problem. </w:t>
      </w:r>
      <w:r>
        <w:rPr>
          <w:i/>
          <w:color w:val="231F20"/>
          <w:vertAlign w:val="baseline"/>
        </w:rPr>
        <w:t>Pew Research Center</w:t>
      </w:r>
      <w:r>
        <w:rPr>
          <w:color w:val="231F20"/>
          <w:vertAlign w:val="baseline"/>
        </w:rPr>
        <w:t>. </w:t>
      </w:r>
      <w:hyperlink r:id="rId93">
        <w:r>
          <w:rPr>
            <w:color w:val="3953A4"/>
            <w:u w:val="single" w:color="3953A4"/>
            <w:vertAlign w:val="baseline"/>
          </w:rPr>
          <w:t>https://www.</w:t>
        </w:r>
      </w:hyperlink>
      <w:r>
        <w:rPr>
          <w:color w:val="3953A4"/>
          <w:spacing w:val="-52"/>
          <w:vertAlign w:val="baseline"/>
        </w:rPr>
        <w:t> </w:t>
      </w:r>
      <w:hyperlink r:id="rId93">
        <w:r>
          <w:rPr>
            <w:color w:val="3953A4"/>
            <w:spacing w:val="-1"/>
            <w:u w:val="single" w:color="3953A4"/>
            <w:vertAlign w:val="baseline"/>
          </w:rPr>
          <w:t>benton.org/headlines/about-quarter-rural-americans-</w:t>
        </w:r>
      </w:hyperlink>
      <w:r>
        <w:rPr>
          <w:color w:val="3953A4"/>
          <w:spacing w:val="-52"/>
          <w:vertAlign w:val="baseline"/>
        </w:rPr>
        <w:t> </w:t>
      </w:r>
      <w:hyperlink r:id="rId93">
        <w:r>
          <w:rPr>
            <w:color w:val="3953A4"/>
            <w:u w:val="single" w:color="3953A4"/>
            <w:vertAlign w:val="baseline"/>
          </w:rPr>
          <w:t>say-access-high-speed-internet-major-problem</w:t>
        </w:r>
      </w:hyperlink>
    </w:p>
    <w:p>
      <w:pPr>
        <w:spacing w:after="0" w:line="228" w:lineRule="auto"/>
        <w:sectPr>
          <w:type w:val="continuous"/>
          <w:pgSz w:w="12240" w:h="15840"/>
          <w:pgMar w:header="0" w:footer="666" w:top="1500" w:bottom="0" w:left="600" w:right="0"/>
          <w:cols w:num="2" w:equalWidth="0">
            <w:col w:w="5187" w:space="573"/>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tabs>
          <w:tab w:pos="479" w:val="left" w:leader="none"/>
        </w:tabs>
        <w:spacing w:line="228" w:lineRule="auto" w:before="101"/>
        <w:ind w:left="480" w:right="97" w:hanging="360"/>
      </w:pPr>
      <w:r>
        <w:rPr>
          <w:color w:val="231F20"/>
          <w:vertAlign w:val="superscript"/>
        </w:rPr>
        <w:t>76</w:t>
      </w:r>
      <w:r>
        <w:rPr>
          <w:color w:val="231F20"/>
          <w:vertAlign w:val="baseline"/>
        </w:rPr>
        <w:tab/>
      </w:r>
      <w:r>
        <w:rPr>
          <w:color w:val="231F20"/>
          <w:spacing w:val="-1"/>
          <w:vertAlign w:val="baseline"/>
        </w:rPr>
        <w:t>Perrin, A., &amp; Turner, </w:t>
      </w:r>
      <w:r>
        <w:rPr>
          <w:color w:val="231F20"/>
          <w:vertAlign w:val="baseline"/>
        </w:rPr>
        <w:t>E. (2019). Smartphones help</w:t>
      </w:r>
      <w:r>
        <w:rPr>
          <w:color w:val="231F20"/>
          <w:spacing w:val="1"/>
          <w:vertAlign w:val="baseline"/>
        </w:rPr>
        <w:t> </w:t>
      </w:r>
      <w:r>
        <w:rPr>
          <w:color w:val="231F20"/>
          <w:vertAlign w:val="baseline"/>
        </w:rPr>
        <w:t>blacks, Hispanics bridge some – but not all – digital</w:t>
      </w:r>
      <w:r>
        <w:rPr>
          <w:color w:val="231F20"/>
          <w:spacing w:val="-53"/>
          <w:vertAlign w:val="baseline"/>
        </w:rPr>
        <w:t> </w:t>
      </w:r>
      <w:r>
        <w:rPr>
          <w:color w:val="231F20"/>
          <w:vertAlign w:val="baseline"/>
        </w:rPr>
        <w:t>gaps with whites. </w:t>
      </w:r>
      <w:r>
        <w:rPr>
          <w:i/>
          <w:color w:val="231F20"/>
          <w:vertAlign w:val="baseline"/>
        </w:rPr>
        <w:t>FactTank: News in the Numbers</w:t>
      </w:r>
      <w:r>
        <w:rPr>
          <w:color w:val="231F20"/>
          <w:vertAlign w:val="baseline"/>
        </w:rPr>
        <w:t>.</w:t>
      </w:r>
      <w:r>
        <w:rPr>
          <w:color w:val="231F20"/>
          <w:spacing w:val="1"/>
          <w:vertAlign w:val="baseline"/>
        </w:rPr>
        <w:t> </w:t>
      </w:r>
      <w:hyperlink r:id="rId94">
        <w:r>
          <w:rPr>
            <w:color w:val="3953A4"/>
            <w:u w:val="single" w:color="3953A4"/>
            <w:vertAlign w:val="baseline"/>
          </w:rPr>
          <w:t>https://www.pewresearch.org/fact-tank/2019/08/20/</w:t>
        </w:r>
      </w:hyperlink>
      <w:r>
        <w:rPr>
          <w:color w:val="3953A4"/>
          <w:spacing w:val="-52"/>
          <w:vertAlign w:val="baseline"/>
        </w:rPr>
        <w:t> </w:t>
      </w:r>
      <w:hyperlink r:id="rId94">
        <w:r>
          <w:rPr>
            <w:color w:val="3953A4"/>
            <w:u w:val="single" w:color="3953A4"/>
            <w:vertAlign w:val="baseline"/>
          </w:rPr>
          <w:t>smartphones-help-blacks-hispanics-bridge-some-</w:t>
        </w:r>
      </w:hyperlink>
      <w:r>
        <w:rPr>
          <w:color w:val="3953A4"/>
          <w:spacing w:val="1"/>
          <w:vertAlign w:val="baseline"/>
        </w:rPr>
        <w:t> </w:t>
      </w:r>
      <w:hyperlink r:id="rId94">
        <w:r>
          <w:rPr>
            <w:color w:val="3953A4"/>
            <w:u w:val="single" w:color="3953A4"/>
            <w:vertAlign w:val="baseline"/>
          </w:rPr>
          <w:t>but-not-all-digital-gaps-with-whites/</w:t>
        </w:r>
      </w:hyperlink>
    </w:p>
    <w:p>
      <w:pPr>
        <w:pStyle w:val="BodyText"/>
        <w:tabs>
          <w:tab w:pos="479" w:val="left" w:leader="none"/>
        </w:tabs>
        <w:spacing w:line="228" w:lineRule="auto" w:before="88"/>
        <w:ind w:left="480" w:right="42" w:hanging="360"/>
      </w:pPr>
      <w:r>
        <w:rPr>
          <w:color w:val="231F20"/>
          <w:vertAlign w:val="superscript"/>
        </w:rPr>
        <w:t>77</w:t>
      </w:r>
      <w:r>
        <w:rPr>
          <w:color w:val="231F20"/>
          <w:vertAlign w:val="baseline"/>
        </w:rPr>
        <w:tab/>
      </w:r>
      <w:r>
        <w:rPr>
          <w:color w:val="231F20"/>
          <w:spacing w:val="-4"/>
          <w:vertAlign w:val="baseline"/>
        </w:rPr>
        <w:t>Morland, L. A., Mackintosh, </w:t>
      </w:r>
      <w:r>
        <w:rPr>
          <w:color w:val="231F20"/>
          <w:spacing w:val="-3"/>
          <w:vertAlign w:val="baseline"/>
        </w:rPr>
        <w:t>M.-A., Greene, C. J.,</w:t>
      </w:r>
      <w:r>
        <w:rPr>
          <w:color w:val="231F20"/>
          <w:spacing w:val="-2"/>
          <w:vertAlign w:val="baseline"/>
        </w:rPr>
        <w:t> </w:t>
      </w:r>
      <w:r>
        <w:rPr>
          <w:color w:val="231F20"/>
          <w:spacing w:val="-3"/>
          <w:vertAlign w:val="baseline"/>
        </w:rPr>
        <w:t>Rosen,</w:t>
      </w:r>
      <w:r>
        <w:rPr>
          <w:color w:val="231F20"/>
          <w:spacing w:val="-11"/>
          <w:vertAlign w:val="baseline"/>
        </w:rPr>
        <w:t> </w:t>
      </w:r>
      <w:r>
        <w:rPr>
          <w:color w:val="231F20"/>
          <w:spacing w:val="-3"/>
          <w:vertAlign w:val="baseline"/>
        </w:rPr>
        <w:t>C.</w:t>
      </w:r>
      <w:r>
        <w:rPr>
          <w:color w:val="231F20"/>
          <w:spacing w:val="-11"/>
          <w:vertAlign w:val="baseline"/>
        </w:rPr>
        <w:t> </w:t>
      </w:r>
      <w:r>
        <w:rPr>
          <w:color w:val="231F20"/>
          <w:spacing w:val="-3"/>
          <w:vertAlign w:val="baseline"/>
        </w:rPr>
        <w:t>S.,</w:t>
      </w:r>
      <w:r>
        <w:rPr>
          <w:color w:val="231F20"/>
          <w:spacing w:val="-11"/>
          <w:vertAlign w:val="baseline"/>
        </w:rPr>
        <w:t> </w:t>
      </w:r>
      <w:r>
        <w:rPr>
          <w:color w:val="231F20"/>
          <w:spacing w:val="-3"/>
          <w:vertAlign w:val="baseline"/>
        </w:rPr>
        <w:t>Chard,</w:t>
      </w:r>
      <w:r>
        <w:rPr>
          <w:color w:val="231F20"/>
          <w:spacing w:val="-10"/>
          <w:vertAlign w:val="baseline"/>
        </w:rPr>
        <w:t> </w:t>
      </w:r>
      <w:r>
        <w:rPr>
          <w:color w:val="231F20"/>
          <w:spacing w:val="-3"/>
          <w:vertAlign w:val="baseline"/>
        </w:rPr>
        <w:t>K.</w:t>
      </w:r>
      <w:r>
        <w:rPr>
          <w:color w:val="231F20"/>
          <w:spacing w:val="-11"/>
          <w:vertAlign w:val="baseline"/>
        </w:rPr>
        <w:t> </w:t>
      </w:r>
      <w:r>
        <w:rPr>
          <w:color w:val="231F20"/>
          <w:spacing w:val="-3"/>
          <w:vertAlign w:val="baseline"/>
        </w:rPr>
        <w:t>M.,</w:t>
      </w:r>
      <w:r>
        <w:rPr>
          <w:color w:val="231F20"/>
          <w:spacing w:val="-11"/>
          <w:vertAlign w:val="baseline"/>
        </w:rPr>
        <w:t> </w:t>
      </w:r>
      <w:r>
        <w:rPr>
          <w:color w:val="231F20"/>
          <w:spacing w:val="-3"/>
          <w:vertAlign w:val="baseline"/>
        </w:rPr>
        <w:t>Resick,</w:t>
      </w:r>
      <w:r>
        <w:rPr>
          <w:color w:val="231F20"/>
          <w:spacing w:val="-10"/>
          <w:vertAlign w:val="baseline"/>
        </w:rPr>
        <w:t> </w:t>
      </w:r>
      <w:r>
        <w:rPr>
          <w:color w:val="231F20"/>
          <w:spacing w:val="-3"/>
          <w:vertAlign w:val="baseline"/>
        </w:rPr>
        <w:t>P.,</w:t>
      </w:r>
      <w:r>
        <w:rPr>
          <w:color w:val="231F20"/>
          <w:spacing w:val="-11"/>
          <w:vertAlign w:val="baseline"/>
        </w:rPr>
        <w:t> </w:t>
      </w:r>
      <w:r>
        <w:rPr>
          <w:color w:val="231F20"/>
          <w:spacing w:val="-3"/>
          <w:vertAlign w:val="baseline"/>
        </w:rPr>
        <w:t>&amp;</w:t>
      </w:r>
      <w:r>
        <w:rPr>
          <w:color w:val="231F20"/>
          <w:spacing w:val="-11"/>
          <w:vertAlign w:val="baseline"/>
        </w:rPr>
        <w:t> </w:t>
      </w:r>
      <w:r>
        <w:rPr>
          <w:color w:val="231F20"/>
          <w:spacing w:val="-2"/>
          <w:vertAlign w:val="baseline"/>
        </w:rPr>
        <w:t>Frueh,</w:t>
      </w:r>
      <w:r>
        <w:rPr>
          <w:color w:val="231F20"/>
          <w:spacing w:val="-10"/>
          <w:vertAlign w:val="baseline"/>
        </w:rPr>
        <w:t> </w:t>
      </w:r>
      <w:r>
        <w:rPr>
          <w:color w:val="231F20"/>
          <w:spacing w:val="-2"/>
          <w:vertAlign w:val="baseline"/>
        </w:rPr>
        <w:t>B.</w:t>
      </w:r>
      <w:r>
        <w:rPr>
          <w:color w:val="231F20"/>
          <w:spacing w:val="-11"/>
          <w:vertAlign w:val="baseline"/>
        </w:rPr>
        <w:t> </w:t>
      </w:r>
      <w:r>
        <w:rPr>
          <w:color w:val="231F20"/>
          <w:spacing w:val="-2"/>
          <w:vertAlign w:val="baseline"/>
        </w:rPr>
        <w:t>C.</w:t>
      </w:r>
      <w:r>
        <w:rPr>
          <w:color w:val="231F20"/>
          <w:spacing w:val="-1"/>
          <w:vertAlign w:val="baseline"/>
        </w:rPr>
        <w:t> </w:t>
      </w:r>
      <w:r>
        <w:rPr>
          <w:color w:val="231F20"/>
          <w:spacing w:val="-4"/>
          <w:vertAlign w:val="baseline"/>
        </w:rPr>
        <w:t>(2014).</w:t>
      </w:r>
      <w:r>
        <w:rPr>
          <w:color w:val="231F20"/>
          <w:spacing w:val="-10"/>
          <w:vertAlign w:val="baseline"/>
        </w:rPr>
        <w:t> </w:t>
      </w:r>
      <w:r>
        <w:rPr>
          <w:color w:val="231F20"/>
          <w:spacing w:val="-4"/>
          <w:vertAlign w:val="baseline"/>
        </w:rPr>
        <w:t>Cognitive</w:t>
      </w:r>
      <w:r>
        <w:rPr>
          <w:color w:val="231F20"/>
          <w:spacing w:val="-9"/>
          <w:vertAlign w:val="baseline"/>
        </w:rPr>
        <w:t> </w:t>
      </w:r>
      <w:r>
        <w:rPr>
          <w:color w:val="231F20"/>
          <w:spacing w:val="-4"/>
          <w:vertAlign w:val="baseline"/>
        </w:rPr>
        <w:t>processing</w:t>
      </w:r>
      <w:r>
        <w:rPr>
          <w:color w:val="231F20"/>
          <w:spacing w:val="-10"/>
          <w:vertAlign w:val="baseline"/>
        </w:rPr>
        <w:t> </w:t>
      </w:r>
      <w:r>
        <w:rPr>
          <w:color w:val="231F20"/>
          <w:spacing w:val="-4"/>
          <w:vertAlign w:val="baseline"/>
        </w:rPr>
        <w:t>therapy</w:t>
      </w:r>
      <w:r>
        <w:rPr>
          <w:color w:val="231F20"/>
          <w:spacing w:val="-9"/>
          <w:vertAlign w:val="baseline"/>
        </w:rPr>
        <w:t> </w:t>
      </w:r>
      <w:r>
        <w:rPr>
          <w:color w:val="231F20"/>
          <w:spacing w:val="-4"/>
          <w:vertAlign w:val="baseline"/>
        </w:rPr>
        <w:t>for</w:t>
      </w:r>
      <w:r>
        <w:rPr>
          <w:color w:val="231F20"/>
          <w:spacing w:val="-10"/>
          <w:vertAlign w:val="baseline"/>
        </w:rPr>
        <w:t> </w:t>
      </w:r>
      <w:r>
        <w:rPr>
          <w:color w:val="231F20"/>
          <w:spacing w:val="-3"/>
          <w:vertAlign w:val="baseline"/>
        </w:rPr>
        <w:t>posttraumatic</w:t>
      </w:r>
      <w:r>
        <w:rPr>
          <w:color w:val="231F20"/>
          <w:spacing w:val="-52"/>
          <w:vertAlign w:val="baseline"/>
        </w:rPr>
        <w:t> </w:t>
      </w:r>
      <w:r>
        <w:rPr>
          <w:color w:val="231F20"/>
          <w:vertAlign w:val="baseline"/>
        </w:rPr>
        <w:t>stress disorder delivered to rural veterans via</w:t>
      </w:r>
      <w:r>
        <w:rPr>
          <w:color w:val="231F20"/>
          <w:spacing w:val="1"/>
          <w:vertAlign w:val="baseline"/>
        </w:rPr>
        <w:t> </w:t>
      </w:r>
      <w:r>
        <w:rPr>
          <w:color w:val="231F20"/>
          <w:spacing w:val="-4"/>
          <w:vertAlign w:val="baseline"/>
        </w:rPr>
        <w:t>telemental</w:t>
      </w:r>
      <w:r>
        <w:rPr>
          <w:color w:val="231F20"/>
          <w:spacing w:val="-6"/>
          <w:vertAlign w:val="baseline"/>
        </w:rPr>
        <w:t> </w:t>
      </w:r>
      <w:r>
        <w:rPr>
          <w:color w:val="231F20"/>
          <w:spacing w:val="-4"/>
          <w:vertAlign w:val="baseline"/>
        </w:rPr>
        <w:t>health:</w:t>
      </w:r>
      <w:r>
        <w:rPr>
          <w:color w:val="231F20"/>
          <w:spacing w:val="-19"/>
          <w:vertAlign w:val="baseline"/>
        </w:rPr>
        <w:t> </w:t>
      </w:r>
      <w:r>
        <w:rPr>
          <w:color w:val="231F20"/>
          <w:spacing w:val="-4"/>
          <w:vertAlign w:val="baseline"/>
        </w:rPr>
        <w:t>A</w:t>
      </w:r>
      <w:r>
        <w:rPr>
          <w:color w:val="231F20"/>
          <w:spacing w:val="-19"/>
          <w:vertAlign w:val="baseline"/>
        </w:rPr>
        <w:t> </w:t>
      </w:r>
      <w:r>
        <w:rPr>
          <w:color w:val="231F20"/>
          <w:spacing w:val="-4"/>
          <w:vertAlign w:val="baseline"/>
        </w:rPr>
        <w:t>randomized</w:t>
      </w:r>
      <w:r>
        <w:rPr>
          <w:color w:val="231F20"/>
          <w:spacing w:val="-6"/>
          <w:vertAlign w:val="baseline"/>
        </w:rPr>
        <w:t> </w:t>
      </w:r>
      <w:r>
        <w:rPr>
          <w:color w:val="231F20"/>
          <w:spacing w:val="-4"/>
          <w:vertAlign w:val="baseline"/>
        </w:rPr>
        <w:t>noninferiority</w:t>
      </w:r>
      <w:r>
        <w:rPr>
          <w:color w:val="231F20"/>
          <w:spacing w:val="-5"/>
          <w:vertAlign w:val="baseline"/>
        </w:rPr>
        <w:t> </w:t>
      </w:r>
      <w:r>
        <w:rPr>
          <w:color w:val="231F20"/>
          <w:spacing w:val="-3"/>
          <w:vertAlign w:val="baseline"/>
        </w:rPr>
        <w:t>clinical</w:t>
      </w:r>
      <w:r>
        <w:rPr>
          <w:color w:val="231F20"/>
          <w:spacing w:val="-52"/>
          <w:vertAlign w:val="baseline"/>
        </w:rPr>
        <w:t> </w:t>
      </w:r>
      <w:r>
        <w:rPr>
          <w:color w:val="231F20"/>
          <w:spacing w:val="-4"/>
          <w:vertAlign w:val="baseline"/>
        </w:rPr>
        <w:t>trial. </w:t>
      </w:r>
      <w:r>
        <w:rPr>
          <w:i/>
          <w:color w:val="231F20"/>
          <w:spacing w:val="-4"/>
          <w:vertAlign w:val="baseline"/>
        </w:rPr>
        <w:t>Journal of Clinical Psychiatry, </w:t>
      </w:r>
      <w:r>
        <w:rPr>
          <w:i/>
          <w:color w:val="231F20"/>
          <w:spacing w:val="-3"/>
          <w:vertAlign w:val="baseline"/>
        </w:rPr>
        <w:t>75</w:t>
      </w:r>
      <w:r>
        <w:rPr>
          <w:color w:val="231F20"/>
          <w:spacing w:val="-3"/>
          <w:vertAlign w:val="baseline"/>
        </w:rPr>
        <w:t>(5), 470-476.</w:t>
      </w:r>
      <w:r>
        <w:rPr>
          <w:color w:val="231F20"/>
          <w:spacing w:val="-2"/>
          <w:vertAlign w:val="baseline"/>
        </w:rPr>
        <w:t> </w:t>
      </w:r>
      <w:hyperlink r:id="rId95">
        <w:r>
          <w:rPr>
            <w:color w:val="3953A4"/>
            <w:u w:val="single" w:color="3953A4"/>
            <w:vertAlign w:val="baseline"/>
          </w:rPr>
          <w:t>https://doi.org/10.4088/JCP.13m08842</w:t>
        </w:r>
      </w:hyperlink>
    </w:p>
    <w:p>
      <w:pPr>
        <w:pStyle w:val="BodyText"/>
        <w:tabs>
          <w:tab w:pos="479" w:val="left" w:leader="none"/>
        </w:tabs>
        <w:spacing w:line="246" w:lineRule="exact" w:before="78"/>
        <w:ind w:left="120"/>
      </w:pPr>
      <w:r>
        <w:rPr>
          <w:color w:val="231F20"/>
          <w:vertAlign w:val="superscript"/>
        </w:rPr>
        <w:t>78</w:t>
      </w:r>
      <w:r>
        <w:rPr>
          <w:color w:val="231F20"/>
          <w:vertAlign w:val="baseline"/>
        </w:rPr>
        <w:tab/>
        <w:t>Choi,</w:t>
      </w:r>
      <w:r>
        <w:rPr>
          <w:color w:val="231F20"/>
          <w:spacing w:val="-2"/>
          <w:vertAlign w:val="baseline"/>
        </w:rPr>
        <w:t> </w:t>
      </w:r>
      <w:r>
        <w:rPr>
          <w:color w:val="231F20"/>
          <w:vertAlign w:val="baseline"/>
        </w:rPr>
        <w:t>N.</w:t>
      </w:r>
      <w:r>
        <w:rPr>
          <w:color w:val="231F20"/>
          <w:spacing w:val="-2"/>
          <w:vertAlign w:val="baseline"/>
        </w:rPr>
        <w:t> </w:t>
      </w:r>
      <w:r>
        <w:rPr>
          <w:color w:val="231F20"/>
          <w:vertAlign w:val="baseline"/>
        </w:rPr>
        <w:t>G.,</w:t>
      </w:r>
      <w:r>
        <w:rPr>
          <w:color w:val="231F20"/>
          <w:spacing w:val="-2"/>
          <w:vertAlign w:val="baseline"/>
        </w:rPr>
        <w:t> </w:t>
      </w:r>
      <w:r>
        <w:rPr>
          <w:color w:val="231F20"/>
          <w:vertAlign w:val="baseline"/>
        </w:rPr>
        <w:t>Hegel,</w:t>
      </w:r>
      <w:r>
        <w:rPr>
          <w:color w:val="231F20"/>
          <w:spacing w:val="-1"/>
          <w:vertAlign w:val="baseline"/>
        </w:rPr>
        <w:t> </w:t>
      </w:r>
      <w:r>
        <w:rPr>
          <w:color w:val="231F20"/>
          <w:vertAlign w:val="baseline"/>
        </w:rPr>
        <w:t>M.</w:t>
      </w:r>
      <w:r>
        <w:rPr>
          <w:color w:val="231F20"/>
          <w:spacing w:val="-6"/>
          <w:vertAlign w:val="baseline"/>
        </w:rPr>
        <w:t> </w:t>
      </w:r>
      <w:r>
        <w:rPr>
          <w:color w:val="231F20"/>
          <w:vertAlign w:val="baseline"/>
        </w:rPr>
        <w:t>T.,</w:t>
      </w:r>
      <w:r>
        <w:rPr>
          <w:color w:val="231F20"/>
          <w:spacing w:val="-1"/>
          <w:vertAlign w:val="baseline"/>
        </w:rPr>
        <w:t> </w:t>
      </w:r>
      <w:r>
        <w:rPr>
          <w:color w:val="231F20"/>
          <w:vertAlign w:val="baseline"/>
        </w:rPr>
        <w:t>Marti,</w:t>
      </w:r>
      <w:r>
        <w:rPr>
          <w:color w:val="231F20"/>
          <w:spacing w:val="-2"/>
          <w:vertAlign w:val="baseline"/>
        </w:rPr>
        <w:t> </w:t>
      </w:r>
      <w:r>
        <w:rPr>
          <w:color w:val="231F20"/>
          <w:vertAlign w:val="baseline"/>
        </w:rPr>
        <w:t>C.</w:t>
      </w:r>
      <w:r>
        <w:rPr>
          <w:color w:val="231F20"/>
          <w:spacing w:val="-2"/>
          <w:vertAlign w:val="baseline"/>
        </w:rPr>
        <w:t> </w:t>
      </w:r>
      <w:r>
        <w:rPr>
          <w:color w:val="231F20"/>
          <w:vertAlign w:val="baseline"/>
        </w:rPr>
        <w:t>N.,</w:t>
      </w:r>
      <w:r>
        <w:rPr>
          <w:color w:val="231F20"/>
          <w:spacing w:val="-1"/>
          <w:vertAlign w:val="baseline"/>
        </w:rPr>
        <w:t> </w:t>
      </w:r>
      <w:r>
        <w:rPr>
          <w:color w:val="231F20"/>
          <w:vertAlign w:val="baseline"/>
        </w:rPr>
        <w:t>Marinucci,</w:t>
      </w:r>
    </w:p>
    <w:p>
      <w:pPr>
        <w:spacing w:line="228" w:lineRule="auto" w:before="3"/>
        <w:ind w:left="480" w:right="89" w:firstLine="0"/>
        <w:jc w:val="left"/>
        <w:rPr>
          <w:sz w:val="22"/>
        </w:rPr>
      </w:pPr>
      <w:r>
        <w:rPr>
          <w:color w:val="231F20"/>
          <w:sz w:val="22"/>
        </w:rPr>
        <w:t>M. L., Sirrianni, L., &amp; Bruce, M. L. (2014).</w:t>
      </w:r>
      <w:r>
        <w:rPr>
          <w:color w:val="231F20"/>
          <w:spacing w:val="1"/>
          <w:sz w:val="22"/>
        </w:rPr>
        <w:t> </w:t>
      </w:r>
      <w:r>
        <w:rPr>
          <w:color w:val="231F20"/>
          <w:sz w:val="22"/>
        </w:rPr>
        <w:t>Telehealth problem-solving therapy for depressed</w:t>
      </w:r>
      <w:r>
        <w:rPr>
          <w:color w:val="231F20"/>
          <w:spacing w:val="1"/>
          <w:sz w:val="22"/>
        </w:rPr>
        <w:t> </w:t>
      </w:r>
      <w:r>
        <w:rPr>
          <w:color w:val="231F20"/>
          <w:sz w:val="22"/>
        </w:rPr>
        <w:t>low-income</w:t>
      </w:r>
      <w:r>
        <w:rPr>
          <w:color w:val="231F20"/>
          <w:spacing w:val="-4"/>
          <w:sz w:val="22"/>
        </w:rPr>
        <w:t> </w:t>
      </w:r>
      <w:r>
        <w:rPr>
          <w:color w:val="231F20"/>
          <w:sz w:val="22"/>
        </w:rPr>
        <w:t>homebound</w:t>
      </w:r>
      <w:r>
        <w:rPr>
          <w:color w:val="231F20"/>
          <w:spacing w:val="-3"/>
          <w:sz w:val="22"/>
        </w:rPr>
        <w:t> </w:t>
      </w:r>
      <w:r>
        <w:rPr>
          <w:color w:val="231F20"/>
          <w:sz w:val="22"/>
        </w:rPr>
        <w:t>older</w:t>
      </w:r>
      <w:r>
        <w:rPr>
          <w:color w:val="231F20"/>
          <w:spacing w:val="-3"/>
          <w:sz w:val="22"/>
        </w:rPr>
        <w:t> </w:t>
      </w:r>
      <w:r>
        <w:rPr>
          <w:color w:val="231F20"/>
          <w:sz w:val="22"/>
        </w:rPr>
        <w:t>adults.</w:t>
      </w:r>
      <w:r>
        <w:rPr>
          <w:color w:val="231F20"/>
          <w:spacing w:val="-4"/>
          <w:sz w:val="22"/>
        </w:rPr>
        <w:t> </w:t>
      </w:r>
      <w:r>
        <w:rPr>
          <w:i/>
          <w:color w:val="231F20"/>
          <w:sz w:val="22"/>
        </w:rPr>
        <w:t>The</w:t>
      </w:r>
      <w:r>
        <w:rPr>
          <w:i/>
          <w:color w:val="231F20"/>
          <w:spacing w:val="-7"/>
          <w:sz w:val="22"/>
        </w:rPr>
        <w:t> </w:t>
      </w:r>
      <w:r>
        <w:rPr>
          <w:i/>
          <w:color w:val="231F20"/>
          <w:sz w:val="22"/>
        </w:rPr>
        <w:t>American</w:t>
      </w:r>
      <w:r>
        <w:rPr>
          <w:i/>
          <w:color w:val="231F20"/>
          <w:spacing w:val="-52"/>
          <w:sz w:val="22"/>
        </w:rPr>
        <w:t> </w:t>
      </w:r>
      <w:r>
        <w:rPr>
          <w:i/>
          <w:color w:val="231F20"/>
          <w:sz w:val="22"/>
        </w:rPr>
        <w:t>Journal of Geriatric Psychiatry, 22</w:t>
      </w:r>
      <w:r>
        <w:rPr>
          <w:color w:val="231F20"/>
          <w:sz w:val="22"/>
        </w:rPr>
        <w:t>(3), 263-271.</w:t>
      </w:r>
      <w:r>
        <w:rPr>
          <w:color w:val="3953A4"/>
          <w:spacing w:val="1"/>
          <w:sz w:val="22"/>
        </w:rPr>
        <w:t> </w:t>
      </w:r>
      <w:hyperlink r:id="rId96">
        <w:r>
          <w:rPr>
            <w:color w:val="3953A4"/>
            <w:sz w:val="22"/>
            <w:u w:val="single" w:color="3953A4"/>
          </w:rPr>
          <w:t>https://pubmed.ncbi.nlm.nih.gov/23567376/</w:t>
        </w:r>
      </w:hyperlink>
    </w:p>
    <w:p>
      <w:pPr>
        <w:pStyle w:val="BodyText"/>
        <w:tabs>
          <w:tab w:pos="479" w:val="left" w:leader="none"/>
        </w:tabs>
        <w:spacing w:line="228" w:lineRule="auto" w:before="89"/>
        <w:ind w:left="480" w:right="253" w:hanging="360"/>
      </w:pPr>
      <w:r>
        <w:rPr>
          <w:color w:val="231F20"/>
          <w:vertAlign w:val="superscript"/>
        </w:rPr>
        <w:t>79</w:t>
      </w:r>
      <w:r>
        <w:rPr>
          <w:color w:val="231F20"/>
          <w:vertAlign w:val="baseline"/>
        </w:rPr>
        <w:tab/>
      </w:r>
      <w:r>
        <w:rPr>
          <w:color w:val="231F20"/>
          <w:spacing w:val="-1"/>
          <w:vertAlign w:val="baseline"/>
        </w:rPr>
        <w:t>Hunkeler, E. M., Hargreaves, W. A., Fireman, </w:t>
      </w:r>
      <w:r>
        <w:rPr>
          <w:color w:val="231F20"/>
          <w:vertAlign w:val="baseline"/>
        </w:rPr>
        <w:t>B.,</w:t>
      </w:r>
      <w:r>
        <w:rPr>
          <w:color w:val="231F20"/>
          <w:spacing w:val="1"/>
          <w:vertAlign w:val="baseline"/>
        </w:rPr>
        <w:t> </w:t>
      </w:r>
      <w:r>
        <w:rPr>
          <w:color w:val="231F20"/>
          <w:spacing w:val="-2"/>
          <w:vertAlign w:val="baseline"/>
        </w:rPr>
        <w:t>Terdiman,</w:t>
      </w:r>
      <w:r>
        <w:rPr>
          <w:color w:val="231F20"/>
          <w:spacing w:val="-5"/>
          <w:vertAlign w:val="baseline"/>
        </w:rPr>
        <w:t> </w:t>
      </w:r>
      <w:r>
        <w:rPr>
          <w:color w:val="231F20"/>
          <w:spacing w:val="-2"/>
          <w:vertAlign w:val="baseline"/>
        </w:rPr>
        <w:t>J.,</w:t>
      </w:r>
      <w:r>
        <w:rPr>
          <w:color w:val="231F20"/>
          <w:spacing w:val="-5"/>
          <w:vertAlign w:val="baseline"/>
        </w:rPr>
        <w:t> </w:t>
      </w:r>
      <w:r>
        <w:rPr>
          <w:color w:val="231F20"/>
          <w:spacing w:val="-2"/>
          <w:vertAlign w:val="baseline"/>
        </w:rPr>
        <w:t>Meresman,</w:t>
      </w:r>
      <w:r>
        <w:rPr>
          <w:color w:val="231F20"/>
          <w:spacing w:val="-5"/>
          <w:vertAlign w:val="baseline"/>
        </w:rPr>
        <w:t> </w:t>
      </w:r>
      <w:r>
        <w:rPr>
          <w:color w:val="231F20"/>
          <w:spacing w:val="-1"/>
          <w:vertAlign w:val="baseline"/>
        </w:rPr>
        <w:t>J.</w:t>
      </w:r>
      <w:r>
        <w:rPr>
          <w:color w:val="231F20"/>
          <w:spacing w:val="-5"/>
          <w:vertAlign w:val="baseline"/>
        </w:rPr>
        <w:t> </w:t>
      </w:r>
      <w:r>
        <w:rPr>
          <w:color w:val="231F20"/>
          <w:spacing w:val="-1"/>
          <w:vertAlign w:val="baseline"/>
        </w:rPr>
        <w:t>F.,</w:t>
      </w:r>
      <w:r>
        <w:rPr>
          <w:color w:val="231F20"/>
          <w:spacing w:val="-4"/>
          <w:vertAlign w:val="baseline"/>
        </w:rPr>
        <w:t> </w:t>
      </w:r>
      <w:r>
        <w:rPr>
          <w:color w:val="231F20"/>
          <w:spacing w:val="-1"/>
          <w:vertAlign w:val="baseline"/>
        </w:rPr>
        <w:t>Porterfield,</w:t>
      </w:r>
      <w:r>
        <w:rPr>
          <w:color w:val="231F20"/>
          <w:spacing w:val="-13"/>
          <w:vertAlign w:val="baseline"/>
        </w:rPr>
        <w:t> </w:t>
      </w:r>
      <w:r>
        <w:rPr>
          <w:color w:val="231F20"/>
          <w:spacing w:val="-1"/>
          <w:vertAlign w:val="baseline"/>
        </w:rPr>
        <w:t>Y.,</w:t>
      </w:r>
      <w:r>
        <w:rPr>
          <w:color w:val="231F20"/>
          <w:spacing w:val="-4"/>
          <w:vertAlign w:val="baseline"/>
        </w:rPr>
        <w:t> </w:t>
      </w:r>
      <w:r>
        <w:rPr>
          <w:color w:val="231F20"/>
          <w:spacing w:val="-1"/>
          <w:vertAlign w:val="baseline"/>
        </w:rPr>
        <w:t>Lee,</w:t>
      </w:r>
      <w:r>
        <w:rPr>
          <w:color w:val="231F20"/>
          <w:spacing w:val="-52"/>
          <w:vertAlign w:val="baseline"/>
        </w:rPr>
        <w:t> </w:t>
      </w:r>
      <w:r>
        <w:rPr>
          <w:color w:val="231F20"/>
          <w:vertAlign w:val="baseline"/>
        </w:rPr>
        <w:t>J.,</w:t>
      </w:r>
      <w:r>
        <w:rPr>
          <w:color w:val="231F20"/>
          <w:spacing w:val="-5"/>
          <w:vertAlign w:val="baseline"/>
        </w:rPr>
        <w:t> </w:t>
      </w:r>
      <w:r>
        <w:rPr>
          <w:color w:val="231F20"/>
          <w:vertAlign w:val="baseline"/>
        </w:rPr>
        <w:t>Dea,</w:t>
      </w:r>
      <w:r>
        <w:rPr>
          <w:color w:val="231F20"/>
          <w:spacing w:val="-4"/>
          <w:vertAlign w:val="baseline"/>
        </w:rPr>
        <w:t> </w:t>
      </w:r>
      <w:r>
        <w:rPr>
          <w:color w:val="231F20"/>
          <w:vertAlign w:val="baseline"/>
        </w:rPr>
        <w:t>R.,</w:t>
      </w:r>
      <w:r>
        <w:rPr>
          <w:color w:val="231F20"/>
          <w:spacing w:val="-3"/>
          <w:vertAlign w:val="baseline"/>
        </w:rPr>
        <w:t> </w:t>
      </w:r>
      <w:r>
        <w:rPr>
          <w:color w:val="231F20"/>
          <w:vertAlign w:val="baseline"/>
        </w:rPr>
        <w:t>Simon,</w:t>
      </w:r>
      <w:r>
        <w:rPr>
          <w:color w:val="231F20"/>
          <w:spacing w:val="-4"/>
          <w:vertAlign w:val="baseline"/>
        </w:rPr>
        <w:t> </w:t>
      </w:r>
      <w:r>
        <w:rPr>
          <w:color w:val="231F20"/>
          <w:vertAlign w:val="baseline"/>
        </w:rPr>
        <w:t>G.</w:t>
      </w:r>
      <w:r>
        <w:rPr>
          <w:color w:val="231F20"/>
          <w:spacing w:val="-4"/>
          <w:vertAlign w:val="baseline"/>
        </w:rPr>
        <w:t> </w:t>
      </w:r>
      <w:r>
        <w:rPr>
          <w:color w:val="231F20"/>
          <w:vertAlign w:val="baseline"/>
        </w:rPr>
        <w:t>E.,</w:t>
      </w:r>
      <w:r>
        <w:rPr>
          <w:color w:val="231F20"/>
          <w:spacing w:val="-3"/>
          <w:vertAlign w:val="baseline"/>
        </w:rPr>
        <w:t> </w:t>
      </w:r>
      <w:r>
        <w:rPr>
          <w:color w:val="231F20"/>
          <w:vertAlign w:val="baseline"/>
        </w:rPr>
        <w:t>Bauer,</w:t>
      </w:r>
      <w:r>
        <w:rPr>
          <w:color w:val="231F20"/>
          <w:spacing w:val="-3"/>
          <w:vertAlign w:val="baseline"/>
        </w:rPr>
        <w:t> </w:t>
      </w:r>
      <w:r>
        <w:rPr>
          <w:color w:val="231F20"/>
          <w:vertAlign w:val="baseline"/>
        </w:rPr>
        <w:t>M.</w:t>
      </w:r>
      <w:r>
        <w:rPr>
          <w:color w:val="231F20"/>
          <w:spacing w:val="-4"/>
          <w:vertAlign w:val="baseline"/>
        </w:rPr>
        <w:t> </w:t>
      </w:r>
      <w:r>
        <w:rPr>
          <w:color w:val="231F20"/>
          <w:vertAlign w:val="baseline"/>
        </w:rPr>
        <w:t>S.,</w:t>
      </w:r>
      <w:r>
        <w:rPr>
          <w:color w:val="231F20"/>
          <w:spacing w:val="-4"/>
          <w:vertAlign w:val="baseline"/>
        </w:rPr>
        <w:t> </w:t>
      </w:r>
      <w:r>
        <w:rPr>
          <w:color w:val="231F20"/>
          <w:vertAlign w:val="baseline"/>
        </w:rPr>
        <w:t>Unützer,</w:t>
      </w:r>
    </w:p>
    <w:p>
      <w:pPr>
        <w:pStyle w:val="BodyText"/>
        <w:spacing w:line="228" w:lineRule="auto"/>
        <w:ind w:left="480" w:right="129"/>
      </w:pPr>
      <w:r>
        <w:rPr>
          <w:color w:val="231F20"/>
          <w:spacing w:val="-1"/>
        </w:rPr>
        <w:t>J., &amp; Taylor, C. </w:t>
      </w:r>
      <w:r>
        <w:rPr>
          <w:color w:val="231F20"/>
        </w:rPr>
        <w:t>B. (2012). A web-delivered care</w:t>
      </w:r>
      <w:r>
        <w:rPr>
          <w:color w:val="231F20"/>
          <w:spacing w:val="1"/>
        </w:rPr>
        <w:t> </w:t>
      </w:r>
      <w:r>
        <w:rPr>
          <w:color w:val="231F20"/>
        </w:rPr>
        <w:t>management and patient self-management program</w:t>
      </w:r>
      <w:r>
        <w:rPr>
          <w:color w:val="231F20"/>
          <w:spacing w:val="-52"/>
        </w:rPr>
        <w:t> </w:t>
      </w:r>
      <w:r>
        <w:rPr>
          <w:color w:val="231F20"/>
        </w:rPr>
        <w:t>for recurrent depression:</w:t>
      </w:r>
      <w:r>
        <w:rPr>
          <w:color w:val="231F20"/>
          <w:spacing w:val="-13"/>
        </w:rPr>
        <w:t> </w:t>
      </w:r>
      <w:r>
        <w:rPr>
          <w:color w:val="231F20"/>
        </w:rPr>
        <w:t>A</w:t>
      </w:r>
      <w:r>
        <w:rPr>
          <w:color w:val="231F20"/>
          <w:spacing w:val="-13"/>
        </w:rPr>
        <w:t> </w:t>
      </w:r>
      <w:r>
        <w:rPr>
          <w:color w:val="231F20"/>
        </w:rPr>
        <w:t>randomized trial.</w:t>
      </w:r>
    </w:p>
    <w:p>
      <w:pPr>
        <w:spacing w:line="228" w:lineRule="auto" w:before="0"/>
        <w:ind w:left="479" w:right="67" w:firstLine="0"/>
        <w:jc w:val="left"/>
        <w:rPr>
          <w:sz w:val="22"/>
        </w:rPr>
      </w:pPr>
      <w:r>
        <w:rPr>
          <w:i/>
          <w:color w:val="231F20"/>
          <w:sz w:val="22"/>
        </w:rPr>
        <w:t>Psychiatric</w:t>
      </w:r>
      <w:r>
        <w:rPr>
          <w:i/>
          <w:color w:val="231F20"/>
          <w:spacing w:val="-6"/>
          <w:sz w:val="22"/>
        </w:rPr>
        <w:t> </w:t>
      </w:r>
      <w:r>
        <w:rPr>
          <w:i/>
          <w:color w:val="231F20"/>
          <w:sz w:val="22"/>
        </w:rPr>
        <w:t>Services,</w:t>
      </w:r>
      <w:r>
        <w:rPr>
          <w:i/>
          <w:color w:val="231F20"/>
          <w:spacing w:val="-6"/>
          <w:sz w:val="22"/>
        </w:rPr>
        <w:t> </w:t>
      </w:r>
      <w:r>
        <w:rPr>
          <w:i/>
          <w:color w:val="231F20"/>
          <w:sz w:val="22"/>
        </w:rPr>
        <w:t>63</w:t>
      </w:r>
      <w:r>
        <w:rPr>
          <w:color w:val="231F20"/>
          <w:sz w:val="22"/>
        </w:rPr>
        <w:t>(11),</w:t>
      </w:r>
      <w:r>
        <w:rPr>
          <w:color w:val="231F20"/>
          <w:spacing w:val="-5"/>
          <w:sz w:val="22"/>
        </w:rPr>
        <w:t> </w:t>
      </w:r>
      <w:r>
        <w:rPr>
          <w:color w:val="231F20"/>
          <w:sz w:val="22"/>
        </w:rPr>
        <w:t>1063-1071.</w:t>
      </w:r>
      <w:r>
        <w:rPr>
          <w:color w:val="231F20"/>
          <w:spacing w:val="-6"/>
          <w:sz w:val="22"/>
        </w:rPr>
        <w:t> </w:t>
      </w:r>
      <w:hyperlink r:id="rId97">
        <w:r>
          <w:rPr>
            <w:color w:val="3953A4"/>
            <w:sz w:val="22"/>
            <w:u w:val="single" w:color="3953A4"/>
          </w:rPr>
          <w:t>https://doi.</w:t>
        </w:r>
      </w:hyperlink>
      <w:r>
        <w:rPr>
          <w:color w:val="3953A4"/>
          <w:spacing w:val="-52"/>
          <w:sz w:val="22"/>
        </w:rPr>
        <w:t> </w:t>
      </w:r>
      <w:hyperlink r:id="rId97">
        <w:r>
          <w:rPr>
            <w:color w:val="3953A4"/>
            <w:sz w:val="22"/>
            <w:u w:val="single" w:color="3953A4"/>
          </w:rPr>
          <w:t>org/10.1176/appi.ps.005332011</w:t>
        </w:r>
      </w:hyperlink>
    </w:p>
    <w:p>
      <w:pPr>
        <w:pStyle w:val="BodyText"/>
        <w:tabs>
          <w:tab w:pos="479" w:val="left" w:leader="none"/>
        </w:tabs>
        <w:spacing w:line="228" w:lineRule="auto" w:before="87"/>
        <w:ind w:left="480" w:right="81" w:hanging="360"/>
      </w:pPr>
      <w:r>
        <w:rPr>
          <w:color w:val="231F20"/>
          <w:vertAlign w:val="superscript"/>
        </w:rPr>
        <w:t>80</w:t>
      </w:r>
      <w:r>
        <w:rPr>
          <w:color w:val="231F20"/>
          <w:vertAlign w:val="baseline"/>
        </w:rPr>
        <w:tab/>
        <w:t>Hilty, D. M., Ferrer, D. C., Parish, M. B., Johnston,</w:t>
      </w:r>
      <w:r>
        <w:rPr>
          <w:color w:val="231F20"/>
          <w:spacing w:val="1"/>
          <w:vertAlign w:val="baseline"/>
        </w:rPr>
        <w:t> </w:t>
      </w:r>
      <w:r>
        <w:rPr>
          <w:color w:val="231F20"/>
          <w:vertAlign w:val="baseline"/>
        </w:rPr>
        <w:t>B.,</w:t>
      </w:r>
      <w:r>
        <w:rPr>
          <w:color w:val="231F20"/>
          <w:spacing w:val="-5"/>
          <w:vertAlign w:val="baseline"/>
        </w:rPr>
        <w:t> </w:t>
      </w:r>
      <w:r>
        <w:rPr>
          <w:color w:val="231F20"/>
          <w:vertAlign w:val="baseline"/>
        </w:rPr>
        <w:t>Callahan,</w:t>
      </w:r>
      <w:r>
        <w:rPr>
          <w:color w:val="231F20"/>
          <w:spacing w:val="-5"/>
          <w:vertAlign w:val="baseline"/>
        </w:rPr>
        <w:t> </w:t>
      </w:r>
      <w:r>
        <w:rPr>
          <w:color w:val="231F20"/>
          <w:vertAlign w:val="baseline"/>
        </w:rPr>
        <w:t>E.</w:t>
      </w:r>
      <w:r>
        <w:rPr>
          <w:color w:val="231F20"/>
          <w:spacing w:val="-5"/>
          <w:vertAlign w:val="baseline"/>
        </w:rPr>
        <w:t> </w:t>
      </w:r>
      <w:r>
        <w:rPr>
          <w:color w:val="231F20"/>
          <w:vertAlign w:val="baseline"/>
        </w:rPr>
        <w:t>J.,</w:t>
      </w:r>
      <w:r>
        <w:rPr>
          <w:color w:val="231F20"/>
          <w:spacing w:val="-5"/>
          <w:vertAlign w:val="baseline"/>
        </w:rPr>
        <w:t> </w:t>
      </w:r>
      <w:r>
        <w:rPr>
          <w:color w:val="231F20"/>
          <w:vertAlign w:val="baseline"/>
        </w:rPr>
        <w:t>&amp;</w:t>
      </w:r>
      <w:r>
        <w:rPr>
          <w:color w:val="231F20"/>
          <w:spacing w:val="-13"/>
          <w:vertAlign w:val="baseline"/>
        </w:rPr>
        <w:t> </w:t>
      </w:r>
      <w:r>
        <w:rPr>
          <w:color w:val="231F20"/>
          <w:vertAlign w:val="baseline"/>
        </w:rPr>
        <w:t>Yellowlees,</w:t>
      </w:r>
      <w:r>
        <w:rPr>
          <w:color w:val="231F20"/>
          <w:spacing w:val="-5"/>
          <w:vertAlign w:val="baseline"/>
        </w:rPr>
        <w:t> </w:t>
      </w:r>
      <w:r>
        <w:rPr>
          <w:color w:val="231F20"/>
          <w:vertAlign w:val="baseline"/>
        </w:rPr>
        <w:t>P.</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(2013).</w:t>
      </w:r>
      <w:r>
        <w:rPr>
          <w:color w:val="231F20"/>
          <w:spacing w:val="-8"/>
          <w:vertAlign w:val="baseline"/>
        </w:rPr>
        <w:t> </w:t>
      </w:r>
      <w:r>
        <w:rPr>
          <w:color w:val="231F20"/>
          <w:vertAlign w:val="baseline"/>
        </w:rPr>
        <w:t>The</w:t>
      </w:r>
      <w:r>
        <w:rPr>
          <w:color w:val="231F20"/>
          <w:spacing w:val="-52"/>
          <w:vertAlign w:val="baseline"/>
        </w:rPr>
        <w:t> </w:t>
      </w:r>
      <w:r>
        <w:rPr>
          <w:color w:val="231F20"/>
          <w:spacing w:val="-1"/>
          <w:vertAlign w:val="baseline"/>
        </w:rPr>
        <w:t>effectiveness of telemental </w:t>
      </w:r>
      <w:r>
        <w:rPr>
          <w:color w:val="231F20"/>
          <w:vertAlign w:val="baseline"/>
        </w:rPr>
        <w:t>health: A 2013 review.</w:t>
      </w:r>
      <w:r>
        <w:rPr>
          <w:color w:val="231F20"/>
          <w:spacing w:val="1"/>
          <w:vertAlign w:val="baseline"/>
        </w:rPr>
        <w:t> </w:t>
      </w:r>
      <w:r>
        <w:rPr>
          <w:i/>
          <w:color w:val="231F20"/>
          <w:vertAlign w:val="baseline"/>
        </w:rPr>
        <w:t>Telemedicine</w:t>
      </w:r>
      <w:r>
        <w:rPr>
          <w:i/>
          <w:color w:val="231F20"/>
          <w:spacing w:val="-8"/>
          <w:vertAlign w:val="baseline"/>
        </w:rPr>
        <w:t> </w:t>
      </w:r>
      <w:r>
        <w:rPr>
          <w:i/>
          <w:color w:val="231F20"/>
          <w:vertAlign w:val="baseline"/>
        </w:rPr>
        <w:t>Journal</w:t>
      </w:r>
      <w:r>
        <w:rPr>
          <w:i/>
          <w:color w:val="231F20"/>
          <w:spacing w:val="-7"/>
          <w:vertAlign w:val="baseline"/>
        </w:rPr>
        <w:t> </w:t>
      </w:r>
      <w:r>
        <w:rPr>
          <w:i/>
          <w:color w:val="231F20"/>
          <w:vertAlign w:val="baseline"/>
        </w:rPr>
        <w:t>and</w:t>
      </w:r>
      <w:r>
        <w:rPr>
          <w:i/>
          <w:color w:val="231F20"/>
          <w:spacing w:val="-7"/>
          <w:vertAlign w:val="baseline"/>
        </w:rPr>
        <w:t> </w:t>
      </w:r>
      <w:r>
        <w:rPr>
          <w:i/>
          <w:color w:val="231F20"/>
          <w:vertAlign w:val="baseline"/>
        </w:rPr>
        <w:t>e-Health,</w:t>
      </w:r>
      <w:r>
        <w:rPr>
          <w:i/>
          <w:color w:val="231F20"/>
          <w:spacing w:val="-7"/>
          <w:vertAlign w:val="baseline"/>
        </w:rPr>
        <w:t> </w:t>
      </w:r>
      <w:r>
        <w:rPr>
          <w:i/>
          <w:color w:val="231F20"/>
          <w:vertAlign w:val="baseline"/>
        </w:rPr>
        <w:t>19</w:t>
      </w:r>
      <w:r>
        <w:rPr>
          <w:color w:val="231F20"/>
          <w:vertAlign w:val="baseline"/>
        </w:rPr>
        <w:t>(6),</w:t>
      </w:r>
      <w:r>
        <w:rPr>
          <w:color w:val="231F20"/>
          <w:spacing w:val="-7"/>
          <w:vertAlign w:val="baseline"/>
        </w:rPr>
        <w:t> </w:t>
      </w:r>
      <w:r>
        <w:rPr>
          <w:color w:val="231F20"/>
          <w:vertAlign w:val="baseline"/>
        </w:rPr>
        <w:t>444-454.</w:t>
      </w:r>
      <w:r>
        <w:rPr>
          <w:color w:val="231F20"/>
          <w:spacing w:val="-52"/>
          <w:vertAlign w:val="baseline"/>
        </w:rPr>
        <w:t> </w:t>
      </w:r>
      <w:hyperlink r:id="rId98">
        <w:r>
          <w:rPr>
            <w:color w:val="3953A4"/>
            <w:u w:val="single" w:color="3953A4"/>
            <w:vertAlign w:val="baseline"/>
          </w:rPr>
          <w:t>https://doi.org/10.1089/tmj.2013.0075</w:t>
        </w:r>
      </w:hyperlink>
    </w:p>
    <w:p>
      <w:pPr>
        <w:tabs>
          <w:tab w:pos="479" w:val="left" w:leader="none"/>
        </w:tabs>
        <w:spacing w:line="228" w:lineRule="auto" w:before="88"/>
        <w:ind w:left="480" w:right="38" w:hanging="360"/>
        <w:jc w:val="left"/>
        <w:rPr>
          <w:sz w:val="22"/>
        </w:rPr>
      </w:pPr>
      <w:r>
        <w:rPr>
          <w:color w:val="231F20"/>
          <w:sz w:val="22"/>
          <w:vertAlign w:val="superscript"/>
        </w:rPr>
        <w:t>81</w:t>
      </w:r>
      <w:r>
        <w:rPr>
          <w:color w:val="231F20"/>
          <w:sz w:val="22"/>
          <w:vertAlign w:val="baseline"/>
        </w:rPr>
        <w:tab/>
      </w:r>
      <w:r>
        <w:rPr>
          <w:color w:val="231F20"/>
          <w:spacing w:val="-2"/>
          <w:sz w:val="22"/>
          <w:vertAlign w:val="baseline"/>
        </w:rPr>
        <w:t>Totten, </w:t>
      </w:r>
      <w:r>
        <w:rPr>
          <w:color w:val="231F20"/>
          <w:spacing w:val="-1"/>
          <w:sz w:val="22"/>
          <w:vertAlign w:val="baseline"/>
        </w:rPr>
        <w:t>A. M., Womack, D. M., Eden, K. B.,</w:t>
      </w:r>
      <w:r>
        <w:rPr>
          <w:color w:val="231F20"/>
          <w:sz w:val="22"/>
          <w:vertAlign w:val="baseline"/>
        </w:rPr>
        <w:t> McDonagh, M. S., Griffin, J. C., Grusing, S., &amp;</w:t>
      </w:r>
      <w:r>
        <w:rPr>
          <w:color w:val="231F20"/>
          <w:spacing w:val="1"/>
          <w:sz w:val="22"/>
          <w:vertAlign w:val="baseline"/>
        </w:rPr>
        <w:t> </w:t>
      </w:r>
      <w:r>
        <w:rPr>
          <w:color w:val="231F20"/>
          <w:sz w:val="22"/>
          <w:vertAlign w:val="baseline"/>
        </w:rPr>
        <w:t>Hersh, W. R. (2016). </w:t>
      </w:r>
      <w:r>
        <w:rPr>
          <w:i/>
          <w:color w:val="231F20"/>
          <w:sz w:val="22"/>
          <w:vertAlign w:val="baseline"/>
        </w:rPr>
        <w:t>Telehealth: Mapping the</w:t>
      </w:r>
      <w:r>
        <w:rPr>
          <w:i/>
          <w:color w:val="231F20"/>
          <w:spacing w:val="1"/>
          <w:sz w:val="22"/>
          <w:vertAlign w:val="baseline"/>
        </w:rPr>
        <w:t> </w:t>
      </w:r>
      <w:r>
        <w:rPr>
          <w:i/>
          <w:color w:val="231F20"/>
          <w:sz w:val="22"/>
          <w:vertAlign w:val="baseline"/>
        </w:rPr>
        <w:t>evidence for patient outcomes from systematic</w:t>
      </w:r>
      <w:r>
        <w:rPr>
          <w:i/>
          <w:color w:val="231F20"/>
          <w:spacing w:val="1"/>
          <w:sz w:val="22"/>
          <w:vertAlign w:val="baseline"/>
        </w:rPr>
        <w:t> </w:t>
      </w:r>
      <w:r>
        <w:rPr>
          <w:i/>
          <w:color w:val="231F20"/>
          <w:sz w:val="22"/>
          <w:vertAlign w:val="baseline"/>
        </w:rPr>
        <w:t>reviews</w:t>
      </w:r>
      <w:r>
        <w:rPr>
          <w:color w:val="231F20"/>
          <w:sz w:val="22"/>
          <w:vertAlign w:val="baseline"/>
        </w:rPr>
        <w:t>. Agency for Healthcare Research and</w:t>
      </w:r>
      <w:r>
        <w:rPr>
          <w:color w:val="231F20"/>
          <w:spacing w:val="1"/>
          <w:sz w:val="22"/>
          <w:vertAlign w:val="baseline"/>
        </w:rPr>
        <w:t> </w:t>
      </w:r>
      <w:r>
        <w:rPr>
          <w:color w:val="231F20"/>
          <w:spacing w:val="-1"/>
          <w:sz w:val="22"/>
          <w:vertAlign w:val="baseline"/>
        </w:rPr>
        <w:t>Quality.</w:t>
      </w:r>
      <w:r>
        <w:rPr>
          <w:color w:val="231F20"/>
          <w:spacing w:val="12"/>
          <w:sz w:val="22"/>
          <w:vertAlign w:val="baseline"/>
        </w:rPr>
        <w:t> </w:t>
      </w:r>
      <w:hyperlink r:id="rId99">
        <w:r>
          <w:rPr>
            <w:color w:val="3953A4"/>
            <w:spacing w:val="-1"/>
            <w:sz w:val="22"/>
            <w:u w:val="single" w:color="3953A4"/>
            <w:vertAlign w:val="baseline"/>
          </w:rPr>
          <w:t>https://pubmed.ncbi.nlm.nih.gov/27536752/</w:t>
        </w:r>
      </w:hyperlink>
    </w:p>
    <w:p>
      <w:pPr>
        <w:pStyle w:val="BodyText"/>
        <w:tabs>
          <w:tab w:pos="479" w:val="left" w:leader="none"/>
        </w:tabs>
        <w:spacing w:line="228" w:lineRule="auto" w:before="88"/>
        <w:ind w:left="480" w:right="268" w:hanging="360"/>
      </w:pPr>
      <w:r>
        <w:rPr>
          <w:color w:val="231F20"/>
          <w:vertAlign w:val="superscript"/>
        </w:rPr>
        <w:t>82</w:t>
      </w:r>
      <w:r>
        <w:rPr>
          <w:color w:val="231F20"/>
          <w:vertAlign w:val="baseline"/>
        </w:rPr>
        <w:tab/>
        <w:t>Carroll, K. M., Nich, C., &amp; Ball, S. A. (2005).</w:t>
      </w:r>
      <w:r>
        <w:rPr>
          <w:color w:val="231F20"/>
          <w:spacing w:val="1"/>
          <w:vertAlign w:val="baseline"/>
        </w:rPr>
        <w:t> </w:t>
      </w:r>
      <w:r>
        <w:rPr>
          <w:color w:val="231F20"/>
          <w:vertAlign w:val="baseline"/>
        </w:rPr>
        <w:t>Practice makes progress? Homework assignments</w:t>
      </w:r>
      <w:r>
        <w:rPr>
          <w:color w:val="231F20"/>
          <w:spacing w:val="-52"/>
          <w:vertAlign w:val="baseline"/>
        </w:rPr>
        <w:t> </w:t>
      </w:r>
      <w:r>
        <w:rPr>
          <w:color w:val="231F20"/>
          <w:vertAlign w:val="baseline"/>
        </w:rPr>
        <w:t>and outcome in treatment of cocaine dependence.</w:t>
      </w:r>
      <w:r>
        <w:rPr>
          <w:color w:val="231F20"/>
          <w:spacing w:val="-52"/>
          <w:vertAlign w:val="baseline"/>
        </w:rPr>
        <w:t> </w:t>
      </w:r>
      <w:r>
        <w:rPr>
          <w:i/>
          <w:color w:val="231F20"/>
          <w:vertAlign w:val="baseline"/>
        </w:rPr>
        <w:t>Journal of Consulting and Clinical Psychology,</w:t>
      </w:r>
      <w:r>
        <w:rPr>
          <w:i/>
          <w:color w:val="231F20"/>
          <w:spacing w:val="1"/>
          <w:vertAlign w:val="baseline"/>
        </w:rPr>
        <w:t> </w:t>
      </w:r>
      <w:r>
        <w:rPr>
          <w:i/>
          <w:color w:val="231F20"/>
          <w:vertAlign w:val="baseline"/>
        </w:rPr>
        <w:t>73</w:t>
      </w:r>
      <w:r>
        <w:rPr>
          <w:color w:val="231F20"/>
          <w:vertAlign w:val="baseline"/>
        </w:rPr>
        <w:t>(4), 749-755. </w:t>
      </w:r>
      <w:hyperlink r:id="rId100">
        <w:r>
          <w:rPr>
            <w:color w:val="3953A4"/>
            <w:u w:val="single" w:color="3953A4"/>
            <w:vertAlign w:val="baseline"/>
          </w:rPr>
          <w:t>https://doi.org/10.1037/0022-</w:t>
        </w:r>
      </w:hyperlink>
      <w:r>
        <w:rPr>
          <w:color w:val="3953A4"/>
          <w:spacing w:val="1"/>
          <w:vertAlign w:val="baseline"/>
        </w:rPr>
        <w:t> </w:t>
      </w:r>
      <w:hyperlink r:id="rId100">
        <w:r>
          <w:rPr>
            <w:color w:val="3953A4"/>
            <w:u w:val="single" w:color="3953A4"/>
            <w:vertAlign w:val="baseline"/>
          </w:rPr>
          <w:t>006X.73.4.749</w:t>
        </w:r>
      </w:hyperlink>
    </w:p>
    <w:p>
      <w:pPr>
        <w:pStyle w:val="BodyText"/>
        <w:tabs>
          <w:tab w:pos="479" w:val="left" w:leader="none"/>
        </w:tabs>
        <w:spacing w:line="228" w:lineRule="auto" w:before="101"/>
        <w:ind w:left="480" w:right="901" w:hanging="360"/>
      </w:pPr>
      <w:r>
        <w:rPr/>
        <w:br w:type="column"/>
      </w:r>
      <w:r>
        <w:rPr>
          <w:color w:val="231F20"/>
          <w:vertAlign w:val="superscript"/>
        </w:rPr>
        <w:t>83</w:t>
      </w:r>
      <w:r>
        <w:rPr>
          <w:color w:val="231F20"/>
          <w:vertAlign w:val="baseline"/>
        </w:rPr>
        <w:tab/>
      </w:r>
      <w:r>
        <w:rPr>
          <w:color w:val="231F20"/>
          <w:spacing w:val="-4"/>
          <w:vertAlign w:val="baseline"/>
        </w:rPr>
        <w:t>Carroll, </w:t>
      </w:r>
      <w:r>
        <w:rPr>
          <w:color w:val="231F20"/>
          <w:spacing w:val="-3"/>
          <w:vertAlign w:val="baseline"/>
        </w:rPr>
        <w:t>K. M., Ball, S. A., Martino, S., Nich, C.,</w:t>
      </w:r>
      <w:r>
        <w:rPr>
          <w:color w:val="231F20"/>
          <w:spacing w:val="-2"/>
          <w:vertAlign w:val="baseline"/>
        </w:rPr>
        <w:t> </w:t>
      </w:r>
      <w:r>
        <w:rPr>
          <w:color w:val="231F20"/>
          <w:spacing w:val="-5"/>
          <w:vertAlign w:val="baseline"/>
        </w:rPr>
        <w:t>Babuscio,</w:t>
      </w:r>
      <w:r>
        <w:rPr>
          <w:color w:val="231F20"/>
          <w:spacing w:val="-12"/>
          <w:vertAlign w:val="baseline"/>
        </w:rPr>
        <w:t> </w:t>
      </w:r>
      <w:r>
        <w:rPr>
          <w:color w:val="231F20"/>
          <w:spacing w:val="-5"/>
          <w:vertAlign w:val="baseline"/>
        </w:rPr>
        <w:t>T.</w:t>
      </w:r>
      <w:r>
        <w:rPr>
          <w:color w:val="231F20"/>
          <w:spacing w:val="-21"/>
          <w:vertAlign w:val="baseline"/>
        </w:rPr>
        <w:t> </w:t>
      </w:r>
      <w:r>
        <w:rPr>
          <w:color w:val="231F20"/>
          <w:spacing w:val="-5"/>
          <w:vertAlign w:val="baseline"/>
        </w:rPr>
        <w:t>A.,</w:t>
      </w:r>
      <w:r>
        <w:rPr>
          <w:color w:val="231F20"/>
          <w:spacing w:val="-8"/>
          <w:vertAlign w:val="baseline"/>
        </w:rPr>
        <w:t> </w:t>
      </w:r>
      <w:r>
        <w:rPr>
          <w:color w:val="231F20"/>
          <w:spacing w:val="-5"/>
          <w:vertAlign w:val="baseline"/>
        </w:rPr>
        <w:t>Nuro,</w:t>
      </w:r>
      <w:r>
        <w:rPr>
          <w:color w:val="231F20"/>
          <w:spacing w:val="-8"/>
          <w:vertAlign w:val="baseline"/>
        </w:rPr>
        <w:t> </w:t>
      </w:r>
      <w:r>
        <w:rPr>
          <w:color w:val="231F20"/>
          <w:spacing w:val="-5"/>
          <w:vertAlign w:val="baseline"/>
        </w:rPr>
        <w:t>K.</w:t>
      </w:r>
      <w:r>
        <w:rPr>
          <w:color w:val="231F20"/>
          <w:spacing w:val="-7"/>
          <w:vertAlign w:val="baseline"/>
        </w:rPr>
        <w:t> </w:t>
      </w:r>
      <w:r>
        <w:rPr>
          <w:color w:val="231F20"/>
          <w:spacing w:val="-5"/>
          <w:vertAlign w:val="baseline"/>
        </w:rPr>
        <w:t>F.,</w:t>
      </w:r>
      <w:r>
        <w:rPr>
          <w:color w:val="231F20"/>
          <w:spacing w:val="-8"/>
          <w:vertAlign w:val="baseline"/>
        </w:rPr>
        <w:t> </w:t>
      </w:r>
      <w:r>
        <w:rPr>
          <w:color w:val="231F20"/>
          <w:spacing w:val="-4"/>
          <w:vertAlign w:val="baseline"/>
        </w:rPr>
        <w:t>Gordon,</w:t>
      </w:r>
      <w:r>
        <w:rPr>
          <w:color w:val="231F20"/>
          <w:spacing w:val="-8"/>
          <w:vertAlign w:val="baseline"/>
        </w:rPr>
        <w:t> </w:t>
      </w:r>
      <w:r>
        <w:rPr>
          <w:color w:val="231F20"/>
          <w:spacing w:val="-4"/>
          <w:vertAlign w:val="baseline"/>
        </w:rPr>
        <w:t>M.</w:t>
      </w:r>
      <w:r>
        <w:rPr>
          <w:color w:val="231F20"/>
          <w:spacing w:val="-21"/>
          <w:vertAlign w:val="baseline"/>
        </w:rPr>
        <w:t> </w:t>
      </w:r>
      <w:r>
        <w:rPr>
          <w:color w:val="231F20"/>
          <w:spacing w:val="-4"/>
          <w:vertAlign w:val="baseline"/>
        </w:rPr>
        <w:t>A.,</w:t>
      </w:r>
      <w:r>
        <w:rPr>
          <w:color w:val="231F20"/>
          <w:spacing w:val="-7"/>
          <w:vertAlign w:val="baseline"/>
        </w:rPr>
        <w:t> </w:t>
      </w:r>
      <w:r>
        <w:rPr>
          <w:color w:val="231F20"/>
          <w:spacing w:val="-4"/>
          <w:vertAlign w:val="baseline"/>
        </w:rPr>
        <w:t>Portnoy,</w:t>
      </w:r>
    </w:p>
    <w:p>
      <w:pPr>
        <w:pStyle w:val="BodyText"/>
        <w:spacing w:line="228" w:lineRule="auto"/>
        <w:ind w:left="480" w:right="808"/>
      </w:pPr>
      <w:r>
        <w:rPr>
          <w:color w:val="231F20"/>
          <w:spacing w:val="-4"/>
        </w:rPr>
        <w:t>G. A., &amp; Rounsaville, B. J. (2008). </w:t>
      </w:r>
      <w:r>
        <w:rPr>
          <w:color w:val="231F20"/>
          <w:spacing w:val="-3"/>
        </w:rPr>
        <w:t>Computer-assisted</w:t>
      </w:r>
      <w:r>
        <w:rPr>
          <w:color w:val="231F20"/>
          <w:spacing w:val="-52"/>
        </w:rPr>
        <w:t> </w:t>
      </w:r>
      <w:r>
        <w:rPr>
          <w:color w:val="231F20"/>
          <w:spacing w:val="-4"/>
        </w:rPr>
        <w:t>delivery</w:t>
      </w:r>
      <w:r>
        <w:rPr>
          <w:color w:val="231F20"/>
          <w:spacing w:val="-10"/>
        </w:rPr>
        <w:t> </w:t>
      </w:r>
      <w:r>
        <w:rPr>
          <w:color w:val="231F20"/>
          <w:spacing w:val="-4"/>
        </w:rPr>
        <w:t>of</w:t>
      </w:r>
      <w:r>
        <w:rPr>
          <w:color w:val="231F20"/>
          <w:spacing w:val="-9"/>
        </w:rPr>
        <w:t> </w:t>
      </w:r>
      <w:r>
        <w:rPr>
          <w:color w:val="231F20"/>
          <w:spacing w:val="-4"/>
        </w:rPr>
        <w:t>cognitive-behavioral</w:t>
      </w:r>
      <w:r>
        <w:rPr>
          <w:color w:val="231F20"/>
          <w:spacing w:val="-10"/>
        </w:rPr>
        <w:t> </w:t>
      </w:r>
      <w:r>
        <w:rPr>
          <w:color w:val="231F20"/>
          <w:spacing w:val="-4"/>
        </w:rPr>
        <w:t>therapy</w:t>
      </w:r>
      <w:r>
        <w:rPr>
          <w:color w:val="231F20"/>
          <w:spacing w:val="-9"/>
        </w:rPr>
        <w:t> </w:t>
      </w:r>
      <w:r>
        <w:rPr>
          <w:color w:val="231F20"/>
          <w:spacing w:val="-3"/>
        </w:rPr>
        <w:t>for</w:t>
      </w:r>
      <w:r>
        <w:rPr>
          <w:color w:val="231F20"/>
          <w:spacing w:val="-9"/>
        </w:rPr>
        <w:t> </w:t>
      </w:r>
      <w:r>
        <w:rPr>
          <w:color w:val="231F20"/>
          <w:spacing w:val="-3"/>
        </w:rPr>
        <w:t>addiction:</w:t>
      </w:r>
      <w:r>
        <w:rPr>
          <w:color w:val="231F20"/>
          <w:spacing w:val="-52"/>
        </w:rPr>
        <w:t> </w:t>
      </w:r>
      <w:r>
        <w:rPr>
          <w:color w:val="231F20"/>
          <w:spacing w:val="-4"/>
        </w:rPr>
        <w:t>A randomized trial of CBT4CBT. </w:t>
      </w:r>
      <w:r>
        <w:rPr>
          <w:i/>
          <w:color w:val="231F20"/>
          <w:spacing w:val="-4"/>
        </w:rPr>
        <w:t>The American</w:t>
      </w:r>
      <w:r>
        <w:rPr>
          <w:i/>
          <w:color w:val="231F20"/>
          <w:spacing w:val="-3"/>
        </w:rPr>
        <w:t> </w:t>
      </w:r>
      <w:r>
        <w:rPr>
          <w:i/>
          <w:color w:val="231F20"/>
          <w:spacing w:val="-4"/>
        </w:rPr>
        <w:t>Journal of Psychiatry, 165</w:t>
      </w:r>
      <w:r>
        <w:rPr>
          <w:color w:val="231F20"/>
          <w:spacing w:val="-4"/>
        </w:rPr>
        <w:t>(7), </w:t>
      </w:r>
      <w:r>
        <w:rPr>
          <w:color w:val="231F20"/>
          <w:spacing w:val="-3"/>
        </w:rPr>
        <w:t>881-888.</w:t>
      </w:r>
      <w:r>
        <w:rPr>
          <w:color w:val="3953A4"/>
          <w:spacing w:val="-3"/>
        </w:rPr>
        <w:t> </w:t>
      </w:r>
      <w:hyperlink r:id="rId101">
        <w:r>
          <w:rPr>
            <w:color w:val="3953A4"/>
            <w:spacing w:val="-3"/>
            <w:u w:val="single" w:color="3953A4"/>
          </w:rPr>
          <w:t>https://doi.</w:t>
        </w:r>
      </w:hyperlink>
      <w:r>
        <w:rPr>
          <w:color w:val="3953A4"/>
          <w:spacing w:val="-2"/>
        </w:rPr>
        <w:t> </w:t>
      </w:r>
      <w:hyperlink r:id="rId101">
        <w:r>
          <w:rPr>
            <w:color w:val="3953A4"/>
            <w:u w:val="single" w:color="3953A4"/>
          </w:rPr>
          <w:t>org/10.1176/appi.ajp.2008.07111835</w:t>
        </w:r>
      </w:hyperlink>
    </w:p>
    <w:p>
      <w:pPr>
        <w:pStyle w:val="BodyText"/>
        <w:tabs>
          <w:tab w:pos="479" w:val="left" w:leader="none"/>
        </w:tabs>
        <w:spacing w:line="246" w:lineRule="exact" w:before="77"/>
        <w:ind w:left="120"/>
      </w:pPr>
      <w:r>
        <w:rPr>
          <w:color w:val="231F20"/>
          <w:vertAlign w:val="superscript"/>
        </w:rPr>
        <w:t>84</w:t>
      </w:r>
      <w:r>
        <w:rPr>
          <w:color w:val="231F20"/>
          <w:vertAlign w:val="baseline"/>
        </w:rPr>
        <w:tab/>
      </w:r>
      <w:r>
        <w:rPr>
          <w:color w:val="231F20"/>
          <w:spacing w:val="-1"/>
          <w:vertAlign w:val="baseline"/>
        </w:rPr>
        <w:t>Lin,</w:t>
      </w:r>
      <w:r>
        <w:rPr>
          <w:color w:val="231F20"/>
          <w:vertAlign w:val="baseline"/>
        </w:rPr>
        <w:t> </w:t>
      </w:r>
      <w:r>
        <w:rPr>
          <w:color w:val="231F20"/>
          <w:spacing w:val="-1"/>
          <w:vertAlign w:val="baseline"/>
        </w:rPr>
        <w:t>L.</w:t>
      </w:r>
      <w:r>
        <w:rPr>
          <w:color w:val="231F20"/>
          <w:spacing w:val="-13"/>
          <w:vertAlign w:val="baseline"/>
        </w:rPr>
        <w:t> </w:t>
      </w:r>
      <w:r>
        <w:rPr>
          <w:color w:val="231F20"/>
          <w:spacing w:val="-1"/>
          <w:vertAlign w:val="baseline"/>
        </w:rPr>
        <w:t>A.,</w:t>
      </w:r>
      <w:r>
        <w:rPr>
          <w:color w:val="231F20"/>
          <w:vertAlign w:val="baseline"/>
        </w:rPr>
        <w:t> </w:t>
      </w:r>
      <w:r>
        <w:rPr>
          <w:color w:val="231F20"/>
          <w:spacing w:val="-1"/>
          <w:vertAlign w:val="baseline"/>
        </w:rPr>
        <w:t>Casteel,</w:t>
      </w:r>
      <w:r>
        <w:rPr>
          <w:color w:val="231F20"/>
          <w:vertAlign w:val="baseline"/>
        </w:rPr>
        <w:t> </w:t>
      </w:r>
      <w:r>
        <w:rPr>
          <w:color w:val="231F20"/>
          <w:spacing w:val="-1"/>
          <w:vertAlign w:val="baseline"/>
        </w:rPr>
        <w:t>D.,</w:t>
      </w:r>
      <w:r>
        <w:rPr>
          <w:color w:val="231F20"/>
          <w:spacing w:val="1"/>
          <w:vertAlign w:val="baseline"/>
        </w:rPr>
        <w:t> </w:t>
      </w:r>
      <w:r>
        <w:rPr>
          <w:color w:val="231F20"/>
          <w:vertAlign w:val="baseline"/>
        </w:rPr>
        <w:t>Shigekawa, E.,</w:t>
      </w:r>
      <w:r>
        <w:rPr>
          <w:color w:val="231F20"/>
          <w:spacing w:val="-5"/>
          <w:vertAlign w:val="baseline"/>
        </w:rPr>
        <w:t> </w:t>
      </w:r>
      <w:r>
        <w:rPr>
          <w:color w:val="231F20"/>
          <w:vertAlign w:val="baseline"/>
        </w:rPr>
        <w:t>Weyrich,</w:t>
      </w:r>
    </w:p>
    <w:p>
      <w:pPr>
        <w:pStyle w:val="BodyText"/>
        <w:spacing w:line="228" w:lineRule="auto" w:before="4"/>
        <w:ind w:left="480" w:right="1036"/>
      </w:pPr>
      <w:r>
        <w:rPr>
          <w:color w:val="231F20"/>
        </w:rPr>
        <w:t>M.</w:t>
      </w:r>
      <w:r>
        <w:rPr>
          <w:color w:val="231F20"/>
          <w:spacing w:val="-4"/>
        </w:rPr>
        <w:t> </w:t>
      </w:r>
      <w:r>
        <w:rPr>
          <w:color w:val="231F20"/>
        </w:rPr>
        <w:t>S.,</w:t>
      </w:r>
      <w:r>
        <w:rPr>
          <w:color w:val="231F20"/>
          <w:spacing w:val="-3"/>
        </w:rPr>
        <w:t> </w:t>
      </w:r>
      <w:r>
        <w:rPr>
          <w:color w:val="231F20"/>
        </w:rPr>
        <w:t>Roby,</w:t>
      </w:r>
      <w:r>
        <w:rPr>
          <w:color w:val="231F20"/>
          <w:spacing w:val="-4"/>
        </w:rPr>
        <w:t> </w:t>
      </w:r>
      <w:r>
        <w:rPr>
          <w:color w:val="231F20"/>
        </w:rPr>
        <w:t>D.</w:t>
      </w:r>
      <w:r>
        <w:rPr>
          <w:color w:val="231F20"/>
          <w:spacing w:val="-3"/>
        </w:rPr>
        <w:t> </w:t>
      </w:r>
      <w:r>
        <w:rPr>
          <w:color w:val="231F20"/>
        </w:rPr>
        <w:t>H.,</w:t>
      </w:r>
      <w:r>
        <w:rPr>
          <w:color w:val="231F20"/>
          <w:spacing w:val="-3"/>
        </w:rPr>
        <w:t> </w:t>
      </w:r>
      <w:r>
        <w:rPr>
          <w:color w:val="231F20"/>
        </w:rPr>
        <w:t>&amp;</w:t>
      </w:r>
      <w:r>
        <w:rPr>
          <w:color w:val="231F20"/>
          <w:spacing w:val="-4"/>
        </w:rPr>
        <w:t> </w:t>
      </w:r>
      <w:r>
        <w:rPr>
          <w:color w:val="231F20"/>
        </w:rPr>
        <w:t>McMenamin,</w:t>
      </w:r>
      <w:r>
        <w:rPr>
          <w:color w:val="231F20"/>
          <w:spacing w:val="-3"/>
        </w:rPr>
        <w:t> </w:t>
      </w:r>
      <w:r>
        <w:rPr>
          <w:color w:val="231F20"/>
        </w:rPr>
        <w:t>S.</w:t>
      </w:r>
      <w:r>
        <w:rPr>
          <w:color w:val="231F20"/>
          <w:spacing w:val="-3"/>
        </w:rPr>
        <w:t> </w:t>
      </w:r>
      <w:r>
        <w:rPr>
          <w:color w:val="231F20"/>
        </w:rPr>
        <w:t>B.</w:t>
      </w:r>
      <w:r>
        <w:rPr>
          <w:color w:val="231F20"/>
          <w:spacing w:val="-4"/>
        </w:rPr>
        <w:t> </w:t>
      </w:r>
      <w:r>
        <w:rPr>
          <w:color w:val="231F20"/>
        </w:rPr>
        <w:t>(2019).</w:t>
      </w:r>
      <w:r>
        <w:rPr>
          <w:color w:val="231F20"/>
          <w:spacing w:val="-52"/>
        </w:rPr>
        <w:t> </w:t>
      </w:r>
      <w:r>
        <w:rPr>
          <w:color w:val="231F20"/>
        </w:rPr>
        <w:t>Telemedicine-delivered treatment interventions</w:t>
      </w:r>
      <w:r>
        <w:rPr>
          <w:color w:val="231F20"/>
          <w:spacing w:val="1"/>
        </w:rPr>
        <w:t> </w:t>
      </w:r>
      <w:r>
        <w:rPr>
          <w:color w:val="231F20"/>
          <w:spacing w:val="-1"/>
        </w:rPr>
        <w:t>for substance</w:t>
      </w:r>
      <w:r>
        <w:rPr>
          <w:color w:val="231F20"/>
        </w:rPr>
        <w:t> use</w:t>
      </w:r>
      <w:r>
        <w:rPr>
          <w:color w:val="231F20"/>
          <w:spacing w:val="-1"/>
        </w:rPr>
        <w:t> </w:t>
      </w:r>
      <w:r>
        <w:rPr>
          <w:color w:val="231F20"/>
        </w:rPr>
        <w:t>disorders:</w:t>
      </w:r>
      <w:r>
        <w:rPr>
          <w:color w:val="231F20"/>
          <w:spacing w:val="-13"/>
        </w:rPr>
        <w:t> </w:t>
      </w:r>
      <w:r>
        <w:rPr>
          <w:color w:val="231F20"/>
        </w:rPr>
        <w:t>A</w:t>
      </w:r>
      <w:r>
        <w:rPr>
          <w:color w:val="231F20"/>
          <w:spacing w:val="-14"/>
        </w:rPr>
        <w:t> </w:t>
      </w:r>
      <w:r>
        <w:rPr>
          <w:color w:val="231F20"/>
        </w:rPr>
        <w:t>systematic review.</w:t>
      </w:r>
    </w:p>
    <w:p>
      <w:pPr>
        <w:spacing w:line="228" w:lineRule="auto" w:before="0"/>
        <w:ind w:left="480" w:right="892" w:firstLine="0"/>
        <w:jc w:val="left"/>
        <w:rPr>
          <w:sz w:val="22"/>
        </w:rPr>
      </w:pPr>
      <w:r>
        <w:rPr>
          <w:i/>
          <w:color w:val="231F20"/>
          <w:sz w:val="22"/>
        </w:rPr>
        <w:t>Journal</w:t>
      </w:r>
      <w:r>
        <w:rPr>
          <w:i/>
          <w:color w:val="231F20"/>
          <w:spacing w:val="-6"/>
          <w:sz w:val="22"/>
        </w:rPr>
        <w:t> </w:t>
      </w:r>
      <w:r>
        <w:rPr>
          <w:i/>
          <w:color w:val="231F20"/>
          <w:sz w:val="22"/>
        </w:rPr>
        <w:t>of</w:t>
      </w:r>
      <w:r>
        <w:rPr>
          <w:i/>
          <w:color w:val="231F20"/>
          <w:spacing w:val="-6"/>
          <w:sz w:val="22"/>
        </w:rPr>
        <w:t> </w:t>
      </w:r>
      <w:r>
        <w:rPr>
          <w:i/>
          <w:color w:val="231F20"/>
          <w:sz w:val="22"/>
        </w:rPr>
        <w:t>Substance</w:t>
      </w:r>
      <w:r>
        <w:rPr>
          <w:i/>
          <w:color w:val="231F20"/>
          <w:spacing w:val="-11"/>
          <w:sz w:val="22"/>
        </w:rPr>
        <w:t> </w:t>
      </w:r>
      <w:r>
        <w:rPr>
          <w:i/>
          <w:color w:val="231F20"/>
          <w:sz w:val="22"/>
        </w:rPr>
        <w:t>Abuse</w:t>
      </w:r>
      <w:r>
        <w:rPr>
          <w:i/>
          <w:color w:val="231F20"/>
          <w:spacing w:val="-5"/>
          <w:sz w:val="22"/>
        </w:rPr>
        <w:t> </w:t>
      </w:r>
      <w:r>
        <w:rPr>
          <w:i/>
          <w:color w:val="231F20"/>
          <w:sz w:val="22"/>
        </w:rPr>
        <w:t>Treatment,</w:t>
      </w:r>
      <w:r>
        <w:rPr>
          <w:i/>
          <w:color w:val="231F20"/>
          <w:spacing w:val="-6"/>
          <w:sz w:val="22"/>
        </w:rPr>
        <w:t> </w:t>
      </w:r>
      <w:r>
        <w:rPr>
          <w:i/>
          <w:color w:val="231F20"/>
          <w:sz w:val="22"/>
        </w:rPr>
        <w:t>101</w:t>
      </w:r>
      <w:r>
        <w:rPr>
          <w:color w:val="231F20"/>
          <w:sz w:val="22"/>
        </w:rPr>
        <w:t>,</w:t>
      </w:r>
      <w:r>
        <w:rPr>
          <w:color w:val="231F20"/>
          <w:spacing w:val="-6"/>
          <w:sz w:val="22"/>
        </w:rPr>
        <w:t> </w:t>
      </w:r>
      <w:r>
        <w:rPr>
          <w:color w:val="231F20"/>
          <w:sz w:val="22"/>
        </w:rPr>
        <w:t>38-49.</w:t>
      </w:r>
      <w:r>
        <w:rPr>
          <w:color w:val="231F20"/>
          <w:spacing w:val="-52"/>
          <w:sz w:val="22"/>
        </w:rPr>
        <w:t> </w:t>
      </w:r>
      <w:hyperlink r:id="rId102">
        <w:r>
          <w:rPr>
            <w:color w:val="3953A4"/>
            <w:sz w:val="22"/>
            <w:u w:val="single" w:color="3953A4"/>
          </w:rPr>
          <w:t>https://doi.org/10.1016/j.jsat.2019.03.007</w:t>
        </w:r>
      </w:hyperlink>
    </w:p>
    <w:p>
      <w:pPr>
        <w:pStyle w:val="BodyText"/>
        <w:tabs>
          <w:tab w:pos="479" w:val="left" w:leader="none"/>
        </w:tabs>
        <w:spacing w:line="246" w:lineRule="exact" w:before="78"/>
        <w:ind w:left="120"/>
      </w:pPr>
      <w:r>
        <w:rPr>
          <w:color w:val="231F20"/>
          <w:vertAlign w:val="superscript"/>
        </w:rPr>
        <w:t>85</w:t>
      </w:r>
      <w:r>
        <w:rPr>
          <w:color w:val="231F20"/>
          <w:vertAlign w:val="baseline"/>
        </w:rPr>
        <w:tab/>
        <w:t>Nouri,</w:t>
      </w:r>
      <w:r>
        <w:rPr>
          <w:color w:val="231F20"/>
          <w:spacing w:val="-3"/>
          <w:vertAlign w:val="baseline"/>
        </w:rPr>
        <w:t> </w:t>
      </w:r>
      <w:r>
        <w:rPr>
          <w:color w:val="231F20"/>
          <w:vertAlign w:val="baseline"/>
        </w:rPr>
        <w:t>S.,</w:t>
      </w:r>
      <w:r>
        <w:rPr>
          <w:color w:val="231F20"/>
          <w:spacing w:val="-2"/>
          <w:vertAlign w:val="baseline"/>
        </w:rPr>
        <w:t> </w:t>
      </w:r>
      <w:r>
        <w:rPr>
          <w:color w:val="231F20"/>
          <w:vertAlign w:val="baseline"/>
        </w:rPr>
        <w:t>Khoong,</w:t>
      </w:r>
      <w:r>
        <w:rPr>
          <w:color w:val="231F20"/>
          <w:spacing w:val="-2"/>
          <w:vertAlign w:val="baseline"/>
        </w:rPr>
        <w:t> </w:t>
      </w:r>
      <w:r>
        <w:rPr>
          <w:color w:val="231F20"/>
          <w:vertAlign w:val="baseline"/>
        </w:rPr>
        <w:t>E.</w:t>
      </w:r>
      <w:r>
        <w:rPr>
          <w:color w:val="231F20"/>
          <w:spacing w:val="-2"/>
          <w:vertAlign w:val="baseline"/>
        </w:rPr>
        <w:t> </w:t>
      </w:r>
      <w:r>
        <w:rPr>
          <w:color w:val="231F20"/>
          <w:vertAlign w:val="baseline"/>
        </w:rPr>
        <w:t>C.,</w:t>
      </w:r>
      <w:r>
        <w:rPr>
          <w:color w:val="231F20"/>
          <w:spacing w:val="-2"/>
          <w:vertAlign w:val="baseline"/>
        </w:rPr>
        <w:t> </w:t>
      </w:r>
      <w:r>
        <w:rPr>
          <w:color w:val="231F20"/>
          <w:vertAlign w:val="baseline"/>
        </w:rPr>
        <w:t>Lyles,</w:t>
      </w:r>
      <w:r>
        <w:rPr>
          <w:color w:val="231F20"/>
          <w:spacing w:val="-2"/>
          <w:vertAlign w:val="baseline"/>
        </w:rPr>
        <w:t> </w:t>
      </w:r>
      <w:r>
        <w:rPr>
          <w:color w:val="231F20"/>
          <w:vertAlign w:val="baseline"/>
        </w:rPr>
        <w:t>C.</w:t>
      </w:r>
      <w:r>
        <w:rPr>
          <w:color w:val="231F20"/>
          <w:spacing w:val="-2"/>
          <w:vertAlign w:val="baseline"/>
        </w:rPr>
        <w:t> </w:t>
      </w:r>
      <w:r>
        <w:rPr>
          <w:color w:val="231F20"/>
          <w:vertAlign w:val="baseline"/>
        </w:rPr>
        <w:t>R.,</w:t>
      </w:r>
      <w:r>
        <w:rPr>
          <w:color w:val="231F20"/>
          <w:spacing w:val="-3"/>
          <w:vertAlign w:val="baseline"/>
        </w:rPr>
        <w:t> </w:t>
      </w:r>
      <w:r>
        <w:rPr>
          <w:color w:val="231F20"/>
          <w:vertAlign w:val="baseline"/>
        </w:rPr>
        <w:t>&amp;</w:t>
      </w:r>
      <w:r>
        <w:rPr>
          <w:color w:val="231F20"/>
          <w:spacing w:val="-2"/>
          <w:vertAlign w:val="baseline"/>
        </w:rPr>
        <w:t> </w:t>
      </w:r>
      <w:r>
        <w:rPr>
          <w:color w:val="231F20"/>
          <w:vertAlign w:val="baseline"/>
        </w:rPr>
        <w:t>Karliner,</w:t>
      </w:r>
    </w:p>
    <w:p>
      <w:pPr>
        <w:spacing w:line="228" w:lineRule="auto" w:before="4"/>
        <w:ind w:left="480" w:right="853" w:firstLine="0"/>
        <w:jc w:val="left"/>
        <w:rPr>
          <w:sz w:val="22"/>
        </w:rPr>
      </w:pPr>
      <w:r>
        <w:rPr>
          <w:color w:val="231F20"/>
          <w:sz w:val="22"/>
        </w:rPr>
        <w:t>L. (2020). Addressing equity in telemedicine for</w:t>
      </w:r>
      <w:r>
        <w:rPr>
          <w:color w:val="231F20"/>
          <w:spacing w:val="1"/>
          <w:sz w:val="22"/>
        </w:rPr>
        <w:t> </w:t>
      </w:r>
      <w:r>
        <w:rPr>
          <w:color w:val="231F20"/>
          <w:sz w:val="22"/>
        </w:rPr>
        <w:t>chronic disease management during the COVID-19</w:t>
      </w:r>
      <w:r>
        <w:rPr>
          <w:color w:val="231F20"/>
          <w:spacing w:val="-52"/>
          <w:sz w:val="22"/>
        </w:rPr>
        <w:t> </w:t>
      </w:r>
      <w:r>
        <w:rPr>
          <w:color w:val="231F20"/>
          <w:sz w:val="22"/>
        </w:rPr>
        <w:t>pandemic. </w:t>
      </w:r>
      <w:r>
        <w:rPr>
          <w:i/>
          <w:color w:val="231F20"/>
          <w:sz w:val="22"/>
        </w:rPr>
        <w:t>NEJM Catalyst Innovations in Care</w:t>
      </w:r>
      <w:r>
        <w:rPr>
          <w:i/>
          <w:color w:val="231F20"/>
          <w:spacing w:val="1"/>
          <w:sz w:val="22"/>
        </w:rPr>
        <w:t> </w:t>
      </w:r>
      <w:r>
        <w:rPr>
          <w:i/>
          <w:color w:val="231F20"/>
          <w:sz w:val="22"/>
        </w:rPr>
        <w:t>Delivery, 1</w:t>
      </w:r>
      <w:r>
        <w:rPr>
          <w:color w:val="231F20"/>
          <w:sz w:val="22"/>
        </w:rPr>
        <w:t>(3).</w:t>
      </w:r>
      <w:r>
        <w:rPr>
          <w:color w:val="3953A4"/>
          <w:sz w:val="22"/>
        </w:rPr>
        <w:t> </w:t>
      </w:r>
      <w:hyperlink r:id="rId103">
        <w:r>
          <w:rPr>
            <w:color w:val="3953A4"/>
            <w:sz w:val="22"/>
            <w:u w:val="single" w:color="3953A4"/>
          </w:rPr>
          <w:t>https://catalyst.nejm.org/doi/</w:t>
        </w:r>
      </w:hyperlink>
      <w:r>
        <w:rPr>
          <w:color w:val="3953A4"/>
          <w:spacing w:val="1"/>
          <w:sz w:val="22"/>
        </w:rPr>
        <w:t> </w:t>
      </w:r>
      <w:hyperlink r:id="rId103">
        <w:r>
          <w:rPr>
            <w:color w:val="3953A4"/>
            <w:sz w:val="22"/>
            <w:u w:val="single" w:color="3953A4"/>
          </w:rPr>
          <w:t>full/10.1056/CAT.20.0123</w:t>
        </w:r>
      </w:hyperlink>
    </w:p>
    <w:p>
      <w:pPr>
        <w:pStyle w:val="BodyText"/>
        <w:tabs>
          <w:tab w:pos="479" w:val="left" w:leader="none"/>
        </w:tabs>
        <w:spacing w:line="228" w:lineRule="auto" w:before="88"/>
        <w:ind w:left="480" w:right="1249" w:hanging="360"/>
      </w:pPr>
      <w:r>
        <w:rPr>
          <w:color w:val="231F20"/>
          <w:vertAlign w:val="superscript"/>
        </w:rPr>
        <w:t>86</w:t>
      </w:r>
      <w:r>
        <w:rPr>
          <w:color w:val="231F20"/>
          <w:vertAlign w:val="baseline"/>
        </w:rPr>
        <w:tab/>
        <w:t>Khoong, E. C., Rivadeneira, N. A., Hiatt, R.</w:t>
      </w:r>
      <w:r>
        <w:rPr>
          <w:color w:val="231F20"/>
          <w:spacing w:val="1"/>
          <w:vertAlign w:val="baseline"/>
        </w:rPr>
        <w:t> </w:t>
      </w:r>
      <w:r>
        <w:rPr>
          <w:color w:val="231F20"/>
          <w:vertAlign w:val="baseline"/>
        </w:rPr>
        <w:t>A.,</w:t>
      </w:r>
      <w:r>
        <w:rPr>
          <w:color w:val="231F20"/>
          <w:spacing w:val="-4"/>
          <w:vertAlign w:val="baseline"/>
        </w:rPr>
        <w:t> </w:t>
      </w:r>
      <w:r>
        <w:rPr>
          <w:color w:val="231F20"/>
          <w:vertAlign w:val="baseline"/>
        </w:rPr>
        <w:t>&amp;</w:t>
      </w:r>
      <w:r>
        <w:rPr>
          <w:color w:val="231F20"/>
          <w:spacing w:val="-3"/>
          <w:vertAlign w:val="baseline"/>
        </w:rPr>
        <w:t> </w:t>
      </w:r>
      <w:r>
        <w:rPr>
          <w:color w:val="231F20"/>
          <w:vertAlign w:val="baseline"/>
        </w:rPr>
        <w:t>Sarkar,</w:t>
      </w:r>
      <w:r>
        <w:rPr>
          <w:color w:val="231F20"/>
          <w:spacing w:val="-3"/>
          <w:vertAlign w:val="baseline"/>
        </w:rPr>
        <w:t> </w:t>
      </w:r>
      <w:r>
        <w:rPr>
          <w:color w:val="231F20"/>
          <w:vertAlign w:val="baseline"/>
        </w:rPr>
        <w:t>U.</w:t>
      </w:r>
      <w:r>
        <w:rPr>
          <w:color w:val="231F20"/>
          <w:spacing w:val="-3"/>
          <w:vertAlign w:val="baseline"/>
        </w:rPr>
        <w:t> </w:t>
      </w:r>
      <w:r>
        <w:rPr>
          <w:color w:val="231F20"/>
          <w:vertAlign w:val="baseline"/>
        </w:rPr>
        <w:t>(2020).</w:t>
      </w:r>
      <w:r>
        <w:rPr>
          <w:color w:val="231F20"/>
          <w:spacing w:val="-7"/>
          <w:vertAlign w:val="baseline"/>
        </w:rPr>
        <w:t> </w:t>
      </w:r>
      <w:r>
        <w:rPr>
          <w:color w:val="231F20"/>
          <w:vertAlign w:val="baseline"/>
        </w:rPr>
        <w:t>The</w:t>
      </w:r>
      <w:r>
        <w:rPr>
          <w:color w:val="231F20"/>
          <w:spacing w:val="-3"/>
          <w:vertAlign w:val="baseline"/>
        </w:rPr>
        <w:t> </w:t>
      </w:r>
      <w:r>
        <w:rPr>
          <w:color w:val="231F20"/>
          <w:vertAlign w:val="baseline"/>
        </w:rPr>
        <w:t>use</w:t>
      </w:r>
      <w:r>
        <w:rPr>
          <w:color w:val="231F20"/>
          <w:spacing w:val="-3"/>
          <w:vertAlign w:val="baseline"/>
        </w:rPr>
        <w:t> </w:t>
      </w:r>
      <w:r>
        <w:rPr>
          <w:color w:val="231F20"/>
          <w:vertAlign w:val="baseline"/>
        </w:rPr>
        <w:t>of</w:t>
      </w:r>
      <w:r>
        <w:rPr>
          <w:color w:val="231F20"/>
          <w:spacing w:val="-3"/>
          <w:vertAlign w:val="baseline"/>
        </w:rPr>
        <w:t> </w:t>
      </w:r>
      <w:r>
        <w:rPr>
          <w:color w:val="231F20"/>
          <w:vertAlign w:val="baseline"/>
        </w:rPr>
        <w:t>technology</w:t>
      </w:r>
      <w:r>
        <w:rPr>
          <w:color w:val="231F20"/>
          <w:spacing w:val="-52"/>
          <w:vertAlign w:val="baseline"/>
        </w:rPr>
        <w:t> </w:t>
      </w:r>
      <w:r>
        <w:rPr>
          <w:color w:val="231F20"/>
          <w:vertAlign w:val="baseline"/>
        </w:rPr>
        <w:t>for communicating with clinicians or seeking</w:t>
      </w:r>
    </w:p>
    <w:p>
      <w:pPr>
        <w:spacing w:line="228" w:lineRule="auto" w:before="0"/>
        <w:ind w:left="480" w:right="1022" w:firstLine="0"/>
        <w:jc w:val="left"/>
        <w:rPr>
          <w:sz w:val="22"/>
        </w:rPr>
      </w:pPr>
      <w:r>
        <w:rPr>
          <w:color w:val="231F20"/>
          <w:sz w:val="22"/>
        </w:rPr>
        <w:t>health information in a multilingual urban cohort:</w:t>
      </w:r>
      <w:r>
        <w:rPr>
          <w:color w:val="231F20"/>
          <w:spacing w:val="-52"/>
          <w:sz w:val="22"/>
        </w:rPr>
        <w:t> </w:t>
      </w:r>
      <w:r>
        <w:rPr>
          <w:color w:val="231F20"/>
          <w:sz w:val="22"/>
        </w:rPr>
        <w:t>Cross-sectional survey. </w:t>
      </w:r>
      <w:r>
        <w:rPr>
          <w:i/>
          <w:color w:val="231F20"/>
          <w:sz w:val="22"/>
        </w:rPr>
        <w:t>Journal of Medical</w:t>
      </w:r>
      <w:r>
        <w:rPr>
          <w:i/>
          <w:color w:val="231F20"/>
          <w:spacing w:val="1"/>
          <w:sz w:val="22"/>
        </w:rPr>
        <w:t> </w:t>
      </w:r>
      <w:r>
        <w:rPr>
          <w:i/>
          <w:color w:val="231F20"/>
          <w:sz w:val="22"/>
        </w:rPr>
        <w:t>Internet Research, 22</w:t>
      </w:r>
      <w:r>
        <w:rPr>
          <w:color w:val="231F20"/>
          <w:sz w:val="22"/>
        </w:rPr>
        <w:t>(4), e16951. </w:t>
      </w:r>
      <w:hyperlink r:id="rId104">
        <w:r>
          <w:rPr>
            <w:color w:val="3953A4"/>
            <w:sz w:val="22"/>
            <w:u w:val="single" w:color="3953A4"/>
          </w:rPr>
          <w:t>https://doi.</w:t>
        </w:r>
      </w:hyperlink>
      <w:r>
        <w:rPr>
          <w:color w:val="3953A4"/>
          <w:spacing w:val="1"/>
          <w:sz w:val="22"/>
        </w:rPr>
        <w:t> </w:t>
      </w:r>
      <w:hyperlink r:id="rId104">
        <w:r>
          <w:rPr>
            <w:color w:val="3953A4"/>
            <w:sz w:val="22"/>
            <w:u w:val="single" w:color="3953A4"/>
          </w:rPr>
          <w:t>org/10.2196/16951</w:t>
        </w:r>
      </w:hyperlink>
    </w:p>
    <w:p>
      <w:pPr>
        <w:tabs>
          <w:tab w:pos="479" w:val="left" w:leader="none"/>
        </w:tabs>
        <w:spacing w:line="228" w:lineRule="auto" w:before="88"/>
        <w:ind w:left="480" w:right="784" w:hanging="360"/>
        <w:jc w:val="left"/>
        <w:rPr>
          <w:sz w:val="22"/>
        </w:rPr>
      </w:pPr>
      <w:r>
        <w:rPr>
          <w:color w:val="231F20"/>
          <w:sz w:val="22"/>
          <w:vertAlign w:val="superscript"/>
        </w:rPr>
        <w:t>87</w:t>
      </w:r>
      <w:r>
        <w:rPr>
          <w:color w:val="231F20"/>
          <w:sz w:val="22"/>
          <w:vertAlign w:val="baseline"/>
        </w:rPr>
        <w:tab/>
        <w:t>Pew Research Center. (2018). </w:t>
      </w:r>
      <w:r>
        <w:rPr>
          <w:i/>
          <w:color w:val="231F20"/>
          <w:sz w:val="22"/>
          <w:vertAlign w:val="baseline"/>
        </w:rPr>
        <w:t>Demographics of</w:t>
      </w:r>
      <w:r>
        <w:rPr>
          <w:i/>
          <w:color w:val="231F20"/>
          <w:spacing w:val="1"/>
          <w:sz w:val="22"/>
          <w:vertAlign w:val="baseline"/>
        </w:rPr>
        <w:t> </w:t>
      </w:r>
      <w:r>
        <w:rPr>
          <w:i/>
          <w:color w:val="231F20"/>
          <w:sz w:val="22"/>
          <w:vertAlign w:val="baseline"/>
        </w:rPr>
        <w:t>mobile device ownership and adoption in the United</w:t>
      </w:r>
      <w:r>
        <w:rPr>
          <w:i/>
          <w:color w:val="231F20"/>
          <w:spacing w:val="-53"/>
          <w:sz w:val="22"/>
          <w:vertAlign w:val="baseline"/>
        </w:rPr>
        <w:t> </w:t>
      </w:r>
      <w:r>
        <w:rPr>
          <w:i/>
          <w:color w:val="231F20"/>
          <w:sz w:val="22"/>
          <w:vertAlign w:val="baseline"/>
        </w:rPr>
        <w:t>States</w:t>
      </w:r>
      <w:r>
        <w:rPr>
          <w:color w:val="231F20"/>
          <w:sz w:val="22"/>
          <w:vertAlign w:val="baseline"/>
        </w:rPr>
        <w:t>. </w:t>
      </w:r>
      <w:hyperlink r:id="rId105">
        <w:r>
          <w:rPr>
            <w:color w:val="3953A4"/>
            <w:sz w:val="22"/>
            <w:u w:val="single" w:color="3953A4"/>
            <w:vertAlign w:val="baseline"/>
          </w:rPr>
          <w:t>http://www.pewinternet.org/fact-sheet/</w:t>
        </w:r>
      </w:hyperlink>
      <w:r>
        <w:rPr>
          <w:color w:val="3953A4"/>
          <w:spacing w:val="1"/>
          <w:sz w:val="22"/>
          <w:vertAlign w:val="baseline"/>
        </w:rPr>
        <w:t> </w:t>
      </w:r>
      <w:hyperlink r:id="rId105">
        <w:r>
          <w:rPr>
            <w:color w:val="3953A4"/>
            <w:sz w:val="22"/>
            <w:u w:val="single" w:color="3953A4"/>
            <w:vertAlign w:val="baseline"/>
          </w:rPr>
          <w:t>mobile/</w:t>
        </w:r>
      </w:hyperlink>
    </w:p>
    <w:p>
      <w:pPr>
        <w:tabs>
          <w:tab w:pos="479" w:val="left" w:leader="none"/>
        </w:tabs>
        <w:spacing w:line="228" w:lineRule="auto" w:before="89"/>
        <w:ind w:left="480" w:right="1012" w:hanging="360"/>
        <w:jc w:val="left"/>
        <w:rPr>
          <w:sz w:val="22"/>
        </w:rPr>
      </w:pPr>
      <w:r>
        <w:rPr>
          <w:color w:val="231F20"/>
          <w:sz w:val="22"/>
          <w:vertAlign w:val="superscript"/>
        </w:rPr>
        <w:t>88</w:t>
      </w:r>
      <w:r>
        <w:rPr>
          <w:color w:val="231F20"/>
          <w:sz w:val="22"/>
          <w:vertAlign w:val="baseline"/>
        </w:rPr>
        <w:tab/>
        <w:t>Pew Research Center. (2019). </w:t>
      </w:r>
      <w:r>
        <w:rPr>
          <w:i/>
          <w:color w:val="231F20"/>
          <w:sz w:val="22"/>
          <w:vertAlign w:val="baseline"/>
        </w:rPr>
        <w:t>Demographics of</w:t>
      </w:r>
      <w:r>
        <w:rPr>
          <w:i/>
          <w:color w:val="231F20"/>
          <w:spacing w:val="1"/>
          <w:sz w:val="22"/>
          <w:vertAlign w:val="baseline"/>
        </w:rPr>
        <w:t> </w:t>
      </w:r>
      <w:r>
        <w:rPr>
          <w:i/>
          <w:color w:val="231F20"/>
          <w:sz w:val="22"/>
          <w:vertAlign w:val="baseline"/>
        </w:rPr>
        <w:t>internet</w:t>
      </w:r>
      <w:r>
        <w:rPr>
          <w:i/>
          <w:color w:val="231F20"/>
          <w:spacing w:val="-4"/>
          <w:sz w:val="22"/>
          <w:vertAlign w:val="baseline"/>
        </w:rPr>
        <w:t> </w:t>
      </w:r>
      <w:r>
        <w:rPr>
          <w:i/>
          <w:color w:val="231F20"/>
          <w:sz w:val="22"/>
          <w:vertAlign w:val="baseline"/>
        </w:rPr>
        <w:t>and</w:t>
      </w:r>
      <w:r>
        <w:rPr>
          <w:i/>
          <w:color w:val="231F20"/>
          <w:spacing w:val="-3"/>
          <w:sz w:val="22"/>
          <w:vertAlign w:val="baseline"/>
        </w:rPr>
        <w:t> </w:t>
      </w:r>
      <w:r>
        <w:rPr>
          <w:i/>
          <w:color w:val="231F20"/>
          <w:sz w:val="22"/>
          <w:vertAlign w:val="baseline"/>
        </w:rPr>
        <w:t>home</w:t>
      </w:r>
      <w:r>
        <w:rPr>
          <w:i/>
          <w:color w:val="231F20"/>
          <w:spacing w:val="-4"/>
          <w:sz w:val="22"/>
          <w:vertAlign w:val="baseline"/>
        </w:rPr>
        <w:t> </w:t>
      </w:r>
      <w:r>
        <w:rPr>
          <w:i/>
          <w:color w:val="231F20"/>
          <w:sz w:val="22"/>
          <w:vertAlign w:val="baseline"/>
        </w:rPr>
        <w:t>broadband</w:t>
      </w:r>
      <w:r>
        <w:rPr>
          <w:i/>
          <w:color w:val="231F20"/>
          <w:spacing w:val="-3"/>
          <w:sz w:val="22"/>
          <w:vertAlign w:val="baseline"/>
        </w:rPr>
        <w:t> </w:t>
      </w:r>
      <w:r>
        <w:rPr>
          <w:i/>
          <w:color w:val="231F20"/>
          <w:sz w:val="22"/>
          <w:vertAlign w:val="baseline"/>
        </w:rPr>
        <w:t>usage</w:t>
      </w:r>
      <w:r>
        <w:rPr>
          <w:i/>
          <w:color w:val="231F20"/>
          <w:spacing w:val="-4"/>
          <w:sz w:val="22"/>
          <w:vertAlign w:val="baseline"/>
        </w:rPr>
        <w:t> </w:t>
      </w:r>
      <w:r>
        <w:rPr>
          <w:i/>
          <w:color w:val="231F20"/>
          <w:sz w:val="22"/>
          <w:vertAlign w:val="baseline"/>
        </w:rPr>
        <w:t>in</w:t>
      </w:r>
      <w:r>
        <w:rPr>
          <w:i/>
          <w:color w:val="231F20"/>
          <w:spacing w:val="-3"/>
          <w:sz w:val="22"/>
          <w:vertAlign w:val="baseline"/>
        </w:rPr>
        <w:t> </w:t>
      </w:r>
      <w:r>
        <w:rPr>
          <w:i/>
          <w:color w:val="231F20"/>
          <w:sz w:val="22"/>
          <w:vertAlign w:val="baseline"/>
        </w:rPr>
        <w:t>the</w:t>
      </w:r>
      <w:r>
        <w:rPr>
          <w:i/>
          <w:color w:val="231F20"/>
          <w:spacing w:val="-4"/>
          <w:sz w:val="22"/>
          <w:vertAlign w:val="baseline"/>
        </w:rPr>
        <w:t> </w:t>
      </w:r>
      <w:r>
        <w:rPr>
          <w:i/>
          <w:color w:val="231F20"/>
          <w:sz w:val="22"/>
          <w:vertAlign w:val="baseline"/>
        </w:rPr>
        <w:t>United</w:t>
      </w:r>
      <w:r>
        <w:rPr>
          <w:i/>
          <w:color w:val="231F20"/>
          <w:spacing w:val="-52"/>
          <w:sz w:val="22"/>
          <w:vertAlign w:val="baseline"/>
        </w:rPr>
        <w:t> </w:t>
      </w:r>
      <w:r>
        <w:rPr>
          <w:i/>
          <w:color w:val="231F20"/>
          <w:sz w:val="22"/>
          <w:vertAlign w:val="baseline"/>
        </w:rPr>
        <w:t>States</w:t>
      </w:r>
      <w:r>
        <w:rPr>
          <w:color w:val="231F20"/>
          <w:sz w:val="22"/>
          <w:vertAlign w:val="baseline"/>
        </w:rPr>
        <w:t>. </w:t>
      </w:r>
      <w:hyperlink r:id="rId106">
        <w:r>
          <w:rPr>
            <w:color w:val="3953A4"/>
            <w:sz w:val="22"/>
            <w:u w:val="single" w:color="3953A4"/>
            <w:vertAlign w:val="baseline"/>
          </w:rPr>
          <w:t>http://www.pewinternet.org/fact-sheet/</w:t>
        </w:r>
      </w:hyperlink>
      <w:r>
        <w:rPr>
          <w:color w:val="3953A4"/>
          <w:spacing w:val="1"/>
          <w:sz w:val="22"/>
          <w:vertAlign w:val="baseline"/>
        </w:rPr>
        <w:t> </w:t>
      </w:r>
      <w:hyperlink r:id="rId106">
        <w:r>
          <w:rPr>
            <w:color w:val="3953A4"/>
            <w:sz w:val="22"/>
            <w:u w:val="single" w:color="3953A4"/>
            <w:vertAlign w:val="baseline"/>
          </w:rPr>
          <w:t>internet-broadband/</w:t>
        </w:r>
      </w:hyperlink>
    </w:p>
    <w:p>
      <w:pPr>
        <w:spacing w:after="0" w:line="228" w:lineRule="auto"/>
        <w:jc w:val="left"/>
        <w:rPr>
          <w:sz w:val="22"/>
        </w:rPr>
        <w:sectPr>
          <w:type w:val="continuous"/>
          <w:pgSz w:w="12240" w:h="15840"/>
          <w:pgMar w:header="0" w:footer="666" w:top="1500" w:bottom="0" w:left="600" w:right="0"/>
          <w:cols w:num="2" w:equalWidth="0">
            <w:col w:w="5150" w:space="610"/>
            <w:col w:w="5880"/>
          </w:cols>
        </w:sectPr>
      </w:pPr>
    </w:p>
    <w:p>
      <w:pPr>
        <w:pStyle w:val="BodyText"/>
        <w:ind w:left="-600"/>
        <w:rPr>
          <w:sz w:val="20"/>
        </w:rPr>
      </w:pPr>
      <w:r>
        <w:rPr/>
        <w:pict>
          <v:group style="position:absolute;margin-left:0pt;margin-top:0pt;width:612pt;height:745.7pt;mso-position-horizontal-relative:page;mso-position-vertical-relative:page;z-index:-17880576" id="docshapegroup61" coordorigin="0,0" coordsize="12240,14914">
            <v:rect style="position:absolute;left:2390;top:0;width:4090;height:394" id="docshape62" filled="true" fillcolor="#1d384a" stroked="false">
              <v:fill type="solid"/>
            </v:rect>
            <v:rect style="position:absolute;left:6480;top:0;width:5760;height:394" id="docshape63" filled="true" fillcolor="#ce372e" stroked="false">
              <v:fill type="solid"/>
            </v:rect>
            <v:rect style="position:absolute;left:0;top:14894;width:12240;height:20" id="docshape64" filled="true" fillcolor="#1d384a" stroked="false">
              <v:fill type="solid"/>
            </v:rect>
            <v:shape style="position:absolute;left:6480;top:393;width:5760;height:14521" type="#_x0000_t75" id="docshape65" alt="Picture of a person holding a prescription bottle talking through an electronic device.  " stroked="false">
              <v:imagedata r:id="rId109" o:title=""/>
            </v:shape>
            <w10:wrap type="none"/>
          </v:group>
        </w:pict>
      </w:r>
      <w:bookmarkStart w:name="_bookmark2" w:id="14"/>
      <w:bookmarkEnd w:id="14"/>
      <w:r>
        <w:rPr/>
      </w:r>
      <w:r>
        <w:rPr>
          <w:sz w:val="20"/>
        </w:rPr>
        <w:pict>
          <v:group style="width:119.55pt;height:111.25pt;mso-position-horizontal-relative:char;mso-position-vertical-relative:line" id="docshapegroup66" coordorigin="0,0" coordsize="2391,2225">
            <v:rect style="position:absolute;left:0;top:0;width:720;height:394" id="docshape67" filled="true" fillcolor="#1d384a" stroked="false">
              <v:fill type="solid"/>
            </v:rect>
            <v:shape style="position:absolute;left:720;top:0;width:1671;height:2225" type="#_x0000_t202" id="docshape68" filled="true" fillcolor="#cf382d" stroked="false">
              <v:textbox inset="0,0,0,0">
                <w:txbxContent>
                  <w:p>
                    <w:pPr>
                      <w:spacing w:line="1580" w:lineRule="exact" w:before="644"/>
                      <w:ind w:left="354" w:right="0" w:firstLine="0"/>
                      <w:jc w:val="left"/>
                      <w:rPr>
                        <w:rFonts w:ascii="Arial"/>
                        <w:color w:val="000000"/>
                        <w:sz w:val="16"/>
                      </w:rPr>
                    </w:pPr>
                    <w:bookmarkStart w:name="2 What Research Tells Us" w:id="15"/>
                    <w:bookmarkEnd w:id="15"/>
                    <w:r>
                      <w:rPr>
                        <w:color w:val="000000"/>
                      </w:rPr>
                    </w:r>
                    <w:r>
                      <w:rPr>
                        <w:rFonts w:ascii="Arial Black"/>
                        <w:color w:val="FFFFFF"/>
                        <w:spacing w:val="-911"/>
                        <w:position w:val="-119"/>
                        <w:sz w:val="144"/>
                      </w:rPr>
                      <w:t>2</w:t>
                    </w:r>
                    <w:r>
                      <w:rPr>
                        <w:rFonts w:ascii="Arial"/>
                        <w:color w:val="FFFFFF"/>
                        <w:spacing w:val="16"/>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p>
    <w:p>
      <w:pPr>
        <w:pStyle w:val="Heading1"/>
        <w:spacing w:line="196" w:lineRule="auto" w:before="180"/>
        <w:ind w:right="8255"/>
      </w:pPr>
      <w:r>
        <w:rPr>
          <w:color w:val="1C384B"/>
          <w:spacing w:val="-3"/>
        </w:rPr>
        <w:t>What</w:t>
      </w:r>
      <w:r>
        <w:rPr>
          <w:color w:val="1C384B"/>
          <w:spacing w:val="-31"/>
        </w:rPr>
        <w:t> </w:t>
      </w:r>
      <w:r>
        <w:rPr>
          <w:color w:val="1C384B"/>
          <w:spacing w:val="-3"/>
        </w:rPr>
        <w:t>Research</w:t>
      </w:r>
      <w:r>
        <w:rPr>
          <w:color w:val="1C384B"/>
          <w:spacing w:val="-130"/>
        </w:rPr>
        <w:t> </w:t>
      </w:r>
      <w:r>
        <w:rPr>
          <w:color w:val="1C384B"/>
        </w:rPr>
        <w:t>Tells</w:t>
      </w:r>
      <w:r>
        <w:rPr>
          <w:color w:val="1C384B"/>
          <w:spacing w:val="-13"/>
        </w:rPr>
        <w:t> </w:t>
      </w:r>
      <w:r>
        <w:rPr>
          <w:color w:val="1C384B"/>
        </w:rPr>
        <w:t>Us</w:t>
      </w:r>
    </w:p>
    <w:p>
      <w:pPr>
        <w:pStyle w:val="BodyText"/>
        <w:spacing w:before="12"/>
        <w:rPr>
          <w:rFonts w:ascii="Arial Black"/>
          <w:sz w:val="24"/>
        </w:rPr>
      </w:pPr>
      <w:r>
        <w:rPr/>
        <w:pict>
          <v:shape style="position:absolute;margin-left:35.5pt;margin-top:18.73003pt;width:252.5pt;height:.1pt;mso-position-horizontal-relative:page;mso-position-vertical-relative:paragraph;z-index:-15718400;mso-wrap-distance-left:0;mso-wrap-distance-right:0" id="docshape69" coordorigin="710,375" coordsize="5050,0" path="m710,375l5760,375e" filled="false" stroked="true" strokeweight="1pt" strokecolor="#ce372e">
            <v:path arrowok="t"/>
            <v:stroke dashstyle="solid"/>
            <w10:wrap type="topAndBottom"/>
          </v:shape>
        </w:pict>
      </w:r>
    </w:p>
    <w:p>
      <w:pPr>
        <w:pStyle w:val="BodyText"/>
        <w:spacing w:before="9"/>
        <w:rPr>
          <w:rFonts w:ascii="Arial Black"/>
          <w:sz w:val="18"/>
        </w:rPr>
      </w:pPr>
    </w:p>
    <w:p>
      <w:pPr>
        <w:pStyle w:val="BodyText"/>
        <w:spacing w:line="266" w:lineRule="auto" w:before="91"/>
        <w:ind w:left="110" w:right="6487"/>
      </w:pPr>
      <w:r>
        <w:rPr>
          <w:color w:val="231F20"/>
        </w:rPr>
        <w:t>Telehealth is the use of two-way, interactive, video and/</w:t>
      </w:r>
      <w:r>
        <w:rPr>
          <w:color w:val="231F20"/>
          <w:spacing w:val="1"/>
        </w:rPr>
        <w:t> </w:t>
      </w:r>
      <w:r>
        <w:rPr>
          <w:color w:val="231F20"/>
        </w:rPr>
        <w:t>or audio technology to provide health care to individuals</w:t>
      </w:r>
      <w:r>
        <w:rPr>
          <w:color w:val="231F20"/>
          <w:spacing w:val="1"/>
        </w:rPr>
        <w:t> </w:t>
      </w:r>
      <w:r>
        <w:rPr>
          <w:color w:val="231F20"/>
        </w:rPr>
        <w:t>experiencing serious mental illness (SMI) or substance</w:t>
      </w:r>
      <w:r>
        <w:rPr>
          <w:color w:val="231F20"/>
          <w:spacing w:val="1"/>
        </w:rPr>
        <w:t> </w:t>
      </w:r>
      <w:r>
        <w:rPr>
          <w:color w:val="231F20"/>
        </w:rPr>
        <w:t>use disorder (SUD). The goal of this chapter is to present</w:t>
      </w:r>
      <w:r>
        <w:rPr>
          <w:color w:val="231F20"/>
          <w:spacing w:val="-52"/>
        </w:rPr>
        <w:t> </w:t>
      </w:r>
      <w:r>
        <w:rPr>
          <w:color w:val="231F20"/>
        </w:rPr>
        <w:t>the evidence for specific telehealth-delivered treatments</w:t>
      </w:r>
      <w:r>
        <w:rPr>
          <w:color w:val="231F20"/>
          <w:spacing w:val="1"/>
        </w:rPr>
        <w:t> </w:t>
      </w:r>
      <w:r>
        <w:rPr>
          <w:color w:val="231F20"/>
        </w:rPr>
        <w:t>for individuals with SMI, SUD, and co-occurring</w:t>
      </w:r>
      <w:r>
        <w:rPr>
          <w:color w:val="231F20"/>
          <w:spacing w:val="1"/>
        </w:rPr>
        <w:t> </w:t>
      </w:r>
      <w:r>
        <w:rPr>
          <w:color w:val="231F20"/>
        </w:rPr>
        <w:t>disorders</w:t>
      </w:r>
      <w:r>
        <w:rPr>
          <w:color w:val="231F20"/>
          <w:spacing w:val="3"/>
        </w:rPr>
        <w:t> </w:t>
      </w:r>
      <w:r>
        <w:rPr>
          <w:color w:val="231F20"/>
        </w:rPr>
        <w:t>(CODs).</w:t>
      </w:r>
      <w:r>
        <w:rPr>
          <w:color w:val="231F20"/>
          <w:spacing w:val="-1"/>
        </w:rPr>
        <w:t> </w:t>
      </w:r>
      <w:r>
        <w:rPr>
          <w:color w:val="231F20"/>
        </w:rPr>
        <w:t>While</w:t>
      </w:r>
      <w:r>
        <w:rPr>
          <w:color w:val="231F20"/>
          <w:spacing w:val="3"/>
        </w:rPr>
        <w:t> </w:t>
      </w:r>
      <w:r>
        <w:rPr>
          <w:color w:val="231F20"/>
        </w:rPr>
        <w:t>telehealth</w:t>
      </w:r>
      <w:r>
        <w:rPr>
          <w:color w:val="231F20"/>
          <w:spacing w:val="3"/>
        </w:rPr>
        <w:t> </w:t>
      </w:r>
      <w:r>
        <w:rPr>
          <w:color w:val="231F20"/>
        </w:rPr>
        <w:t>modalities</w:t>
      </w:r>
      <w:r>
        <w:rPr>
          <w:color w:val="231F20"/>
          <w:spacing w:val="3"/>
        </w:rPr>
        <w:t> </w:t>
      </w:r>
      <w:r>
        <w:rPr>
          <w:color w:val="231F20"/>
        </w:rPr>
        <w:t>for</w:t>
      </w:r>
      <w:r>
        <w:rPr>
          <w:color w:val="231F20"/>
          <w:spacing w:val="3"/>
        </w:rPr>
        <w:t> </w:t>
      </w:r>
      <w:r>
        <w:rPr>
          <w:color w:val="231F20"/>
        </w:rPr>
        <w:t>SMI</w:t>
      </w:r>
      <w:r>
        <w:rPr>
          <w:color w:val="231F20"/>
          <w:spacing w:val="1"/>
        </w:rPr>
        <w:t> </w:t>
      </w:r>
      <w:r>
        <w:rPr>
          <w:color w:val="231F20"/>
        </w:rPr>
        <w:t>or SUD may be synchronous (real-time) or asynchronous</w:t>
      </w:r>
      <w:r>
        <w:rPr>
          <w:color w:val="231F20"/>
          <w:spacing w:val="-53"/>
        </w:rPr>
        <w:t> </w:t>
      </w:r>
      <w:r>
        <w:rPr>
          <w:color w:val="231F20"/>
        </w:rPr>
        <w:t>(non-urgent communication between clients and</w:t>
      </w:r>
      <w:r>
        <w:rPr>
          <w:color w:val="231F20"/>
          <w:spacing w:val="1"/>
        </w:rPr>
        <w:t> </w:t>
      </w:r>
      <w:r>
        <w:rPr>
          <w:color w:val="231F20"/>
        </w:rPr>
        <w:t>providers),</w:t>
      </w:r>
      <w:r>
        <w:rPr>
          <w:color w:val="231F20"/>
          <w:spacing w:val="4"/>
        </w:rPr>
        <w:t> </w:t>
      </w:r>
      <w:r>
        <w:rPr>
          <w:color w:val="231F20"/>
        </w:rPr>
        <w:t>the</w:t>
      </w:r>
      <w:r>
        <w:rPr>
          <w:color w:val="231F20"/>
          <w:spacing w:val="5"/>
        </w:rPr>
        <w:t> </w:t>
      </w:r>
      <w:r>
        <w:rPr>
          <w:color w:val="231F20"/>
        </w:rPr>
        <w:t>evidence</w:t>
      </w:r>
      <w:r>
        <w:rPr>
          <w:color w:val="231F20"/>
          <w:spacing w:val="5"/>
        </w:rPr>
        <w:t> </w:t>
      </w:r>
      <w:r>
        <w:rPr>
          <w:color w:val="231F20"/>
        </w:rPr>
        <w:t>review</w:t>
      </w:r>
      <w:r>
        <w:rPr>
          <w:color w:val="231F20"/>
          <w:spacing w:val="5"/>
        </w:rPr>
        <w:t> </w:t>
      </w:r>
      <w:r>
        <w:rPr>
          <w:color w:val="231F20"/>
        </w:rPr>
        <w:t>in</w:t>
      </w:r>
      <w:r>
        <w:rPr>
          <w:color w:val="231F20"/>
          <w:spacing w:val="5"/>
        </w:rPr>
        <w:t> </w:t>
      </w:r>
      <w:r>
        <w:rPr>
          <w:color w:val="231F20"/>
        </w:rPr>
        <w:t>this</w:t>
      </w:r>
      <w:r>
        <w:rPr>
          <w:color w:val="231F20"/>
          <w:spacing w:val="4"/>
        </w:rPr>
        <w:t> </w:t>
      </w:r>
      <w:r>
        <w:rPr>
          <w:color w:val="231F20"/>
        </w:rPr>
        <w:t>chapter</w:t>
      </w:r>
      <w:r>
        <w:rPr>
          <w:color w:val="231F20"/>
          <w:spacing w:val="5"/>
        </w:rPr>
        <w:t> </w:t>
      </w:r>
      <w:r>
        <w:rPr>
          <w:color w:val="231F20"/>
        </w:rPr>
        <w:t>focuses</w:t>
      </w:r>
      <w:r>
        <w:rPr>
          <w:color w:val="231F20"/>
          <w:spacing w:val="1"/>
        </w:rPr>
        <w:t> </w:t>
      </w:r>
      <w:r>
        <w:rPr>
          <w:color w:val="231F20"/>
        </w:rPr>
        <w:t>on synchronous interventions to treat SMI or SUD. In</w:t>
      </w:r>
      <w:r>
        <w:rPr>
          <w:color w:val="231F20"/>
          <w:spacing w:val="1"/>
        </w:rPr>
        <w:t> </w:t>
      </w:r>
      <w:r>
        <w:rPr>
          <w:color w:val="231F20"/>
        </w:rPr>
        <w:t>addition to treatments via telehealth modalities, this</w:t>
      </w:r>
      <w:r>
        <w:rPr>
          <w:color w:val="231F20"/>
          <w:spacing w:val="1"/>
        </w:rPr>
        <w:t> </w:t>
      </w:r>
      <w:r>
        <w:rPr>
          <w:color w:val="231F20"/>
        </w:rPr>
        <w:t>chapter also</w:t>
      </w:r>
      <w:r>
        <w:rPr>
          <w:color w:val="231F20"/>
          <w:spacing w:val="-1"/>
        </w:rPr>
        <w:t> </w:t>
      </w:r>
      <w:r>
        <w:rPr>
          <w:color w:val="231F20"/>
        </w:rPr>
        <w:t>provides information on ways programs</w:t>
      </w:r>
    </w:p>
    <w:p>
      <w:pPr>
        <w:pStyle w:val="BodyText"/>
        <w:spacing w:line="266" w:lineRule="auto"/>
        <w:ind w:left="110" w:right="6506"/>
      </w:pPr>
      <w:r>
        <w:rPr>
          <w:color w:val="231F20"/>
        </w:rPr>
        <w:t>can provide telehealth-delivered services along the</w:t>
      </w:r>
      <w:r>
        <w:rPr>
          <w:color w:val="231F20"/>
          <w:spacing w:val="1"/>
        </w:rPr>
        <w:t> </w:t>
      </w:r>
      <w:r>
        <w:rPr>
          <w:color w:val="231F20"/>
        </w:rPr>
        <w:t>continuum of care for SMI and SUD, which includes</w:t>
      </w:r>
      <w:r>
        <w:rPr>
          <w:color w:val="231F20"/>
          <w:spacing w:val="1"/>
        </w:rPr>
        <w:t> </w:t>
      </w:r>
      <w:r>
        <w:rPr>
          <w:color w:val="231F20"/>
        </w:rPr>
        <w:t>screening and assessment, medication management, case</w:t>
      </w:r>
      <w:r>
        <w:rPr>
          <w:color w:val="231F20"/>
          <w:spacing w:val="-52"/>
        </w:rPr>
        <w:t> </w:t>
      </w:r>
      <w:r>
        <w:rPr>
          <w:color w:val="231F20"/>
        </w:rPr>
        <w:t>management, recovery</w:t>
      </w:r>
      <w:r>
        <w:rPr>
          <w:color w:val="231F20"/>
          <w:spacing w:val="-1"/>
        </w:rPr>
        <w:t> </w:t>
      </w:r>
      <w:r>
        <w:rPr>
          <w:color w:val="231F20"/>
        </w:rPr>
        <w:t>support, and crisis services.</w:t>
      </w:r>
    </w:p>
    <w:p>
      <w:pPr>
        <w:pStyle w:val="BodyText"/>
        <w:spacing w:before="8"/>
        <w:rPr>
          <w:sz w:val="13"/>
        </w:rPr>
      </w:pPr>
      <w:r>
        <w:rPr/>
        <w:pict>
          <v:group style="position:absolute;margin-left:36pt;margin-top:9.074366pt;width:251pt;height:189pt;mso-position-horizontal-relative:page;mso-position-vertical-relative:paragraph;z-index:-15717888;mso-wrap-distance-left:0;mso-wrap-distance-right:0" id="docshapegroup70" coordorigin="720,181" coordsize="5020,3780">
            <v:shape style="position:absolute;left:720;top:181;width:5020;height:3780" id="docshape71" coordorigin="720,181" coordsize="5020,3780" path="m5650,181l810,181,775,189,746,208,727,236,720,271,720,3871,727,3907,746,3935,775,3954,810,3961,5650,3961,5685,3954,5714,3935,5733,3907,5740,3871,5740,271,5733,236,5714,208,5685,189,5650,181xe" filled="true" fillcolor="#f7e0e0" stroked="false">
              <v:path arrowok="t"/>
              <v:fill type="solid"/>
            </v:shape>
            <v:shape style="position:absolute;left:720;top:181;width:5020;height:3780" type="#_x0000_t202" id="docshape72" filled="false" stroked="false">
              <v:textbox inset="0,0,0,0">
                <w:txbxContent>
                  <w:p>
                    <w:pPr>
                      <w:spacing w:line="240" w:lineRule="auto" w:before="5"/>
                      <w:rPr>
                        <w:sz w:val="25"/>
                      </w:rPr>
                    </w:pPr>
                  </w:p>
                  <w:p>
                    <w:pPr>
                      <w:spacing w:line="288" w:lineRule="auto" w:before="1"/>
                      <w:ind w:left="384" w:right="876" w:firstLine="0"/>
                      <w:jc w:val="left"/>
                      <w:rPr>
                        <w:rFonts w:ascii="Arial"/>
                        <w:b/>
                        <w:sz w:val="26"/>
                      </w:rPr>
                    </w:pPr>
                    <w:r>
                      <w:rPr>
                        <w:rFonts w:ascii="Arial"/>
                        <w:b/>
                        <w:color w:val="1C384B"/>
                        <w:sz w:val="26"/>
                      </w:rPr>
                      <w:t>Telehealth</w:t>
                    </w:r>
                    <w:r>
                      <w:rPr>
                        <w:rFonts w:ascii="Arial"/>
                        <w:b/>
                        <w:color w:val="1C384B"/>
                        <w:spacing w:val="10"/>
                        <w:sz w:val="26"/>
                      </w:rPr>
                      <w:t> </w:t>
                    </w:r>
                    <w:r>
                      <w:rPr>
                        <w:rFonts w:ascii="Arial"/>
                        <w:b/>
                        <w:color w:val="1C384B"/>
                        <w:sz w:val="26"/>
                      </w:rPr>
                      <w:t>is</w:t>
                    </w:r>
                    <w:r>
                      <w:rPr>
                        <w:rFonts w:ascii="Arial"/>
                        <w:b/>
                        <w:color w:val="1C384B"/>
                        <w:spacing w:val="10"/>
                        <w:sz w:val="26"/>
                      </w:rPr>
                      <w:t> </w:t>
                    </w:r>
                    <w:r>
                      <w:rPr>
                        <w:rFonts w:ascii="Arial"/>
                        <w:b/>
                        <w:color w:val="1C384B"/>
                        <w:sz w:val="26"/>
                      </w:rPr>
                      <w:t>effective</w:t>
                    </w:r>
                    <w:r>
                      <w:rPr>
                        <w:rFonts w:ascii="Arial"/>
                        <w:b/>
                        <w:color w:val="1C384B"/>
                        <w:spacing w:val="10"/>
                        <w:sz w:val="26"/>
                      </w:rPr>
                      <w:t> </w:t>
                    </w:r>
                    <w:r>
                      <w:rPr>
                        <w:rFonts w:ascii="Arial"/>
                        <w:b/>
                        <w:color w:val="1C384B"/>
                        <w:sz w:val="26"/>
                      </w:rPr>
                      <w:t>across</w:t>
                    </w:r>
                    <w:r>
                      <w:rPr>
                        <w:rFonts w:ascii="Arial"/>
                        <w:b/>
                        <w:color w:val="1C384B"/>
                        <w:spacing w:val="1"/>
                        <w:sz w:val="26"/>
                      </w:rPr>
                      <w:t> </w:t>
                    </w:r>
                    <w:r>
                      <w:rPr>
                        <w:rFonts w:ascii="Arial"/>
                        <w:b/>
                        <w:color w:val="1C384B"/>
                        <w:sz w:val="26"/>
                      </w:rPr>
                      <w:t>the</w:t>
                    </w:r>
                    <w:r>
                      <w:rPr>
                        <w:rFonts w:ascii="Arial"/>
                        <w:b/>
                        <w:color w:val="1C384B"/>
                        <w:spacing w:val="12"/>
                        <w:sz w:val="26"/>
                      </w:rPr>
                      <w:t> </w:t>
                    </w:r>
                    <w:r>
                      <w:rPr>
                        <w:rFonts w:ascii="Arial"/>
                        <w:b/>
                        <w:color w:val="1C384B"/>
                        <w:sz w:val="26"/>
                      </w:rPr>
                      <w:t>continuum</w:t>
                    </w:r>
                    <w:r>
                      <w:rPr>
                        <w:rFonts w:ascii="Arial"/>
                        <w:b/>
                        <w:color w:val="1C384B"/>
                        <w:spacing w:val="12"/>
                        <w:sz w:val="26"/>
                      </w:rPr>
                      <w:t> </w:t>
                    </w:r>
                    <w:r>
                      <w:rPr>
                        <w:rFonts w:ascii="Arial"/>
                        <w:b/>
                        <w:color w:val="1C384B"/>
                        <w:sz w:val="26"/>
                      </w:rPr>
                      <w:t>of</w:t>
                    </w:r>
                    <w:r>
                      <w:rPr>
                        <w:rFonts w:ascii="Arial"/>
                        <w:b/>
                        <w:color w:val="1C384B"/>
                        <w:spacing w:val="12"/>
                        <w:sz w:val="26"/>
                      </w:rPr>
                      <w:t> </w:t>
                    </w:r>
                    <w:r>
                      <w:rPr>
                        <w:rFonts w:ascii="Arial"/>
                        <w:b/>
                        <w:color w:val="1C384B"/>
                        <w:sz w:val="26"/>
                      </w:rPr>
                      <w:t>care</w:t>
                    </w:r>
                    <w:r>
                      <w:rPr>
                        <w:rFonts w:ascii="Arial"/>
                        <w:b/>
                        <w:color w:val="1C384B"/>
                        <w:spacing w:val="12"/>
                        <w:sz w:val="26"/>
                      </w:rPr>
                      <w:t> </w:t>
                    </w:r>
                    <w:r>
                      <w:rPr>
                        <w:rFonts w:ascii="Arial"/>
                        <w:b/>
                        <w:color w:val="1C384B"/>
                        <w:sz w:val="26"/>
                      </w:rPr>
                      <w:t>for</w:t>
                    </w:r>
                    <w:r>
                      <w:rPr>
                        <w:rFonts w:ascii="Arial"/>
                        <w:b/>
                        <w:color w:val="1C384B"/>
                        <w:spacing w:val="12"/>
                        <w:sz w:val="26"/>
                      </w:rPr>
                      <w:t> </w:t>
                    </w:r>
                    <w:r>
                      <w:rPr>
                        <w:rFonts w:ascii="Arial"/>
                        <w:b/>
                        <w:color w:val="1C384B"/>
                        <w:sz w:val="26"/>
                      </w:rPr>
                      <w:t>SMI</w:t>
                    </w:r>
                    <w:r>
                      <w:rPr>
                        <w:rFonts w:ascii="Arial"/>
                        <w:b/>
                        <w:color w:val="1C384B"/>
                        <w:spacing w:val="-69"/>
                        <w:sz w:val="26"/>
                      </w:rPr>
                      <w:t> </w:t>
                    </w:r>
                    <w:r>
                      <w:rPr>
                        <w:rFonts w:ascii="Arial"/>
                        <w:b/>
                        <w:color w:val="1C384B"/>
                        <w:sz w:val="26"/>
                      </w:rPr>
                      <w:t>and</w:t>
                    </w:r>
                    <w:r>
                      <w:rPr>
                        <w:rFonts w:ascii="Arial"/>
                        <w:b/>
                        <w:color w:val="1C384B"/>
                        <w:spacing w:val="18"/>
                        <w:sz w:val="26"/>
                      </w:rPr>
                      <w:t> </w:t>
                    </w:r>
                    <w:r>
                      <w:rPr>
                        <w:rFonts w:ascii="Arial"/>
                        <w:b/>
                        <w:color w:val="1C384B"/>
                        <w:sz w:val="26"/>
                      </w:rPr>
                      <w:t>SUD,</w:t>
                    </w:r>
                    <w:r>
                      <w:rPr>
                        <w:rFonts w:ascii="Arial"/>
                        <w:b/>
                        <w:color w:val="1C384B"/>
                        <w:spacing w:val="19"/>
                        <w:sz w:val="26"/>
                      </w:rPr>
                      <w:t> </w:t>
                    </w:r>
                    <w:r>
                      <w:rPr>
                        <w:rFonts w:ascii="Arial"/>
                        <w:b/>
                        <w:color w:val="1C384B"/>
                        <w:sz w:val="26"/>
                      </w:rPr>
                      <w:t>including</w:t>
                    </w:r>
                    <w:r>
                      <w:rPr>
                        <w:rFonts w:ascii="Arial"/>
                        <w:b/>
                        <w:color w:val="1C384B"/>
                        <w:spacing w:val="19"/>
                        <w:sz w:val="26"/>
                      </w:rPr>
                      <w:t> </w:t>
                    </w:r>
                    <w:r>
                      <w:rPr>
                        <w:rFonts w:ascii="Arial"/>
                        <w:b/>
                        <w:color w:val="1C384B"/>
                        <w:sz w:val="26"/>
                      </w:rPr>
                      <w:t>screening</w:t>
                    </w:r>
                    <w:r>
                      <w:rPr>
                        <w:rFonts w:ascii="Arial"/>
                        <w:b/>
                        <w:color w:val="1C384B"/>
                        <w:spacing w:val="-69"/>
                        <w:sz w:val="26"/>
                      </w:rPr>
                      <w:t> </w:t>
                    </w:r>
                    <w:r>
                      <w:rPr>
                        <w:rFonts w:ascii="Arial"/>
                        <w:b/>
                        <w:color w:val="1C384B"/>
                        <w:sz w:val="26"/>
                      </w:rPr>
                      <w:t>and</w:t>
                    </w:r>
                    <w:r>
                      <w:rPr>
                        <w:rFonts w:ascii="Arial"/>
                        <w:b/>
                        <w:color w:val="1C384B"/>
                        <w:spacing w:val="17"/>
                        <w:sz w:val="26"/>
                      </w:rPr>
                      <w:t> </w:t>
                    </w:r>
                    <w:r>
                      <w:rPr>
                        <w:rFonts w:ascii="Arial"/>
                        <w:b/>
                        <w:color w:val="1C384B"/>
                        <w:sz w:val="26"/>
                      </w:rPr>
                      <w:t>assessment,</w:t>
                    </w:r>
                    <w:r>
                      <w:rPr>
                        <w:rFonts w:ascii="Arial"/>
                        <w:b/>
                        <w:color w:val="1C384B"/>
                        <w:spacing w:val="17"/>
                        <w:sz w:val="26"/>
                      </w:rPr>
                      <w:t> </w:t>
                    </w:r>
                    <w:r>
                      <w:rPr>
                        <w:rFonts w:ascii="Arial"/>
                        <w:b/>
                        <w:color w:val="1C384B"/>
                        <w:sz w:val="26"/>
                      </w:rPr>
                      <w:t>treatments,</w:t>
                    </w:r>
                    <w:r>
                      <w:rPr>
                        <w:rFonts w:ascii="Arial"/>
                        <w:b/>
                        <w:color w:val="1C384B"/>
                        <w:spacing w:val="1"/>
                        <w:sz w:val="26"/>
                      </w:rPr>
                      <w:t> </w:t>
                    </w:r>
                    <w:r>
                      <w:rPr>
                        <w:rFonts w:ascii="Arial"/>
                        <w:b/>
                        <w:color w:val="1C384B"/>
                        <w:sz w:val="26"/>
                      </w:rPr>
                      <w:t>including</w:t>
                    </w:r>
                    <w:r>
                      <w:rPr>
                        <w:rFonts w:ascii="Arial"/>
                        <w:b/>
                        <w:color w:val="1C384B"/>
                        <w:spacing w:val="11"/>
                        <w:sz w:val="26"/>
                      </w:rPr>
                      <w:t> </w:t>
                    </w:r>
                    <w:r>
                      <w:rPr>
                        <w:rFonts w:ascii="Arial"/>
                        <w:b/>
                        <w:color w:val="1C384B"/>
                        <w:sz w:val="26"/>
                      </w:rPr>
                      <w:t>pharmacotherapy,</w:t>
                    </w:r>
                    <w:r>
                      <w:rPr>
                        <w:rFonts w:ascii="Arial"/>
                        <w:b/>
                        <w:color w:val="1C384B"/>
                        <w:spacing w:val="1"/>
                        <w:sz w:val="26"/>
                      </w:rPr>
                      <w:t> </w:t>
                    </w:r>
                    <w:r>
                      <w:rPr>
                        <w:rFonts w:ascii="Arial"/>
                        <w:b/>
                        <w:color w:val="1C384B"/>
                        <w:sz w:val="26"/>
                      </w:rPr>
                      <w:t>medication</w:t>
                    </w:r>
                    <w:r>
                      <w:rPr>
                        <w:rFonts w:ascii="Arial"/>
                        <w:b/>
                        <w:color w:val="1C384B"/>
                        <w:spacing w:val="21"/>
                        <w:sz w:val="26"/>
                      </w:rPr>
                      <w:t> </w:t>
                    </w:r>
                    <w:r>
                      <w:rPr>
                        <w:rFonts w:ascii="Arial"/>
                        <w:b/>
                        <w:color w:val="1C384B"/>
                        <w:sz w:val="26"/>
                      </w:rPr>
                      <w:t>management,</w:t>
                    </w:r>
                    <w:r>
                      <w:rPr>
                        <w:rFonts w:ascii="Arial"/>
                        <w:b/>
                        <w:color w:val="1C384B"/>
                        <w:spacing w:val="22"/>
                        <w:sz w:val="26"/>
                      </w:rPr>
                      <w:t> </w:t>
                    </w:r>
                    <w:r>
                      <w:rPr>
                        <w:rFonts w:ascii="Arial"/>
                        <w:b/>
                        <w:color w:val="1C384B"/>
                        <w:sz w:val="26"/>
                      </w:rPr>
                      <w:t>and</w:t>
                    </w:r>
                    <w:r>
                      <w:rPr>
                        <w:rFonts w:ascii="Arial"/>
                        <w:b/>
                        <w:color w:val="1C384B"/>
                        <w:spacing w:val="-69"/>
                        <w:sz w:val="26"/>
                      </w:rPr>
                      <w:t> </w:t>
                    </w:r>
                    <w:r>
                      <w:rPr>
                        <w:rFonts w:ascii="Arial"/>
                        <w:b/>
                        <w:color w:val="1C384B"/>
                        <w:sz w:val="26"/>
                      </w:rPr>
                      <w:t>behavioral</w:t>
                    </w:r>
                    <w:r>
                      <w:rPr>
                        <w:rFonts w:ascii="Arial"/>
                        <w:b/>
                        <w:color w:val="1C384B"/>
                        <w:spacing w:val="10"/>
                        <w:sz w:val="26"/>
                      </w:rPr>
                      <w:t> </w:t>
                    </w:r>
                    <w:r>
                      <w:rPr>
                        <w:rFonts w:ascii="Arial"/>
                        <w:b/>
                        <w:color w:val="1C384B"/>
                        <w:sz w:val="26"/>
                      </w:rPr>
                      <w:t>therapies,</w:t>
                    </w:r>
                    <w:r>
                      <w:rPr>
                        <w:rFonts w:ascii="Arial"/>
                        <w:b/>
                        <w:color w:val="1C384B"/>
                        <w:spacing w:val="11"/>
                        <w:sz w:val="26"/>
                      </w:rPr>
                      <w:t> </w:t>
                    </w:r>
                    <w:r>
                      <w:rPr>
                        <w:rFonts w:ascii="Arial"/>
                        <w:b/>
                        <w:color w:val="1C384B"/>
                        <w:sz w:val="26"/>
                      </w:rPr>
                      <w:t>case</w:t>
                    </w:r>
                  </w:p>
                  <w:p>
                    <w:pPr>
                      <w:spacing w:line="288" w:lineRule="auto" w:before="9"/>
                      <w:ind w:left="384" w:right="48" w:firstLine="0"/>
                      <w:jc w:val="left"/>
                      <w:rPr>
                        <w:rFonts w:ascii="Arial"/>
                        <w:b/>
                        <w:sz w:val="26"/>
                      </w:rPr>
                    </w:pPr>
                    <w:r>
                      <w:rPr>
                        <w:rFonts w:ascii="Arial"/>
                        <w:b/>
                        <w:color w:val="1C384B"/>
                        <w:sz w:val="26"/>
                      </w:rPr>
                      <w:t>management,</w:t>
                    </w:r>
                    <w:r>
                      <w:rPr>
                        <w:rFonts w:ascii="Arial"/>
                        <w:b/>
                        <w:color w:val="1C384B"/>
                        <w:spacing w:val="28"/>
                        <w:sz w:val="26"/>
                      </w:rPr>
                      <w:t> </w:t>
                    </w:r>
                    <w:r>
                      <w:rPr>
                        <w:rFonts w:ascii="Arial"/>
                        <w:b/>
                        <w:color w:val="1C384B"/>
                        <w:sz w:val="26"/>
                      </w:rPr>
                      <w:t>recovery</w:t>
                    </w:r>
                    <w:r>
                      <w:rPr>
                        <w:rFonts w:ascii="Arial"/>
                        <w:b/>
                        <w:color w:val="1C384B"/>
                        <w:spacing w:val="28"/>
                        <w:sz w:val="26"/>
                      </w:rPr>
                      <w:t> </w:t>
                    </w:r>
                    <w:r>
                      <w:rPr>
                        <w:rFonts w:ascii="Arial"/>
                        <w:b/>
                        <w:color w:val="1C384B"/>
                        <w:sz w:val="26"/>
                      </w:rPr>
                      <w:t>supports,</w:t>
                    </w:r>
                    <w:r>
                      <w:rPr>
                        <w:rFonts w:ascii="Arial"/>
                        <w:b/>
                        <w:color w:val="1C384B"/>
                        <w:spacing w:val="-70"/>
                        <w:sz w:val="26"/>
                      </w:rPr>
                      <w:t> </w:t>
                    </w:r>
                    <w:r>
                      <w:rPr>
                        <w:rFonts w:ascii="Arial"/>
                        <w:b/>
                        <w:color w:val="1C384B"/>
                        <w:sz w:val="26"/>
                      </w:rPr>
                      <w:t>and</w:t>
                    </w:r>
                    <w:r>
                      <w:rPr>
                        <w:rFonts w:ascii="Arial"/>
                        <w:b/>
                        <w:color w:val="1C384B"/>
                        <w:spacing w:val="6"/>
                        <w:sz w:val="26"/>
                      </w:rPr>
                      <w:t> </w:t>
                    </w:r>
                    <w:r>
                      <w:rPr>
                        <w:rFonts w:ascii="Arial"/>
                        <w:b/>
                        <w:color w:val="1C384B"/>
                        <w:sz w:val="26"/>
                      </w:rPr>
                      <w:t>crisis</w:t>
                    </w:r>
                    <w:r>
                      <w:rPr>
                        <w:rFonts w:ascii="Arial"/>
                        <w:b/>
                        <w:color w:val="1C384B"/>
                        <w:spacing w:val="6"/>
                        <w:sz w:val="26"/>
                      </w:rPr>
                      <w:t> </w:t>
                    </w:r>
                    <w:r>
                      <w:rPr>
                        <w:rFonts w:ascii="Arial"/>
                        <w:b/>
                        <w:color w:val="1C384B"/>
                        <w:sz w:val="26"/>
                      </w:rPr>
                      <w:t>services.</w:t>
                    </w:r>
                  </w:p>
                </w:txbxContent>
              </v:textbox>
              <w10:wrap type="none"/>
            </v:shape>
            <w10:wrap type="topAndBottom"/>
          </v:group>
        </w:pict>
      </w:r>
    </w:p>
    <w:p>
      <w:pPr>
        <w:spacing w:after="0"/>
        <w:rPr>
          <w:sz w:val="13"/>
        </w:rPr>
        <w:sectPr>
          <w:headerReference w:type="default" r:id="rId107"/>
          <w:footerReference w:type="default" r:id="rId108"/>
          <w:pgSz w:w="12240" w:h="15840"/>
          <w:pgMar w:header="0" w:footer="667" w:top="0" w:bottom="860" w:left="600" w:right="0"/>
        </w:sectPr>
      </w:pPr>
    </w:p>
    <w:p>
      <w:pPr>
        <w:pStyle w:val="BodyText"/>
        <w:rPr>
          <w:sz w:val="20"/>
        </w:rPr>
      </w:pPr>
    </w:p>
    <w:p>
      <w:pPr>
        <w:pStyle w:val="BodyText"/>
        <w:rPr>
          <w:sz w:val="20"/>
        </w:rPr>
      </w:pPr>
    </w:p>
    <w:p>
      <w:pPr>
        <w:pStyle w:val="BodyText"/>
        <w:spacing w:before="7"/>
        <w:rPr>
          <w:sz w:val="18"/>
        </w:rPr>
      </w:pPr>
    </w:p>
    <w:p>
      <w:pPr>
        <w:pStyle w:val="Heading3"/>
        <w:ind w:left="762" w:right="1359"/>
        <w:jc w:val="center"/>
      </w:pPr>
      <w:r>
        <w:rPr/>
        <w:pict>
          <v:shape style="position:absolute;margin-left:36pt;margin-top:.617249pt;width:540pt;height:496.8pt;mso-position-horizontal-relative:page;mso-position-vertical-relative:paragraph;z-index:-17880064" id="docshape77" coordorigin="720,12" coordsize="10800,9936" path="m11430,12l810,12,775,19,746,39,727,67,720,102,720,9858,727,9893,746,9922,775,9941,810,9948,11430,9948,11465,9941,11494,9922,11513,9893,11520,9858,11520,102,11513,67,11494,39,11465,19,11430,12xe" filled="true" fillcolor="#f7e0e0" stroked="false">
            <v:path arrowok="t"/>
            <v:fill type="solid"/>
            <w10:wrap type="none"/>
          </v:shape>
        </w:pict>
      </w:r>
      <w:bookmarkStart w:name="Evidence Review and Rating Process" w:id="16"/>
      <w:bookmarkEnd w:id="16"/>
      <w:r>
        <w:rPr/>
      </w:r>
      <w:r>
        <w:rPr>
          <w:color w:val="CE384B"/>
        </w:rPr>
        <w:t>Evidence</w:t>
      </w:r>
      <w:r>
        <w:rPr>
          <w:color w:val="CE384B"/>
          <w:spacing w:val="-5"/>
        </w:rPr>
        <w:t> </w:t>
      </w:r>
      <w:r>
        <w:rPr>
          <w:color w:val="CE384B"/>
        </w:rPr>
        <w:t>Review</w:t>
      </w:r>
      <w:r>
        <w:rPr>
          <w:color w:val="CE384B"/>
          <w:spacing w:val="-5"/>
        </w:rPr>
        <w:t> </w:t>
      </w:r>
      <w:r>
        <w:rPr>
          <w:color w:val="CE384B"/>
        </w:rPr>
        <w:t>and</w:t>
      </w:r>
      <w:r>
        <w:rPr>
          <w:color w:val="CE384B"/>
          <w:spacing w:val="-4"/>
        </w:rPr>
        <w:t> </w:t>
      </w:r>
      <w:r>
        <w:rPr>
          <w:color w:val="CE384B"/>
        </w:rPr>
        <w:t>Rating</w:t>
      </w:r>
      <w:r>
        <w:rPr>
          <w:color w:val="CE384B"/>
          <w:spacing w:val="-5"/>
        </w:rPr>
        <w:t> </w:t>
      </w:r>
      <w:r>
        <w:rPr>
          <w:color w:val="CE384B"/>
        </w:rPr>
        <w:t>Process</w:t>
      </w:r>
    </w:p>
    <w:p>
      <w:pPr>
        <w:spacing w:before="109"/>
        <w:ind w:left="300" w:right="0" w:firstLine="0"/>
        <w:jc w:val="left"/>
        <w:rPr>
          <w:rFonts w:ascii="Arial"/>
          <w:sz w:val="21"/>
        </w:rPr>
      </w:pPr>
      <w:r>
        <w:rPr>
          <w:rFonts w:ascii="Arial"/>
          <w:color w:val="010202"/>
          <w:sz w:val="21"/>
        </w:rPr>
        <w:t>This</w:t>
      </w:r>
      <w:r>
        <w:rPr>
          <w:rFonts w:ascii="Arial"/>
          <w:color w:val="010202"/>
          <w:spacing w:val="-1"/>
          <w:sz w:val="21"/>
        </w:rPr>
        <w:t> </w:t>
      </w:r>
      <w:r>
        <w:rPr>
          <w:rFonts w:ascii="Arial"/>
          <w:color w:val="010202"/>
          <w:sz w:val="21"/>
        </w:rPr>
        <w:t>evidence review (detailed in</w:t>
      </w:r>
      <w:r>
        <w:rPr>
          <w:rFonts w:ascii="Arial"/>
          <w:color w:val="010202"/>
          <w:spacing w:val="-12"/>
          <w:sz w:val="21"/>
        </w:rPr>
        <w:t> </w:t>
      </w:r>
      <w:r>
        <w:rPr>
          <w:rFonts w:ascii="Arial"/>
          <w:color w:val="010202"/>
          <w:sz w:val="21"/>
        </w:rPr>
        <w:t>Appendix 2) began with an environmental</w:t>
      </w:r>
      <w:r>
        <w:rPr>
          <w:rFonts w:ascii="Arial"/>
          <w:color w:val="010202"/>
          <w:spacing w:val="-1"/>
          <w:sz w:val="21"/>
        </w:rPr>
        <w:t> </w:t>
      </w:r>
      <w:r>
        <w:rPr>
          <w:rFonts w:ascii="Arial"/>
          <w:color w:val="010202"/>
          <w:sz w:val="21"/>
        </w:rPr>
        <w:t>scan to identify treatments for</w:t>
      </w:r>
    </w:p>
    <w:p>
      <w:pPr>
        <w:spacing w:before="18"/>
        <w:ind w:left="300" w:right="0" w:firstLine="0"/>
        <w:jc w:val="left"/>
        <w:rPr>
          <w:rFonts w:ascii="Arial"/>
          <w:sz w:val="21"/>
        </w:rPr>
      </w:pPr>
      <w:r>
        <w:rPr>
          <w:rFonts w:ascii="Arial"/>
          <w:color w:val="010202"/>
          <w:sz w:val="21"/>
        </w:rPr>
        <w:t>mental</w:t>
      </w:r>
      <w:r>
        <w:rPr>
          <w:rFonts w:ascii="Arial"/>
          <w:color w:val="010202"/>
          <w:spacing w:val="-3"/>
          <w:sz w:val="21"/>
        </w:rPr>
        <w:t> </w:t>
      </w:r>
      <w:r>
        <w:rPr>
          <w:rFonts w:ascii="Arial"/>
          <w:color w:val="010202"/>
          <w:sz w:val="21"/>
        </w:rPr>
        <w:t>disorders</w:t>
      </w:r>
      <w:r>
        <w:rPr>
          <w:rFonts w:ascii="Arial"/>
          <w:color w:val="010202"/>
          <w:spacing w:val="-4"/>
          <w:sz w:val="21"/>
        </w:rPr>
        <w:t> </w:t>
      </w:r>
      <w:r>
        <w:rPr>
          <w:rFonts w:ascii="Arial"/>
          <w:color w:val="010202"/>
          <w:sz w:val="21"/>
        </w:rPr>
        <w:t>and</w:t>
      </w:r>
      <w:r>
        <w:rPr>
          <w:rFonts w:ascii="Arial"/>
          <w:color w:val="010202"/>
          <w:spacing w:val="-4"/>
          <w:sz w:val="21"/>
        </w:rPr>
        <w:t> </w:t>
      </w:r>
      <w:r>
        <w:rPr>
          <w:rFonts w:ascii="Arial"/>
          <w:color w:val="010202"/>
          <w:sz w:val="21"/>
        </w:rPr>
        <w:t>SUD</w:t>
      </w:r>
      <w:r>
        <w:rPr>
          <w:rFonts w:ascii="Arial"/>
          <w:color w:val="010202"/>
          <w:spacing w:val="-3"/>
          <w:sz w:val="21"/>
        </w:rPr>
        <w:t> </w:t>
      </w:r>
      <w:r>
        <w:rPr>
          <w:rFonts w:ascii="Arial"/>
          <w:color w:val="010202"/>
          <w:sz w:val="21"/>
        </w:rPr>
        <w:t>that</w:t>
      </w:r>
      <w:r>
        <w:rPr>
          <w:rFonts w:ascii="Arial"/>
          <w:color w:val="010202"/>
          <w:spacing w:val="-3"/>
          <w:sz w:val="21"/>
        </w:rPr>
        <w:t> </w:t>
      </w:r>
      <w:r>
        <w:rPr>
          <w:rFonts w:ascii="Arial"/>
          <w:color w:val="010202"/>
          <w:sz w:val="21"/>
        </w:rPr>
        <w:t>have</w:t>
      </w:r>
      <w:r>
        <w:rPr>
          <w:rFonts w:ascii="Arial"/>
          <w:color w:val="010202"/>
          <w:spacing w:val="-4"/>
          <w:sz w:val="21"/>
        </w:rPr>
        <w:t> </w:t>
      </w:r>
      <w:r>
        <w:rPr>
          <w:rFonts w:ascii="Arial"/>
          <w:color w:val="010202"/>
          <w:sz w:val="21"/>
        </w:rPr>
        <w:t>been</w:t>
      </w:r>
      <w:r>
        <w:rPr>
          <w:rFonts w:ascii="Arial"/>
          <w:color w:val="010202"/>
          <w:spacing w:val="-4"/>
          <w:sz w:val="21"/>
        </w:rPr>
        <w:t> </w:t>
      </w:r>
      <w:r>
        <w:rPr>
          <w:rFonts w:ascii="Arial"/>
          <w:color w:val="010202"/>
          <w:sz w:val="21"/>
        </w:rPr>
        <w:t>found</w:t>
      </w:r>
      <w:r>
        <w:rPr>
          <w:rFonts w:ascii="Arial"/>
          <w:color w:val="010202"/>
          <w:spacing w:val="-3"/>
          <w:sz w:val="21"/>
        </w:rPr>
        <w:t> </w:t>
      </w:r>
      <w:r>
        <w:rPr>
          <w:rFonts w:ascii="Arial"/>
          <w:color w:val="010202"/>
          <w:sz w:val="21"/>
        </w:rPr>
        <w:t>effective</w:t>
      </w:r>
      <w:r>
        <w:rPr>
          <w:rFonts w:ascii="Arial"/>
          <w:color w:val="010202"/>
          <w:spacing w:val="-4"/>
          <w:sz w:val="21"/>
        </w:rPr>
        <w:t> </w:t>
      </w:r>
      <w:r>
        <w:rPr>
          <w:rFonts w:ascii="Arial"/>
          <w:color w:val="010202"/>
          <w:sz w:val="21"/>
        </w:rPr>
        <w:t>when</w:t>
      </w:r>
      <w:r>
        <w:rPr>
          <w:rFonts w:ascii="Arial"/>
          <w:color w:val="010202"/>
          <w:spacing w:val="-4"/>
          <w:sz w:val="21"/>
        </w:rPr>
        <w:t> </w:t>
      </w:r>
      <w:r>
        <w:rPr>
          <w:rFonts w:ascii="Arial"/>
          <w:color w:val="010202"/>
          <w:sz w:val="21"/>
        </w:rPr>
        <w:t>implemented</w:t>
      </w:r>
      <w:r>
        <w:rPr>
          <w:rFonts w:ascii="Arial"/>
          <w:color w:val="010202"/>
          <w:spacing w:val="-4"/>
          <w:sz w:val="21"/>
        </w:rPr>
        <w:t> </w:t>
      </w:r>
      <w:r>
        <w:rPr>
          <w:rFonts w:ascii="Arial"/>
          <w:color w:val="010202"/>
          <w:sz w:val="21"/>
        </w:rPr>
        <w:t>through</w:t>
      </w:r>
      <w:r>
        <w:rPr>
          <w:rFonts w:ascii="Arial"/>
          <w:color w:val="010202"/>
          <w:spacing w:val="-3"/>
          <w:sz w:val="21"/>
        </w:rPr>
        <w:t> </w:t>
      </w:r>
      <w:r>
        <w:rPr>
          <w:rFonts w:ascii="Arial"/>
          <w:color w:val="010202"/>
          <w:sz w:val="21"/>
        </w:rPr>
        <w:t>telehealth</w:t>
      </w:r>
      <w:r>
        <w:rPr>
          <w:rFonts w:ascii="Arial"/>
          <w:color w:val="010202"/>
          <w:spacing w:val="-2"/>
          <w:sz w:val="21"/>
        </w:rPr>
        <w:t> </w:t>
      </w:r>
      <w:r>
        <w:rPr>
          <w:rFonts w:ascii="Arial"/>
          <w:color w:val="010202"/>
          <w:sz w:val="21"/>
        </w:rPr>
        <w:t>modalities.</w:t>
      </w:r>
    </w:p>
    <w:p>
      <w:pPr>
        <w:pStyle w:val="BodyText"/>
        <w:spacing w:before="3"/>
        <w:rPr>
          <w:rFonts w:ascii="Arial"/>
          <w:sz w:val="17"/>
        </w:rPr>
      </w:pPr>
    </w:p>
    <w:p>
      <w:pPr>
        <w:spacing w:before="0"/>
        <w:ind w:left="300" w:right="0" w:firstLine="0"/>
        <w:jc w:val="left"/>
        <w:rPr>
          <w:rFonts w:ascii="Arial"/>
          <w:b/>
          <w:sz w:val="21"/>
        </w:rPr>
      </w:pPr>
      <w:r>
        <w:rPr>
          <w:rFonts w:ascii="Arial"/>
          <w:b/>
          <w:color w:val="010202"/>
          <w:sz w:val="21"/>
        </w:rPr>
        <w:t>STEP</w:t>
      </w:r>
      <w:r>
        <w:rPr>
          <w:rFonts w:ascii="Arial"/>
          <w:b/>
          <w:color w:val="010202"/>
          <w:spacing w:val="-5"/>
          <w:sz w:val="21"/>
        </w:rPr>
        <w:t> </w:t>
      </w:r>
      <w:r>
        <w:rPr>
          <w:rFonts w:ascii="Arial"/>
          <w:b/>
          <w:color w:val="010202"/>
          <w:sz w:val="21"/>
        </w:rPr>
        <w:t>1: Identify treatments that meet the inclusion criteria:</w:t>
      </w:r>
    </w:p>
    <w:p>
      <w:pPr>
        <w:pStyle w:val="ListParagraph"/>
        <w:numPr>
          <w:ilvl w:val="0"/>
          <w:numId w:val="12"/>
        </w:numPr>
        <w:tabs>
          <w:tab w:pos="1019" w:val="left" w:leader="none"/>
          <w:tab w:pos="1020" w:val="left" w:leader="none"/>
        </w:tabs>
        <w:spacing w:line="240" w:lineRule="auto" w:before="184" w:after="0"/>
        <w:ind w:left="1019" w:right="0" w:hanging="361"/>
        <w:jc w:val="left"/>
        <w:rPr>
          <w:rFonts w:ascii="Arial" w:hAnsi="Arial"/>
          <w:sz w:val="21"/>
        </w:rPr>
      </w:pPr>
      <w:r>
        <w:rPr>
          <w:rFonts w:ascii="Arial" w:hAnsi="Arial"/>
          <w:color w:val="010202"/>
          <w:sz w:val="21"/>
        </w:rPr>
        <w:t>Have</w:t>
      </w:r>
      <w:r>
        <w:rPr>
          <w:rFonts w:ascii="Arial" w:hAnsi="Arial"/>
          <w:color w:val="010202"/>
          <w:spacing w:val="-1"/>
          <w:sz w:val="21"/>
        </w:rPr>
        <w:t> </w:t>
      </w:r>
      <w:r>
        <w:rPr>
          <w:rFonts w:ascii="Arial" w:hAnsi="Arial"/>
          <w:color w:val="010202"/>
          <w:sz w:val="21"/>
        </w:rPr>
        <w:t>a standardized, replicable implementation protocol</w:t>
      </w:r>
    </w:p>
    <w:p>
      <w:pPr>
        <w:pStyle w:val="ListParagraph"/>
        <w:numPr>
          <w:ilvl w:val="0"/>
          <w:numId w:val="12"/>
        </w:numPr>
        <w:tabs>
          <w:tab w:pos="1019" w:val="left" w:leader="none"/>
          <w:tab w:pos="1020" w:val="left" w:leader="none"/>
        </w:tabs>
        <w:spacing w:line="240" w:lineRule="auto" w:before="93" w:after="0"/>
        <w:ind w:left="1019" w:right="0" w:hanging="361"/>
        <w:jc w:val="left"/>
        <w:rPr>
          <w:rFonts w:ascii="Arial" w:hAnsi="Arial"/>
          <w:sz w:val="21"/>
        </w:rPr>
      </w:pPr>
      <w:r>
        <w:rPr>
          <w:rFonts w:ascii="Arial" w:hAnsi="Arial"/>
          <w:color w:val="010202"/>
          <w:sz w:val="21"/>
        </w:rPr>
        <w:t>Use</w:t>
      </w:r>
      <w:r>
        <w:rPr>
          <w:rFonts w:ascii="Arial" w:hAnsi="Arial"/>
          <w:color w:val="010202"/>
          <w:spacing w:val="-2"/>
          <w:sz w:val="21"/>
        </w:rPr>
        <w:t> </w:t>
      </w:r>
      <w:r>
        <w:rPr>
          <w:rFonts w:ascii="Arial" w:hAnsi="Arial"/>
          <w:color w:val="010202"/>
          <w:sz w:val="21"/>
        </w:rPr>
        <w:t>synchronous telehealth</w:t>
      </w:r>
      <w:r>
        <w:rPr>
          <w:rFonts w:ascii="Arial" w:hAnsi="Arial"/>
          <w:color w:val="010202"/>
          <w:spacing w:val="-1"/>
          <w:sz w:val="21"/>
        </w:rPr>
        <w:t> </w:t>
      </w:r>
      <w:r>
        <w:rPr>
          <w:rFonts w:ascii="Arial" w:hAnsi="Arial"/>
          <w:color w:val="010202"/>
          <w:sz w:val="21"/>
        </w:rPr>
        <w:t>modalities for treatment</w:t>
      </w:r>
      <w:r>
        <w:rPr>
          <w:rFonts w:ascii="Arial" w:hAnsi="Arial"/>
          <w:color w:val="010202"/>
          <w:spacing w:val="-1"/>
          <w:sz w:val="21"/>
        </w:rPr>
        <w:t> </w:t>
      </w:r>
      <w:r>
        <w:rPr>
          <w:rFonts w:ascii="Arial" w:hAnsi="Arial"/>
          <w:color w:val="010202"/>
          <w:sz w:val="21"/>
        </w:rPr>
        <w:t>of</w:t>
      </w:r>
      <w:r>
        <w:rPr>
          <w:rFonts w:ascii="Arial" w:hAnsi="Arial"/>
          <w:color w:val="010202"/>
          <w:spacing w:val="-1"/>
          <w:sz w:val="21"/>
        </w:rPr>
        <w:t> </w:t>
      </w:r>
      <w:r>
        <w:rPr>
          <w:rFonts w:ascii="Arial" w:hAnsi="Arial"/>
          <w:color w:val="010202"/>
          <w:sz w:val="21"/>
        </w:rPr>
        <w:t>SMI</w:t>
      </w:r>
      <w:r>
        <w:rPr>
          <w:rFonts w:ascii="Arial" w:hAnsi="Arial"/>
          <w:color w:val="010202"/>
          <w:spacing w:val="-1"/>
          <w:sz w:val="21"/>
        </w:rPr>
        <w:t> </w:t>
      </w:r>
      <w:r>
        <w:rPr>
          <w:rFonts w:ascii="Arial" w:hAnsi="Arial"/>
          <w:color w:val="010202"/>
          <w:sz w:val="21"/>
        </w:rPr>
        <w:t>or</w:t>
      </w:r>
      <w:r>
        <w:rPr>
          <w:rFonts w:ascii="Arial" w:hAnsi="Arial"/>
          <w:color w:val="010202"/>
          <w:spacing w:val="-1"/>
          <w:sz w:val="21"/>
        </w:rPr>
        <w:t> </w:t>
      </w:r>
      <w:r>
        <w:rPr>
          <w:rFonts w:ascii="Arial" w:hAnsi="Arial"/>
          <w:color w:val="010202"/>
          <w:sz w:val="21"/>
        </w:rPr>
        <w:t>SUD</w:t>
      </w:r>
    </w:p>
    <w:p>
      <w:pPr>
        <w:pStyle w:val="ListParagraph"/>
        <w:numPr>
          <w:ilvl w:val="0"/>
          <w:numId w:val="12"/>
        </w:numPr>
        <w:tabs>
          <w:tab w:pos="1019" w:val="left" w:leader="none"/>
          <w:tab w:pos="1020" w:val="left" w:leader="none"/>
        </w:tabs>
        <w:spacing w:line="240" w:lineRule="auto" w:before="93" w:after="0"/>
        <w:ind w:left="1019" w:right="0" w:hanging="361"/>
        <w:jc w:val="left"/>
        <w:rPr>
          <w:rFonts w:ascii="Arial" w:hAnsi="Arial"/>
          <w:sz w:val="21"/>
        </w:rPr>
      </w:pPr>
      <w:r>
        <w:rPr>
          <w:rFonts w:ascii="Arial" w:hAnsi="Arial"/>
          <w:color w:val="010202"/>
          <w:sz w:val="21"/>
        </w:rPr>
        <w:t>Are</w:t>
      </w:r>
      <w:r>
        <w:rPr>
          <w:rFonts w:ascii="Arial" w:hAnsi="Arial"/>
          <w:color w:val="010202"/>
          <w:spacing w:val="-3"/>
          <w:sz w:val="21"/>
        </w:rPr>
        <w:t> </w:t>
      </w:r>
      <w:r>
        <w:rPr>
          <w:rFonts w:ascii="Arial" w:hAnsi="Arial"/>
          <w:color w:val="010202"/>
          <w:sz w:val="21"/>
        </w:rPr>
        <w:t>currently</w:t>
      </w:r>
      <w:r>
        <w:rPr>
          <w:rFonts w:ascii="Arial" w:hAnsi="Arial"/>
          <w:color w:val="010202"/>
          <w:spacing w:val="-2"/>
          <w:sz w:val="21"/>
        </w:rPr>
        <w:t> </w:t>
      </w:r>
      <w:r>
        <w:rPr>
          <w:rFonts w:ascii="Arial" w:hAnsi="Arial"/>
          <w:color w:val="010202"/>
          <w:sz w:val="21"/>
        </w:rPr>
        <w:t>being</w:t>
      </w:r>
      <w:r>
        <w:rPr>
          <w:rFonts w:ascii="Arial" w:hAnsi="Arial"/>
          <w:color w:val="010202"/>
          <w:spacing w:val="-3"/>
          <w:sz w:val="21"/>
        </w:rPr>
        <w:t> </w:t>
      </w:r>
      <w:r>
        <w:rPr>
          <w:rFonts w:ascii="Arial" w:hAnsi="Arial"/>
          <w:color w:val="010202"/>
          <w:sz w:val="21"/>
        </w:rPr>
        <w:t>implemented</w:t>
      </w:r>
      <w:r>
        <w:rPr>
          <w:rFonts w:ascii="Arial" w:hAnsi="Arial"/>
          <w:color w:val="010202"/>
          <w:spacing w:val="-3"/>
          <w:sz w:val="21"/>
        </w:rPr>
        <w:t> </w:t>
      </w:r>
      <w:r>
        <w:rPr>
          <w:rFonts w:ascii="Arial" w:hAnsi="Arial"/>
          <w:color w:val="010202"/>
          <w:sz w:val="21"/>
        </w:rPr>
        <w:t>in</w:t>
      </w:r>
      <w:r>
        <w:rPr>
          <w:rFonts w:ascii="Arial" w:hAnsi="Arial"/>
          <w:color w:val="010202"/>
          <w:spacing w:val="-3"/>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field</w:t>
      </w:r>
    </w:p>
    <w:p>
      <w:pPr>
        <w:spacing w:line="259" w:lineRule="auto" w:before="107"/>
        <w:ind w:left="299" w:right="1027" w:firstLine="0"/>
        <w:jc w:val="left"/>
        <w:rPr>
          <w:rFonts w:ascii="Arial"/>
          <w:sz w:val="21"/>
        </w:rPr>
      </w:pPr>
      <w:r>
        <w:rPr>
          <w:rFonts w:ascii="Arial"/>
          <w:color w:val="010202"/>
          <w:sz w:val="21"/>
        </w:rPr>
        <w:t>Following an environmental scan, review of the literature, and consultation with experts, Cognitive Behavioral</w:t>
      </w:r>
      <w:r>
        <w:rPr>
          <w:rFonts w:ascii="Arial"/>
          <w:color w:val="010202"/>
          <w:spacing w:val="1"/>
          <w:sz w:val="21"/>
        </w:rPr>
        <w:t> </w:t>
      </w:r>
      <w:r>
        <w:rPr>
          <w:rFonts w:ascii="Arial"/>
          <w:color w:val="010202"/>
          <w:sz w:val="21"/>
        </w:rPr>
        <w:t>Therapy</w:t>
      </w:r>
      <w:r>
        <w:rPr>
          <w:rFonts w:ascii="Arial"/>
          <w:color w:val="010202"/>
          <w:spacing w:val="-2"/>
          <w:sz w:val="21"/>
        </w:rPr>
        <w:t> </w:t>
      </w:r>
      <w:r>
        <w:rPr>
          <w:rFonts w:ascii="Arial"/>
          <w:color w:val="010202"/>
          <w:sz w:val="21"/>
        </w:rPr>
        <w:t>(CBT),</w:t>
      </w:r>
      <w:r>
        <w:rPr>
          <w:rFonts w:ascii="Arial"/>
          <w:color w:val="010202"/>
          <w:spacing w:val="-1"/>
          <w:sz w:val="21"/>
        </w:rPr>
        <w:t> </w:t>
      </w:r>
      <w:r>
        <w:rPr>
          <w:rFonts w:ascii="Arial"/>
          <w:color w:val="010202"/>
          <w:sz w:val="21"/>
        </w:rPr>
        <w:t>Cognitive</w:t>
      </w:r>
      <w:r>
        <w:rPr>
          <w:rFonts w:ascii="Arial"/>
          <w:color w:val="010202"/>
          <w:spacing w:val="-2"/>
          <w:sz w:val="21"/>
        </w:rPr>
        <w:t> </w:t>
      </w:r>
      <w:r>
        <w:rPr>
          <w:rFonts w:ascii="Arial"/>
          <w:color w:val="010202"/>
          <w:sz w:val="21"/>
        </w:rPr>
        <w:t>Processing</w:t>
      </w:r>
      <w:r>
        <w:rPr>
          <w:rFonts w:ascii="Arial"/>
          <w:color w:val="010202"/>
          <w:spacing w:val="-5"/>
          <w:sz w:val="21"/>
        </w:rPr>
        <w:t> </w:t>
      </w:r>
      <w:r>
        <w:rPr>
          <w:rFonts w:ascii="Arial"/>
          <w:color w:val="010202"/>
          <w:sz w:val="21"/>
        </w:rPr>
        <w:t>Therapy</w:t>
      </w:r>
      <w:r>
        <w:rPr>
          <w:rFonts w:ascii="Arial"/>
          <w:color w:val="010202"/>
          <w:spacing w:val="-2"/>
          <w:sz w:val="21"/>
        </w:rPr>
        <w:t> </w:t>
      </w:r>
      <w:r>
        <w:rPr>
          <w:rFonts w:ascii="Arial"/>
          <w:color w:val="010202"/>
          <w:sz w:val="21"/>
        </w:rPr>
        <w:t>(CPT),</w:t>
      </w:r>
      <w:r>
        <w:rPr>
          <w:rFonts w:ascii="Arial"/>
          <w:color w:val="010202"/>
          <w:spacing w:val="-1"/>
          <w:sz w:val="21"/>
        </w:rPr>
        <w:t> </w:t>
      </w:r>
      <w:r>
        <w:rPr>
          <w:rFonts w:ascii="Arial"/>
          <w:color w:val="010202"/>
          <w:sz w:val="21"/>
        </w:rPr>
        <w:t>Prolonged</w:t>
      </w:r>
      <w:r>
        <w:rPr>
          <w:rFonts w:ascii="Arial"/>
          <w:color w:val="010202"/>
          <w:spacing w:val="-2"/>
          <w:sz w:val="21"/>
        </w:rPr>
        <w:t> </w:t>
      </w:r>
      <w:r>
        <w:rPr>
          <w:rFonts w:ascii="Arial"/>
          <w:color w:val="010202"/>
          <w:sz w:val="21"/>
        </w:rPr>
        <w:t>Exposure</w:t>
      </w:r>
      <w:r>
        <w:rPr>
          <w:rFonts w:ascii="Arial"/>
          <w:color w:val="010202"/>
          <w:spacing w:val="-5"/>
          <w:sz w:val="21"/>
        </w:rPr>
        <w:t> </w:t>
      </w:r>
      <w:r>
        <w:rPr>
          <w:rFonts w:ascii="Arial"/>
          <w:color w:val="010202"/>
          <w:sz w:val="21"/>
        </w:rPr>
        <w:t>Therapy</w:t>
      </w:r>
      <w:r>
        <w:rPr>
          <w:rFonts w:ascii="Arial"/>
          <w:color w:val="010202"/>
          <w:spacing w:val="-2"/>
          <w:sz w:val="21"/>
        </w:rPr>
        <w:t> </w:t>
      </w:r>
      <w:r>
        <w:rPr>
          <w:rFonts w:ascii="Arial"/>
          <w:color w:val="010202"/>
          <w:sz w:val="21"/>
        </w:rPr>
        <w:t>(PE),</w:t>
      </w:r>
      <w:r>
        <w:rPr>
          <w:rFonts w:ascii="Arial"/>
          <w:color w:val="010202"/>
          <w:spacing w:val="-1"/>
          <w:sz w:val="21"/>
        </w:rPr>
        <w:t> </w:t>
      </w:r>
      <w:r>
        <w:rPr>
          <w:rFonts w:ascii="Arial"/>
          <w:color w:val="010202"/>
          <w:sz w:val="21"/>
        </w:rPr>
        <w:t>Behavioral</w:t>
      </w:r>
      <w:r>
        <w:rPr>
          <w:rFonts w:ascii="Arial"/>
          <w:color w:val="010202"/>
          <w:spacing w:val="-13"/>
          <w:sz w:val="21"/>
        </w:rPr>
        <w:t> </w:t>
      </w:r>
      <w:r>
        <w:rPr>
          <w:rFonts w:ascii="Arial"/>
          <w:color w:val="010202"/>
          <w:sz w:val="21"/>
        </w:rPr>
        <w:t>Activation</w:t>
      </w:r>
      <w:r>
        <w:rPr>
          <w:rFonts w:ascii="Arial"/>
          <w:color w:val="010202"/>
          <w:spacing w:val="-56"/>
          <w:sz w:val="21"/>
        </w:rPr>
        <w:t> </w:t>
      </w:r>
      <w:r>
        <w:rPr>
          <w:rFonts w:ascii="Arial"/>
          <w:color w:val="010202"/>
          <w:sz w:val="21"/>
        </w:rPr>
        <w:t>Therapy</w:t>
      </w:r>
      <w:r>
        <w:rPr>
          <w:rFonts w:ascii="Arial"/>
          <w:color w:val="010202"/>
          <w:spacing w:val="-1"/>
          <w:sz w:val="21"/>
        </w:rPr>
        <w:t> </w:t>
      </w:r>
      <w:r>
        <w:rPr>
          <w:rFonts w:ascii="Arial"/>
          <w:color w:val="010202"/>
          <w:sz w:val="21"/>
        </w:rPr>
        <w:t>(BA),</w:t>
      </w:r>
      <w:r>
        <w:rPr>
          <w:rFonts w:ascii="Arial"/>
          <w:color w:val="010202"/>
          <w:spacing w:val="-1"/>
          <w:sz w:val="21"/>
        </w:rPr>
        <w:t> </w:t>
      </w:r>
      <w:r>
        <w:rPr>
          <w:rFonts w:ascii="Arial"/>
          <w:color w:val="010202"/>
          <w:sz w:val="21"/>
        </w:rPr>
        <w:t>and</w:t>
      </w:r>
      <w:r>
        <w:rPr>
          <w:rFonts w:ascii="Arial"/>
          <w:color w:val="010202"/>
          <w:spacing w:val="-1"/>
          <w:sz w:val="21"/>
        </w:rPr>
        <w:t> </w:t>
      </w:r>
      <w:r>
        <w:rPr>
          <w:rFonts w:ascii="Arial"/>
          <w:color w:val="010202"/>
          <w:sz w:val="21"/>
        </w:rPr>
        <w:t>Medication-Assisted</w:t>
      </w:r>
      <w:r>
        <w:rPr>
          <w:rFonts w:ascii="Arial"/>
          <w:color w:val="010202"/>
          <w:spacing w:val="-5"/>
          <w:sz w:val="21"/>
        </w:rPr>
        <w:t> </w:t>
      </w:r>
      <w:r>
        <w:rPr>
          <w:rFonts w:ascii="Arial"/>
          <w:color w:val="010202"/>
          <w:sz w:val="21"/>
        </w:rPr>
        <w:t>Treatment</w:t>
      </w:r>
      <w:r>
        <w:rPr>
          <w:rFonts w:ascii="Arial"/>
          <w:color w:val="010202"/>
          <w:spacing w:val="-1"/>
          <w:sz w:val="21"/>
        </w:rPr>
        <w:t> </w:t>
      </w:r>
      <w:r>
        <w:rPr>
          <w:rFonts w:ascii="Arial"/>
          <w:color w:val="010202"/>
          <w:sz w:val="21"/>
        </w:rPr>
        <w:t>(MAT) met</w:t>
      </w:r>
      <w:r>
        <w:rPr>
          <w:rFonts w:ascii="Arial"/>
          <w:color w:val="010202"/>
          <w:spacing w:val="-1"/>
          <w:sz w:val="21"/>
        </w:rPr>
        <w:t> </w:t>
      </w:r>
      <w:r>
        <w:rPr>
          <w:rFonts w:ascii="Arial"/>
          <w:color w:val="010202"/>
          <w:sz w:val="21"/>
        </w:rPr>
        <w:t>the inclusion</w:t>
      </w:r>
      <w:r>
        <w:rPr>
          <w:rFonts w:ascii="Arial"/>
          <w:color w:val="010202"/>
          <w:spacing w:val="-2"/>
          <w:sz w:val="21"/>
        </w:rPr>
        <w:t> </w:t>
      </w:r>
      <w:r>
        <w:rPr>
          <w:rFonts w:ascii="Arial"/>
          <w:color w:val="010202"/>
          <w:sz w:val="21"/>
        </w:rPr>
        <w:t>criteria.</w:t>
      </w:r>
    </w:p>
    <w:p>
      <w:pPr>
        <w:spacing w:before="177"/>
        <w:ind w:left="299" w:right="0" w:firstLine="0"/>
        <w:jc w:val="left"/>
        <w:rPr>
          <w:rFonts w:ascii="Arial"/>
          <w:b/>
          <w:sz w:val="21"/>
        </w:rPr>
      </w:pPr>
      <w:r>
        <w:rPr>
          <w:rFonts w:ascii="Arial"/>
          <w:b/>
          <w:color w:val="010202"/>
          <w:sz w:val="21"/>
        </w:rPr>
        <w:t>STEP</w:t>
      </w:r>
      <w:r>
        <w:rPr>
          <w:rFonts w:ascii="Arial"/>
          <w:b/>
          <w:color w:val="010202"/>
          <w:spacing w:val="-4"/>
          <w:sz w:val="21"/>
        </w:rPr>
        <w:t> </w:t>
      </w:r>
      <w:r>
        <w:rPr>
          <w:rFonts w:ascii="Arial"/>
          <w:b/>
          <w:color w:val="010202"/>
          <w:sz w:val="21"/>
        </w:rPr>
        <w:t>2: Identify studies that meet the following inclusion criteria:</w:t>
      </w:r>
    </w:p>
    <w:p>
      <w:pPr>
        <w:pStyle w:val="ListParagraph"/>
        <w:numPr>
          <w:ilvl w:val="0"/>
          <w:numId w:val="12"/>
        </w:numPr>
        <w:tabs>
          <w:tab w:pos="1019" w:val="left" w:leader="none"/>
          <w:tab w:pos="1020" w:val="left" w:leader="none"/>
        </w:tabs>
        <w:spacing w:line="240" w:lineRule="auto" w:before="185" w:after="0"/>
        <w:ind w:left="1019" w:right="0" w:hanging="361"/>
        <w:jc w:val="left"/>
        <w:rPr>
          <w:rFonts w:ascii="Arial" w:hAnsi="Arial"/>
          <w:sz w:val="21"/>
        </w:rPr>
      </w:pPr>
      <w:r>
        <w:rPr>
          <w:rFonts w:ascii="Arial" w:hAnsi="Arial"/>
          <w:color w:val="010202"/>
          <w:sz w:val="21"/>
        </w:rPr>
        <w:t>Published</w:t>
      </w:r>
      <w:r>
        <w:rPr>
          <w:rFonts w:ascii="Arial" w:hAnsi="Arial"/>
          <w:color w:val="010202"/>
          <w:spacing w:val="-1"/>
          <w:sz w:val="21"/>
        </w:rPr>
        <w:t> </w:t>
      </w:r>
      <w:r>
        <w:rPr>
          <w:rFonts w:ascii="Arial" w:hAnsi="Arial"/>
          <w:color w:val="010202"/>
          <w:sz w:val="21"/>
        </w:rPr>
        <w:t>in or after the year 2010</w:t>
      </w:r>
    </w:p>
    <w:p>
      <w:pPr>
        <w:pStyle w:val="ListParagraph"/>
        <w:numPr>
          <w:ilvl w:val="0"/>
          <w:numId w:val="12"/>
        </w:numPr>
        <w:tabs>
          <w:tab w:pos="1019" w:val="left" w:leader="none"/>
          <w:tab w:pos="1020" w:val="left" w:leader="none"/>
        </w:tabs>
        <w:spacing w:line="256" w:lineRule="auto" w:before="93" w:after="0"/>
        <w:ind w:left="1019" w:right="1006" w:hanging="360"/>
        <w:jc w:val="left"/>
        <w:rPr>
          <w:rFonts w:ascii="Arial" w:hAnsi="Arial"/>
          <w:sz w:val="21"/>
        </w:rPr>
      </w:pPr>
      <w:r>
        <w:rPr>
          <w:rFonts w:ascii="Arial" w:hAnsi="Arial"/>
          <w:color w:val="010202"/>
          <w:spacing w:val="-5"/>
          <w:sz w:val="21"/>
        </w:rPr>
        <w:t>Employ</w:t>
      </w:r>
      <w:r>
        <w:rPr>
          <w:rFonts w:ascii="Arial" w:hAnsi="Arial"/>
          <w:color w:val="010202"/>
          <w:spacing w:val="-9"/>
          <w:sz w:val="21"/>
        </w:rPr>
        <w:t> </w:t>
      </w:r>
      <w:r>
        <w:rPr>
          <w:rFonts w:ascii="Arial" w:hAnsi="Arial"/>
          <w:color w:val="010202"/>
          <w:spacing w:val="-5"/>
          <w:sz w:val="21"/>
        </w:rPr>
        <w:t>a</w:t>
      </w:r>
      <w:r>
        <w:rPr>
          <w:rFonts w:ascii="Arial" w:hAnsi="Arial"/>
          <w:color w:val="010202"/>
          <w:spacing w:val="-9"/>
          <w:sz w:val="21"/>
        </w:rPr>
        <w:t> </w:t>
      </w:r>
      <w:r>
        <w:rPr>
          <w:rFonts w:ascii="Arial" w:hAnsi="Arial"/>
          <w:color w:val="010202"/>
          <w:spacing w:val="-5"/>
          <w:sz w:val="21"/>
        </w:rPr>
        <w:t>randomized</w:t>
      </w:r>
      <w:r>
        <w:rPr>
          <w:rFonts w:ascii="Arial" w:hAnsi="Arial"/>
          <w:color w:val="010202"/>
          <w:spacing w:val="-8"/>
          <w:sz w:val="21"/>
        </w:rPr>
        <w:t> </w:t>
      </w:r>
      <w:r>
        <w:rPr>
          <w:rFonts w:ascii="Arial" w:hAnsi="Arial"/>
          <w:color w:val="010202"/>
          <w:spacing w:val="-4"/>
          <w:sz w:val="21"/>
        </w:rPr>
        <w:t>or</w:t>
      </w:r>
      <w:r>
        <w:rPr>
          <w:rFonts w:ascii="Arial" w:hAnsi="Arial"/>
          <w:color w:val="010202"/>
          <w:spacing w:val="-9"/>
          <w:sz w:val="21"/>
        </w:rPr>
        <w:t> </w:t>
      </w:r>
      <w:r>
        <w:rPr>
          <w:rFonts w:ascii="Arial" w:hAnsi="Arial"/>
          <w:color w:val="010202"/>
          <w:spacing w:val="-4"/>
          <w:sz w:val="21"/>
        </w:rPr>
        <w:t>quasi-experimental</w:t>
      </w:r>
      <w:r>
        <w:rPr>
          <w:rFonts w:ascii="Arial" w:hAnsi="Arial"/>
          <w:color w:val="010202"/>
          <w:spacing w:val="-8"/>
          <w:sz w:val="21"/>
        </w:rPr>
        <w:t> </w:t>
      </w:r>
      <w:r>
        <w:rPr>
          <w:rFonts w:ascii="Arial" w:hAnsi="Arial"/>
          <w:color w:val="010202"/>
          <w:spacing w:val="-4"/>
          <w:sz w:val="21"/>
        </w:rPr>
        <w:t>design</w:t>
      </w:r>
      <w:r>
        <w:rPr>
          <w:rFonts w:ascii="Arial" w:hAnsi="Arial"/>
          <w:color w:val="010202"/>
          <w:spacing w:val="-9"/>
          <w:sz w:val="21"/>
        </w:rPr>
        <w:t> </w:t>
      </w:r>
      <w:r>
        <w:rPr>
          <w:rFonts w:ascii="Arial" w:hAnsi="Arial"/>
          <w:color w:val="010202"/>
          <w:spacing w:val="-4"/>
          <w:sz w:val="21"/>
        </w:rPr>
        <w:t>(RCT</w:t>
      </w:r>
      <w:r>
        <w:rPr>
          <w:rFonts w:ascii="Arial" w:hAnsi="Arial"/>
          <w:color w:val="010202"/>
          <w:spacing w:val="-12"/>
          <w:sz w:val="21"/>
        </w:rPr>
        <w:t> </w:t>
      </w:r>
      <w:r>
        <w:rPr>
          <w:rFonts w:ascii="Arial" w:hAnsi="Arial"/>
          <w:color w:val="010202"/>
          <w:spacing w:val="-4"/>
          <w:sz w:val="21"/>
        </w:rPr>
        <w:t>or</w:t>
      </w:r>
      <w:r>
        <w:rPr>
          <w:rFonts w:ascii="Arial" w:hAnsi="Arial"/>
          <w:color w:val="010202"/>
          <w:spacing w:val="-9"/>
          <w:sz w:val="21"/>
        </w:rPr>
        <w:t> </w:t>
      </w:r>
      <w:r>
        <w:rPr>
          <w:rFonts w:ascii="Arial" w:hAnsi="Arial"/>
          <w:color w:val="010202"/>
          <w:spacing w:val="-4"/>
          <w:sz w:val="21"/>
        </w:rPr>
        <w:t>QED)</w:t>
      </w:r>
      <w:r>
        <w:rPr>
          <w:rFonts w:ascii="Arial" w:hAnsi="Arial"/>
          <w:color w:val="010202"/>
          <w:spacing w:val="-8"/>
          <w:sz w:val="21"/>
        </w:rPr>
        <w:t> </w:t>
      </w:r>
      <w:r>
        <w:rPr>
          <w:rFonts w:ascii="Arial" w:hAnsi="Arial"/>
          <w:color w:val="010202"/>
          <w:spacing w:val="-4"/>
          <w:sz w:val="21"/>
        </w:rPr>
        <w:t>or</w:t>
      </w:r>
      <w:r>
        <w:rPr>
          <w:rFonts w:ascii="Arial" w:hAnsi="Arial"/>
          <w:color w:val="010202"/>
          <w:spacing w:val="-9"/>
          <w:sz w:val="21"/>
        </w:rPr>
        <w:t> </w:t>
      </w:r>
      <w:r>
        <w:rPr>
          <w:rFonts w:ascii="Arial" w:hAnsi="Arial"/>
          <w:color w:val="010202"/>
          <w:spacing w:val="-4"/>
          <w:sz w:val="21"/>
        </w:rPr>
        <w:t>are</w:t>
      </w:r>
      <w:r>
        <w:rPr>
          <w:rFonts w:ascii="Arial" w:hAnsi="Arial"/>
          <w:color w:val="010202"/>
          <w:spacing w:val="-8"/>
          <w:sz w:val="21"/>
        </w:rPr>
        <w:t> </w:t>
      </w:r>
      <w:r>
        <w:rPr>
          <w:rFonts w:ascii="Arial" w:hAnsi="Arial"/>
          <w:color w:val="010202"/>
          <w:spacing w:val="-4"/>
          <w:sz w:val="21"/>
        </w:rPr>
        <w:t>a</w:t>
      </w:r>
      <w:r>
        <w:rPr>
          <w:rFonts w:ascii="Arial" w:hAnsi="Arial"/>
          <w:color w:val="010202"/>
          <w:spacing w:val="-9"/>
          <w:sz w:val="21"/>
        </w:rPr>
        <w:t> </w:t>
      </w:r>
      <w:r>
        <w:rPr>
          <w:rFonts w:ascii="Arial" w:hAnsi="Arial"/>
          <w:color w:val="010202"/>
          <w:spacing w:val="-4"/>
          <w:sz w:val="21"/>
        </w:rPr>
        <w:t>single</w:t>
      </w:r>
      <w:r>
        <w:rPr>
          <w:rFonts w:ascii="Arial" w:hAnsi="Arial"/>
          <w:color w:val="010202"/>
          <w:spacing w:val="-8"/>
          <w:sz w:val="21"/>
        </w:rPr>
        <w:t> </w:t>
      </w:r>
      <w:r>
        <w:rPr>
          <w:rFonts w:ascii="Arial" w:hAnsi="Arial"/>
          <w:color w:val="010202"/>
          <w:spacing w:val="-4"/>
          <w:sz w:val="21"/>
        </w:rPr>
        <w:t>sample</w:t>
      </w:r>
      <w:r>
        <w:rPr>
          <w:rFonts w:ascii="Arial" w:hAnsi="Arial"/>
          <w:color w:val="010202"/>
          <w:spacing w:val="-9"/>
          <w:sz w:val="21"/>
        </w:rPr>
        <w:t> </w:t>
      </w:r>
      <w:r>
        <w:rPr>
          <w:rFonts w:ascii="Arial" w:hAnsi="Arial"/>
          <w:color w:val="010202"/>
          <w:spacing w:val="-4"/>
          <w:sz w:val="21"/>
        </w:rPr>
        <w:t>pre-post</w:t>
      </w:r>
      <w:r>
        <w:rPr>
          <w:rFonts w:ascii="Arial" w:hAnsi="Arial"/>
          <w:color w:val="010202"/>
          <w:spacing w:val="-8"/>
          <w:sz w:val="21"/>
        </w:rPr>
        <w:t> </w:t>
      </w:r>
      <w:r>
        <w:rPr>
          <w:rFonts w:ascii="Arial" w:hAnsi="Arial"/>
          <w:color w:val="010202"/>
          <w:spacing w:val="-4"/>
          <w:sz w:val="21"/>
        </w:rPr>
        <w:t>design</w:t>
      </w:r>
      <w:r>
        <w:rPr>
          <w:rFonts w:ascii="Arial" w:hAnsi="Arial"/>
          <w:color w:val="010202"/>
          <w:spacing w:val="-9"/>
          <w:sz w:val="21"/>
        </w:rPr>
        <w:t> </w:t>
      </w:r>
      <w:r>
        <w:rPr>
          <w:rFonts w:ascii="Arial" w:hAnsi="Arial"/>
          <w:color w:val="010202"/>
          <w:spacing w:val="-4"/>
          <w:sz w:val="21"/>
        </w:rPr>
        <w:t>or</w:t>
      </w:r>
      <w:r>
        <w:rPr>
          <w:rFonts w:ascii="Arial" w:hAnsi="Arial"/>
          <w:color w:val="010202"/>
          <w:spacing w:val="-3"/>
          <w:sz w:val="21"/>
        </w:rPr>
        <w:t> </w:t>
      </w:r>
      <w:r>
        <w:rPr>
          <w:rFonts w:ascii="Arial" w:hAnsi="Arial"/>
          <w:color w:val="010202"/>
          <w:spacing w:val="-4"/>
          <w:sz w:val="21"/>
        </w:rPr>
        <w:t>an</w:t>
      </w:r>
      <w:r>
        <w:rPr>
          <w:rFonts w:ascii="Arial" w:hAnsi="Arial"/>
          <w:color w:val="010202"/>
          <w:spacing w:val="-11"/>
          <w:sz w:val="21"/>
        </w:rPr>
        <w:t> </w:t>
      </w:r>
      <w:r>
        <w:rPr>
          <w:rFonts w:ascii="Arial" w:hAnsi="Arial"/>
          <w:color w:val="010202"/>
          <w:spacing w:val="-4"/>
          <w:sz w:val="21"/>
        </w:rPr>
        <w:t>epidemiological</w:t>
      </w:r>
      <w:r>
        <w:rPr>
          <w:rFonts w:ascii="Arial" w:hAnsi="Arial"/>
          <w:color w:val="010202"/>
          <w:spacing w:val="-11"/>
          <w:sz w:val="21"/>
        </w:rPr>
        <w:t> </w:t>
      </w:r>
      <w:r>
        <w:rPr>
          <w:rFonts w:ascii="Arial" w:hAnsi="Arial"/>
          <w:color w:val="010202"/>
          <w:spacing w:val="-4"/>
          <w:sz w:val="21"/>
        </w:rPr>
        <w:t>study</w:t>
      </w:r>
      <w:r>
        <w:rPr>
          <w:rFonts w:ascii="Arial" w:hAnsi="Arial"/>
          <w:color w:val="010202"/>
          <w:spacing w:val="-10"/>
          <w:sz w:val="21"/>
        </w:rPr>
        <w:t> </w:t>
      </w:r>
      <w:r>
        <w:rPr>
          <w:rFonts w:ascii="Arial" w:hAnsi="Arial"/>
          <w:color w:val="010202"/>
          <w:spacing w:val="-4"/>
          <w:sz w:val="21"/>
        </w:rPr>
        <w:t>that</w:t>
      </w:r>
      <w:r>
        <w:rPr>
          <w:rFonts w:ascii="Arial" w:hAnsi="Arial"/>
          <w:color w:val="010202"/>
          <w:spacing w:val="-11"/>
          <w:sz w:val="21"/>
        </w:rPr>
        <w:t> </w:t>
      </w:r>
      <w:r>
        <w:rPr>
          <w:rFonts w:ascii="Arial" w:hAnsi="Arial"/>
          <w:color w:val="010202"/>
          <w:spacing w:val="-4"/>
          <w:sz w:val="21"/>
        </w:rPr>
        <w:t>analyzes</w:t>
      </w:r>
      <w:r>
        <w:rPr>
          <w:rFonts w:ascii="Arial" w:hAnsi="Arial"/>
          <w:color w:val="010202"/>
          <w:spacing w:val="-10"/>
          <w:sz w:val="21"/>
        </w:rPr>
        <w:t> </w:t>
      </w:r>
      <w:r>
        <w:rPr>
          <w:rFonts w:ascii="Arial" w:hAnsi="Arial"/>
          <w:color w:val="010202"/>
          <w:spacing w:val="-4"/>
          <w:sz w:val="21"/>
        </w:rPr>
        <w:t>what</w:t>
      </w:r>
      <w:r>
        <w:rPr>
          <w:rFonts w:ascii="Arial" w:hAnsi="Arial"/>
          <w:color w:val="010202"/>
          <w:spacing w:val="-11"/>
          <w:sz w:val="21"/>
        </w:rPr>
        <w:t> </w:t>
      </w:r>
      <w:r>
        <w:rPr>
          <w:rFonts w:ascii="Arial" w:hAnsi="Arial"/>
          <w:color w:val="010202"/>
          <w:spacing w:val="-4"/>
          <w:sz w:val="21"/>
        </w:rPr>
        <w:t>would</w:t>
      </w:r>
      <w:r>
        <w:rPr>
          <w:rFonts w:ascii="Arial" w:hAnsi="Arial"/>
          <w:color w:val="010202"/>
          <w:spacing w:val="-10"/>
          <w:sz w:val="21"/>
        </w:rPr>
        <w:t> </w:t>
      </w:r>
      <w:r>
        <w:rPr>
          <w:rFonts w:ascii="Arial" w:hAnsi="Arial"/>
          <w:color w:val="010202"/>
          <w:spacing w:val="-4"/>
          <w:sz w:val="21"/>
        </w:rPr>
        <w:t>have</w:t>
      </w:r>
      <w:r>
        <w:rPr>
          <w:rFonts w:ascii="Arial" w:hAnsi="Arial"/>
          <w:color w:val="010202"/>
          <w:spacing w:val="-11"/>
          <w:sz w:val="21"/>
        </w:rPr>
        <w:t> </w:t>
      </w:r>
      <w:r>
        <w:rPr>
          <w:rFonts w:ascii="Arial" w:hAnsi="Arial"/>
          <w:color w:val="010202"/>
          <w:spacing w:val="-4"/>
          <w:sz w:val="21"/>
        </w:rPr>
        <w:t>happened</w:t>
      </w:r>
      <w:r>
        <w:rPr>
          <w:rFonts w:ascii="Arial" w:hAnsi="Arial"/>
          <w:color w:val="010202"/>
          <w:spacing w:val="-10"/>
          <w:sz w:val="21"/>
        </w:rPr>
        <w:t> </w:t>
      </w:r>
      <w:r>
        <w:rPr>
          <w:rFonts w:ascii="Arial" w:hAnsi="Arial"/>
          <w:color w:val="010202"/>
          <w:spacing w:val="-3"/>
          <w:sz w:val="21"/>
        </w:rPr>
        <w:t>in</w:t>
      </w:r>
      <w:r>
        <w:rPr>
          <w:rFonts w:ascii="Arial" w:hAnsi="Arial"/>
          <w:color w:val="010202"/>
          <w:spacing w:val="-11"/>
          <w:sz w:val="21"/>
        </w:rPr>
        <w:t> </w:t>
      </w:r>
      <w:r>
        <w:rPr>
          <w:rFonts w:ascii="Arial" w:hAnsi="Arial"/>
          <w:color w:val="010202"/>
          <w:spacing w:val="-3"/>
          <w:sz w:val="21"/>
        </w:rPr>
        <w:t>the</w:t>
      </w:r>
      <w:r>
        <w:rPr>
          <w:rFonts w:ascii="Arial" w:hAnsi="Arial"/>
          <w:color w:val="010202"/>
          <w:spacing w:val="-11"/>
          <w:sz w:val="21"/>
        </w:rPr>
        <w:t> </w:t>
      </w:r>
      <w:r>
        <w:rPr>
          <w:rFonts w:ascii="Arial" w:hAnsi="Arial"/>
          <w:color w:val="010202"/>
          <w:spacing w:val="-3"/>
          <w:sz w:val="21"/>
        </w:rPr>
        <w:t>absence</w:t>
      </w:r>
      <w:r>
        <w:rPr>
          <w:rFonts w:ascii="Arial" w:hAnsi="Arial"/>
          <w:color w:val="010202"/>
          <w:spacing w:val="-10"/>
          <w:sz w:val="21"/>
        </w:rPr>
        <w:t> </w:t>
      </w:r>
      <w:r>
        <w:rPr>
          <w:rFonts w:ascii="Arial" w:hAnsi="Arial"/>
          <w:color w:val="010202"/>
          <w:spacing w:val="-3"/>
          <w:sz w:val="21"/>
        </w:rPr>
        <w:t>of</w:t>
      </w:r>
      <w:r>
        <w:rPr>
          <w:rFonts w:ascii="Arial" w:hAnsi="Arial"/>
          <w:color w:val="010202"/>
          <w:spacing w:val="-11"/>
          <w:sz w:val="21"/>
        </w:rPr>
        <w:t> </w:t>
      </w:r>
      <w:r>
        <w:rPr>
          <w:rFonts w:ascii="Arial" w:hAnsi="Arial"/>
          <w:color w:val="010202"/>
          <w:spacing w:val="-3"/>
          <w:sz w:val="21"/>
        </w:rPr>
        <w:t>the</w:t>
      </w:r>
      <w:r>
        <w:rPr>
          <w:rFonts w:ascii="Arial" w:hAnsi="Arial"/>
          <w:color w:val="010202"/>
          <w:spacing w:val="-10"/>
          <w:sz w:val="21"/>
        </w:rPr>
        <w:t> </w:t>
      </w:r>
      <w:r>
        <w:rPr>
          <w:rFonts w:ascii="Arial" w:hAnsi="Arial"/>
          <w:color w:val="010202"/>
          <w:spacing w:val="-3"/>
          <w:sz w:val="21"/>
        </w:rPr>
        <w:t>intervention</w:t>
      </w:r>
    </w:p>
    <w:p>
      <w:pPr>
        <w:pStyle w:val="ListParagraph"/>
        <w:numPr>
          <w:ilvl w:val="0"/>
          <w:numId w:val="12"/>
        </w:numPr>
        <w:tabs>
          <w:tab w:pos="1019" w:val="left" w:leader="none"/>
          <w:tab w:pos="1020" w:val="left" w:leader="none"/>
        </w:tabs>
        <w:spacing w:line="256" w:lineRule="auto" w:before="76" w:after="0"/>
        <w:ind w:left="1019" w:right="919" w:hanging="360"/>
        <w:jc w:val="left"/>
        <w:rPr>
          <w:rFonts w:ascii="Arial" w:hAnsi="Arial"/>
          <w:sz w:val="21"/>
        </w:rPr>
      </w:pPr>
      <w:r>
        <w:rPr>
          <w:rFonts w:ascii="Arial" w:hAnsi="Arial"/>
          <w:color w:val="010202"/>
          <w:sz w:val="21"/>
        </w:rPr>
        <w:t>Descriptive and implementation studies, meta-analyses, and systematic reviews were not included in the</w:t>
      </w:r>
      <w:r>
        <w:rPr>
          <w:rFonts w:ascii="Arial" w:hAnsi="Arial"/>
          <w:color w:val="010202"/>
          <w:spacing w:val="-57"/>
          <w:sz w:val="21"/>
        </w:rPr>
        <w:t> </w:t>
      </w:r>
      <w:r>
        <w:rPr>
          <w:rFonts w:ascii="Arial" w:hAnsi="Arial"/>
          <w:color w:val="010202"/>
          <w:sz w:val="21"/>
        </w:rPr>
        <w:t>review.</w:t>
      </w:r>
    </w:p>
    <w:p>
      <w:pPr>
        <w:spacing w:before="180"/>
        <w:ind w:left="299" w:right="0" w:firstLine="0"/>
        <w:jc w:val="left"/>
        <w:rPr>
          <w:rFonts w:ascii="Arial"/>
          <w:b/>
          <w:sz w:val="21"/>
        </w:rPr>
      </w:pPr>
      <w:r>
        <w:rPr>
          <w:rFonts w:ascii="Arial"/>
          <w:b/>
          <w:color w:val="010202"/>
          <w:sz w:val="21"/>
        </w:rPr>
        <w:t>STEP</w:t>
      </w:r>
      <w:r>
        <w:rPr>
          <w:rFonts w:ascii="Arial"/>
          <w:b/>
          <w:color w:val="010202"/>
          <w:spacing w:val="-4"/>
          <w:sz w:val="21"/>
        </w:rPr>
        <w:t> </w:t>
      </w:r>
      <w:r>
        <w:rPr>
          <w:rFonts w:ascii="Arial"/>
          <w:b/>
          <w:color w:val="010202"/>
          <w:sz w:val="21"/>
        </w:rPr>
        <w:t>3: Review each study meeting inclusion criteria for strength of study design and statistically</w:t>
      </w:r>
    </w:p>
    <w:p>
      <w:pPr>
        <w:spacing w:before="19"/>
        <w:ind w:left="299" w:right="0" w:firstLine="0"/>
        <w:jc w:val="left"/>
        <w:rPr>
          <w:rFonts w:ascii="Arial"/>
          <w:b/>
          <w:sz w:val="21"/>
        </w:rPr>
      </w:pPr>
      <w:r>
        <w:rPr>
          <w:rFonts w:ascii="Arial"/>
          <w:b/>
          <w:color w:val="010202"/>
          <w:sz w:val="21"/>
        </w:rPr>
        <w:t>significant</w:t>
      </w:r>
      <w:r>
        <w:rPr>
          <w:rFonts w:ascii="Arial"/>
          <w:b/>
          <w:color w:val="010202"/>
          <w:spacing w:val="-5"/>
          <w:sz w:val="21"/>
        </w:rPr>
        <w:t> </w:t>
      </w:r>
      <w:r>
        <w:rPr>
          <w:rFonts w:ascii="Arial"/>
          <w:b/>
          <w:color w:val="010202"/>
          <w:sz w:val="21"/>
        </w:rPr>
        <w:t>positive</w:t>
      </w:r>
      <w:r>
        <w:rPr>
          <w:rFonts w:ascii="Arial"/>
          <w:b/>
          <w:color w:val="010202"/>
          <w:spacing w:val="-4"/>
          <w:sz w:val="21"/>
        </w:rPr>
        <w:t> </w:t>
      </w:r>
      <w:r>
        <w:rPr>
          <w:rFonts w:ascii="Arial"/>
          <w:b/>
          <w:color w:val="010202"/>
          <w:sz w:val="21"/>
        </w:rPr>
        <w:t>outcomes</w:t>
      </w:r>
      <w:r>
        <w:rPr>
          <w:rFonts w:ascii="Arial"/>
          <w:b/>
          <w:color w:val="010202"/>
          <w:spacing w:val="-4"/>
          <w:sz w:val="21"/>
        </w:rPr>
        <w:t> </w:t>
      </w:r>
      <w:r>
        <w:rPr>
          <w:rFonts w:ascii="Arial"/>
          <w:b/>
          <w:color w:val="010202"/>
          <w:sz w:val="21"/>
        </w:rPr>
        <w:t>related</w:t>
      </w:r>
      <w:r>
        <w:rPr>
          <w:rFonts w:ascii="Arial"/>
          <w:b/>
          <w:color w:val="010202"/>
          <w:spacing w:val="-5"/>
          <w:sz w:val="21"/>
        </w:rPr>
        <w:t> </w:t>
      </w:r>
      <w:r>
        <w:rPr>
          <w:rFonts w:ascii="Arial"/>
          <w:b/>
          <w:color w:val="010202"/>
          <w:sz w:val="21"/>
        </w:rPr>
        <w:t>to</w:t>
      </w:r>
      <w:r>
        <w:rPr>
          <w:rFonts w:ascii="Arial"/>
          <w:b/>
          <w:color w:val="010202"/>
          <w:spacing w:val="-4"/>
          <w:sz w:val="21"/>
        </w:rPr>
        <w:t> </w:t>
      </w:r>
      <w:r>
        <w:rPr>
          <w:rFonts w:ascii="Arial"/>
          <w:b/>
          <w:color w:val="010202"/>
          <w:sz w:val="21"/>
        </w:rPr>
        <w:t>SMI</w:t>
      </w:r>
      <w:r>
        <w:rPr>
          <w:rFonts w:ascii="Arial"/>
          <w:b/>
          <w:color w:val="010202"/>
          <w:spacing w:val="-4"/>
          <w:sz w:val="21"/>
        </w:rPr>
        <w:t> </w:t>
      </w:r>
      <w:r>
        <w:rPr>
          <w:rFonts w:ascii="Arial"/>
          <w:b/>
          <w:color w:val="010202"/>
          <w:sz w:val="21"/>
        </w:rPr>
        <w:t>and</w:t>
      </w:r>
      <w:r>
        <w:rPr>
          <w:rFonts w:ascii="Arial"/>
          <w:b/>
          <w:color w:val="010202"/>
          <w:spacing w:val="-5"/>
          <w:sz w:val="21"/>
        </w:rPr>
        <w:t> </w:t>
      </w:r>
      <w:r>
        <w:rPr>
          <w:rFonts w:ascii="Arial"/>
          <w:b/>
          <w:color w:val="010202"/>
          <w:sz w:val="21"/>
        </w:rPr>
        <w:t>SUD.</w:t>
      </w:r>
      <w:r>
        <w:rPr>
          <w:rFonts w:ascii="Arial"/>
          <w:b/>
          <w:color w:val="010202"/>
          <w:spacing w:val="-4"/>
          <w:sz w:val="21"/>
        </w:rPr>
        <w:t> </w:t>
      </w:r>
      <w:r>
        <w:rPr>
          <w:rFonts w:ascii="Arial"/>
          <w:b/>
          <w:color w:val="010202"/>
          <w:sz w:val="21"/>
        </w:rPr>
        <w:t>For</w:t>
      </w:r>
      <w:r>
        <w:rPr>
          <w:rFonts w:ascii="Arial"/>
          <w:b/>
          <w:color w:val="010202"/>
          <w:spacing w:val="-4"/>
          <w:sz w:val="21"/>
        </w:rPr>
        <w:t> </w:t>
      </w:r>
      <w:r>
        <w:rPr>
          <w:rFonts w:ascii="Arial"/>
          <w:b/>
          <w:color w:val="010202"/>
          <w:sz w:val="21"/>
        </w:rPr>
        <w:t>each</w:t>
      </w:r>
      <w:r>
        <w:rPr>
          <w:rFonts w:ascii="Arial"/>
          <w:b/>
          <w:color w:val="010202"/>
          <w:spacing w:val="-4"/>
          <w:sz w:val="21"/>
        </w:rPr>
        <w:t> </w:t>
      </w:r>
      <w:r>
        <w:rPr>
          <w:rFonts w:ascii="Arial"/>
          <w:b/>
          <w:color w:val="010202"/>
          <w:sz w:val="21"/>
        </w:rPr>
        <w:t>reviewed</w:t>
      </w:r>
      <w:r>
        <w:rPr>
          <w:rFonts w:ascii="Arial"/>
          <w:b/>
          <w:color w:val="010202"/>
          <w:spacing w:val="-5"/>
          <w:sz w:val="21"/>
        </w:rPr>
        <w:t> </w:t>
      </w:r>
      <w:r>
        <w:rPr>
          <w:rFonts w:ascii="Arial"/>
          <w:b/>
          <w:color w:val="010202"/>
          <w:sz w:val="21"/>
        </w:rPr>
        <w:t>study,</w:t>
      </w:r>
      <w:r>
        <w:rPr>
          <w:rFonts w:ascii="Arial"/>
          <w:b/>
          <w:color w:val="010202"/>
          <w:spacing w:val="-4"/>
          <w:sz w:val="21"/>
        </w:rPr>
        <w:t> </w:t>
      </w:r>
      <w:r>
        <w:rPr>
          <w:rFonts w:ascii="Arial"/>
          <w:b/>
          <w:color w:val="010202"/>
          <w:sz w:val="21"/>
        </w:rPr>
        <w:t>assign</w:t>
      </w:r>
      <w:r>
        <w:rPr>
          <w:rFonts w:ascii="Arial"/>
          <w:b/>
          <w:color w:val="010202"/>
          <w:spacing w:val="-5"/>
          <w:sz w:val="21"/>
        </w:rPr>
        <w:t> </w:t>
      </w:r>
      <w:r>
        <w:rPr>
          <w:rFonts w:ascii="Arial"/>
          <w:b/>
          <w:color w:val="010202"/>
          <w:sz w:val="21"/>
        </w:rPr>
        <w:t>a</w:t>
      </w:r>
      <w:r>
        <w:rPr>
          <w:rFonts w:ascii="Arial"/>
          <w:b/>
          <w:color w:val="010202"/>
          <w:spacing w:val="-5"/>
          <w:sz w:val="21"/>
        </w:rPr>
        <w:t> </w:t>
      </w:r>
      <w:r>
        <w:rPr>
          <w:rFonts w:ascii="Arial"/>
          <w:b/>
          <w:color w:val="010202"/>
          <w:sz w:val="21"/>
        </w:rPr>
        <w:t>study</w:t>
      </w:r>
      <w:r>
        <w:rPr>
          <w:rFonts w:ascii="Arial"/>
          <w:b/>
          <w:color w:val="010202"/>
          <w:spacing w:val="-5"/>
          <w:sz w:val="21"/>
        </w:rPr>
        <w:t> </w:t>
      </w:r>
      <w:r>
        <w:rPr>
          <w:rFonts w:ascii="Arial"/>
          <w:b/>
          <w:color w:val="010202"/>
          <w:sz w:val="21"/>
        </w:rPr>
        <w:t>rating.</w:t>
      </w:r>
    </w:p>
    <w:p>
      <w:pPr>
        <w:pStyle w:val="BodyText"/>
        <w:spacing w:before="3"/>
        <w:rPr>
          <w:rFonts w:ascii="Arial"/>
          <w:b/>
          <w:sz w:val="17"/>
        </w:rPr>
      </w:pPr>
    </w:p>
    <w:p>
      <w:pPr>
        <w:spacing w:line="259" w:lineRule="auto" w:before="0"/>
        <w:ind w:left="300" w:right="1027" w:hanging="1"/>
        <w:jc w:val="left"/>
        <w:rPr>
          <w:rFonts w:ascii="Arial" w:hAnsi="Arial"/>
          <w:sz w:val="21"/>
        </w:rPr>
      </w:pPr>
      <w:r>
        <w:rPr>
          <w:rFonts w:ascii="Arial" w:hAnsi="Arial"/>
          <w:color w:val="010202"/>
          <w:sz w:val="21"/>
        </w:rPr>
        <w:t>Many</w:t>
      </w:r>
      <w:r>
        <w:rPr>
          <w:rFonts w:ascii="Arial" w:hAnsi="Arial"/>
          <w:color w:val="010202"/>
          <w:spacing w:val="-5"/>
          <w:sz w:val="21"/>
        </w:rPr>
        <w:t> </w:t>
      </w:r>
      <w:r>
        <w:rPr>
          <w:rFonts w:ascii="Arial" w:hAnsi="Arial"/>
          <w:color w:val="010202"/>
          <w:sz w:val="21"/>
        </w:rPr>
        <w:t>of</w:t>
      </w:r>
      <w:r>
        <w:rPr>
          <w:rFonts w:ascii="Arial" w:hAnsi="Arial"/>
          <w:color w:val="010202"/>
          <w:spacing w:val="-5"/>
          <w:sz w:val="21"/>
        </w:rPr>
        <w:t> </w:t>
      </w:r>
      <w:r>
        <w:rPr>
          <w:rFonts w:ascii="Arial" w:hAnsi="Arial"/>
          <w:color w:val="010202"/>
          <w:sz w:val="21"/>
        </w:rPr>
        <w:t>the</w:t>
      </w:r>
      <w:r>
        <w:rPr>
          <w:rFonts w:ascii="Arial" w:hAnsi="Arial"/>
          <w:color w:val="010202"/>
          <w:spacing w:val="-4"/>
          <w:sz w:val="21"/>
        </w:rPr>
        <w:t> </w:t>
      </w:r>
      <w:r>
        <w:rPr>
          <w:rFonts w:ascii="Arial" w:hAnsi="Arial"/>
          <w:color w:val="010202"/>
          <w:sz w:val="21"/>
        </w:rPr>
        <w:t>telehealth</w:t>
      </w:r>
      <w:r>
        <w:rPr>
          <w:rFonts w:ascii="Arial" w:hAnsi="Arial"/>
          <w:color w:val="010202"/>
          <w:spacing w:val="-4"/>
          <w:sz w:val="21"/>
        </w:rPr>
        <w:t> </w:t>
      </w:r>
      <w:r>
        <w:rPr>
          <w:rFonts w:ascii="Arial" w:hAnsi="Arial"/>
          <w:color w:val="010202"/>
          <w:sz w:val="21"/>
        </w:rPr>
        <w:t>studies</w:t>
      </w:r>
      <w:r>
        <w:rPr>
          <w:rFonts w:ascii="Arial" w:hAnsi="Arial"/>
          <w:color w:val="010202"/>
          <w:spacing w:val="-4"/>
          <w:sz w:val="21"/>
        </w:rPr>
        <w:t> </w:t>
      </w:r>
      <w:r>
        <w:rPr>
          <w:rFonts w:ascii="Arial" w:hAnsi="Arial"/>
          <w:color w:val="010202"/>
          <w:sz w:val="21"/>
        </w:rPr>
        <w:t>examine</w:t>
      </w:r>
      <w:r>
        <w:rPr>
          <w:rFonts w:ascii="Arial" w:hAnsi="Arial"/>
          <w:color w:val="010202"/>
          <w:spacing w:val="-6"/>
          <w:sz w:val="21"/>
        </w:rPr>
        <w:t> </w:t>
      </w:r>
      <w:r>
        <w:rPr>
          <w:rFonts w:ascii="Arial" w:hAnsi="Arial"/>
          <w:color w:val="010202"/>
          <w:sz w:val="21"/>
        </w:rPr>
        <w:t>a</w:t>
      </w:r>
      <w:r>
        <w:rPr>
          <w:rFonts w:ascii="Arial" w:hAnsi="Arial"/>
          <w:color w:val="010202"/>
          <w:spacing w:val="-5"/>
          <w:sz w:val="21"/>
        </w:rPr>
        <w:t> </w:t>
      </w:r>
      <w:r>
        <w:rPr>
          <w:rFonts w:ascii="Arial" w:hAnsi="Arial"/>
          <w:color w:val="010202"/>
          <w:sz w:val="21"/>
        </w:rPr>
        <w:t>slightly</w:t>
      </w:r>
      <w:r>
        <w:rPr>
          <w:rFonts w:ascii="Arial" w:hAnsi="Arial"/>
          <w:color w:val="010202"/>
          <w:spacing w:val="-4"/>
          <w:sz w:val="21"/>
        </w:rPr>
        <w:t> </w:t>
      </w:r>
      <w:r>
        <w:rPr>
          <w:rFonts w:ascii="Arial" w:hAnsi="Arial"/>
          <w:color w:val="010202"/>
          <w:sz w:val="21"/>
        </w:rPr>
        <w:t>different</w:t>
      </w:r>
      <w:r>
        <w:rPr>
          <w:rFonts w:ascii="Arial" w:hAnsi="Arial"/>
          <w:color w:val="010202"/>
          <w:spacing w:val="-5"/>
          <w:sz w:val="21"/>
        </w:rPr>
        <w:t> </w:t>
      </w:r>
      <w:r>
        <w:rPr>
          <w:rFonts w:ascii="Arial" w:hAnsi="Arial"/>
          <w:color w:val="010202"/>
          <w:sz w:val="21"/>
        </w:rPr>
        <w:t>question</w:t>
      </w:r>
      <w:r>
        <w:rPr>
          <w:rFonts w:ascii="Arial" w:hAnsi="Arial"/>
          <w:color w:val="010202"/>
          <w:spacing w:val="-5"/>
          <w:sz w:val="21"/>
        </w:rPr>
        <w:t> </w:t>
      </w:r>
      <w:r>
        <w:rPr>
          <w:rFonts w:ascii="Arial" w:hAnsi="Arial"/>
          <w:color w:val="010202"/>
          <w:sz w:val="21"/>
        </w:rPr>
        <w:t>than</w:t>
      </w:r>
      <w:r>
        <w:rPr>
          <w:rFonts w:ascii="Arial" w:hAnsi="Arial"/>
          <w:color w:val="010202"/>
          <w:spacing w:val="-4"/>
          <w:sz w:val="21"/>
        </w:rPr>
        <w:t> </w:t>
      </w:r>
      <w:r>
        <w:rPr>
          <w:rFonts w:ascii="Arial" w:hAnsi="Arial"/>
          <w:color w:val="010202"/>
          <w:sz w:val="21"/>
        </w:rPr>
        <w:t>most</w:t>
      </w:r>
      <w:r>
        <w:rPr>
          <w:rFonts w:ascii="Arial" w:hAnsi="Arial"/>
          <w:color w:val="010202"/>
          <w:spacing w:val="-5"/>
          <w:sz w:val="21"/>
        </w:rPr>
        <w:t> </w:t>
      </w:r>
      <w:r>
        <w:rPr>
          <w:rFonts w:ascii="Arial" w:hAnsi="Arial"/>
          <w:color w:val="010202"/>
          <w:sz w:val="21"/>
        </w:rPr>
        <w:t>evaluation</w:t>
      </w:r>
      <w:r>
        <w:rPr>
          <w:rFonts w:ascii="Arial" w:hAnsi="Arial"/>
          <w:color w:val="010202"/>
          <w:spacing w:val="-5"/>
          <w:sz w:val="21"/>
        </w:rPr>
        <w:t> </w:t>
      </w:r>
      <w:r>
        <w:rPr>
          <w:rFonts w:ascii="Arial" w:hAnsi="Arial"/>
          <w:color w:val="010202"/>
          <w:sz w:val="21"/>
        </w:rPr>
        <w:t>studies.</w:t>
      </w:r>
      <w:r>
        <w:rPr>
          <w:rFonts w:ascii="Arial" w:hAnsi="Arial"/>
          <w:color w:val="010202"/>
          <w:spacing w:val="-8"/>
          <w:sz w:val="21"/>
        </w:rPr>
        <w:t> </w:t>
      </w:r>
      <w:r>
        <w:rPr>
          <w:rFonts w:ascii="Arial" w:hAnsi="Arial"/>
          <w:color w:val="010202"/>
          <w:sz w:val="21"/>
        </w:rPr>
        <w:t>Typically,</w:t>
      </w:r>
      <w:r>
        <w:rPr>
          <w:rFonts w:ascii="Arial" w:hAnsi="Arial"/>
          <w:color w:val="010202"/>
          <w:spacing w:val="-4"/>
          <w:sz w:val="21"/>
        </w:rPr>
        <w:t> </w:t>
      </w:r>
      <w:r>
        <w:rPr>
          <w:rFonts w:ascii="Arial" w:hAnsi="Arial"/>
          <w:color w:val="010202"/>
          <w:sz w:val="21"/>
        </w:rPr>
        <w:t>an</w:t>
      </w:r>
      <w:r>
        <w:rPr>
          <w:rFonts w:ascii="Arial" w:hAnsi="Arial"/>
          <w:color w:val="010202"/>
          <w:spacing w:val="-55"/>
          <w:sz w:val="21"/>
        </w:rPr>
        <w:t> </w:t>
      </w:r>
      <w:r>
        <w:rPr>
          <w:rFonts w:ascii="Arial" w:hAnsi="Arial"/>
          <w:color w:val="010202"/>
          <w:sz w:val="21"/>
        </w:rPr>
        <w:t>evaluation of the effectiveness of a specific therapeutic practice will assess whether the practice yields better</w:t>
      </w:r>
      <w:r>
        <w:rPr>
          <w:rFonts w:ascii="Arial" w:hAnsi="Arial"/>
          <w:color w:val="010202"/>
          <w:spacing w:val="1"/>
          <w:sz w:val="21"/>
        </w:rPr>
        <w:t> </w:t>
      </w:r>
      <w:r>
        <w:rPr>
          <w:rFonts w:ascii="Arial" w:hAnsi="Arial"/>
          <w:color w:val="010202"/>
          <w:sz w:val="21"/>
        </w:rPr>
        <w:t>outcomes than a control consisting of no treatment or a treatment-as-usual approach. However, for many</w:t>
      </w:r>
      <w:r>
        <w:rPr>
          <w:rFonts w:ascii="Arial" w:hAnsi="Arial"/>
          <w:color w:val="010202"/>
          <w:spacing w:val="1"/>
          <w:sz w:val="21"/>
        </w:rPr>
        <w:t> </w:t>
      </w:r>
      <w:r>
        <w:rPr>
          <w:rFonts w:ascii="Arial" w:hAnsi="Arial"/>
          <w:color w:val="010202"/>
          <w:sz w:val="21"/>
        </w:rPr>
        <w:t>telehealth studies, the question posed is whether outcomes for telehealth recipients are comparable for those</w:t>
      </w:r>
      <w:r>
        <w:rPr>
          <w:rFonts w:ascii="Arial" w:hAnsi="Arial"/>
          <w:color w:val="010202"/>
          <w:spacing w:val="-56"/>
          <w:sz w:val="21"/>
        </w:rPr>
        <w:t> </w:t>
      </w:r>
      <w:r>
        <w:rPr>
          <w:rFonts w:ascii="Arial" w:hAnsi="Arial"/>
          <w:color w:val="010202"/>
          <w:sz w:val="21"/>
        </w:rPr>
        <w:t>receiving the therapy in-person. Given that telehealth is typically less expensive and easier to access, the</w:t>
      </w:r>
      <w:r>
        <w:rPr>
          <w:rFonts w:ascii="Arial" w:hAnsi="Arial"/>
          <w:color w:val="010202"/>
          <w:spacing w:val="1"/>
          <w:sz w:val="21"/>
        </w:rPr>
        <w:t> </w:t>
      </w:r>
      <w:r>
        <w:rPr>
          <w:rFonts w:ascii="Arial" w:hAnsi="Arial"/>
          <w:color w:val="010202"/>
          <w:sz w:val="21"/>
        </w:rPr>
        <w:t>question addressed by these studies is one of “non-inferiority,” i.e., does telehealth-delivered evidence-based</w:t>
      </w:r>
      <w:r>
        <w:rPr>
          <w:rFonts w:ascii="Arial" w:hAnsi="Arial"/>
          <w:color w:val="010202"/>
          <w:spacing w:val="-56"/>
          <w:sz w:val="21"/>
        </w:rPr>
        <w:t> </w:t>
      </w:r>
      <w:r>
        <w:rPr>
          <w:rFonts w:ascii="Arial" w:hAnsi="Arial"/>
          <w:color w:val="010202"/>
          <w:sz w:val="21"/>
        </w:rPr>
        <w:t>therapy</w:t>
      </w:r>
      <w:r>
        <w:rPr>
          <w:rFonts w:ascii="Arial" w:hAnsi="Arial"/>
          <w:color w:val="010202"/>
          <w:spacing w:val="-1"/>
          <w:sz w:val="21"/>
        </w:rPr>
        <w:t> </w:t>
      </w:r>
      <w:r>
        <w:rPr>
          <w:rFonts w:ascii="Arial" w:hAnsi="Arial"/>
          <w:color w:val="010202"/>
          <w:sz w:val="21"/>
        </w:rPr>
        <w:t>produce similar (and no worse) outcomes than evidence-based therapy delivered in-person?</w:t>
      </w:r>
    </w:p>
    <w:p>
      <w:pPr>
        <w:spacing w:line="259" w:lineRule="auto" w:before="174"/>
        <w:ind w:left="300" w:right="1382" w:firstLine="0"/>
        <w:jc w:val="left"/>
        <w:rPr>
          <w:rFonts w:ascii="Arial"/>
          <w:b/>
          <w:sz w:val="21"/>
        </w:rPr>
      </w:pPr>
      <w:r>
        <w:rPr>
          <w:rFonts w:ascii="Arial"/>
          <w:b/>
          <w:color w:val="010202"/>
          <w:sz w:val="21"/>
        </w:rPr>
        <w:t>STEP</w:t>
      </w:r>
      <w:r>
        <w:rPr>
          <w:rFonts w:ascii="Arial"/>
          <w:b/>
          <w:color w:val="010202"/>
          <w:spacing w:val="-5"/>
          <w:sz w:val="21"/>
        </w:rPr>
        <w:t> </w:t>
      </w:r>
      <w:r>
        <w:rPr>
          <w:rFonts w:ascii="Arial"/>
          <w:b/>
          <w:color w:val="010202"/>
          <w:sz w:val="21"/>
        </w:rPr>
        <w:t>4:</w:t>
      </w:r>
      <w:r>
        <w:rPr>
          <w:rFonts w:ascii="Arial"/>
          <w:b/>
          <w:color w:val="010202"/>
          <w:spacing w:val="-9"/>
          <w:sz w:val="21"/>
        </w:rPr>
        <w:t> </w:t>
      </w:r>
      <w:r>
        <w:rPr>
          <w:rFonts w:ascii="Arial"/>
          <w:b/>
          <w:color w:val="010202"/>
          <w:sz w:val="21"/>
        </w:rPr>
        <w:t>Assign</w:t>
      </w:r>
      <w:r>
        <w:rPr>
          <w:rFonts w:ascii="Arial"/>
          <w:b/>
          <w:color w:val="010202"/>
          <w:spacing w:val="-2"/>
          <w:sz w:val="21"/>
        </w:rPr>
        <w:t> </w:t>
      </w:r>
      <w:r>
        <w:rPr>
          <w:rFonts w:ascii="Arial"/>
          <w:b/>
          <w:color w:val="010202"/>
          <w:sz w:val="21"/>
        </w:rPr>
        <w:t>evidence</w:t>
      </w:r>
      <w:r>
        <w:rPr>
          <w:rFonts w:ascii="Arial"/>
          <w:b/>
          <w:color w:val="010202"/>
          <w:spacing w:val="-1"/>
          <w:sz w:val="21"/>
        </w:rPr>
        <w:t> </w:t>
      </w:r>
      <w:r>
        <w:rPr>
          <w:rFonts w:ascii="Arial"/>
          <w:b/>
          <w:color w:val="010202"/>
          <w:sz w:val="21"/>
        </w:rPr>
        <w:t>rating</w:t>
      </w:r>
      <w:r>
        <w:rPr>
          <w:rFonts w:ascii="Arial"/>
          <w:b/>
          <w:color w:val="010202"/>
          <w:spacing w:val="-1"/>
          <w:sz w:val="21"/>
        </w:rPr>
        <w:t> </w:t>
      </w:r>
      <w:r>
        <w:rPr>
          <w:rFonts w:ascii="Arial"/>
          <w:b/>
          <w:color w:val="010202"/>
          <w:sz w:val="21"/>
        </w:rPr>
        <w:t>for</w:t>
      </w:r>
      <w:r>
        <w:rPr>
          <w:rFonts w:ascii="Arial"/>
          <w:b/>
          <w:color w:val="010202"/>
          <w:spacing w:val="-1"/>
          <w:sz w:val="21"/>
        </w:rPr>
        <w:t> </w:t>
      </w:r>
      <w:r>
        <w:rPr>
          <w:rFonts w:ascii="Arial"/>
          <w:b/>
          <w:color w:val="010202"/>
          <w:sz w:val="21"/>
        </w:rPr>
        <w:t>each</w:t>
      </w:r>
      <w:r>
        <w:rPr>
          <w:rFonts w:ascii="Arial"/>
          <w:b/>
          <w:color w:val="010202"/>
          <w:spacing w:val="-1"/>
          <w:sz w:val="21"/>
        </w:rPr>
        <w:t> </w:t>
      </w:r>
      <w:r>
        <w:rPr>
          <w:rFonts w:ascii="Arial"/>
          <w:b/>
          <w:color w:val="010202"/>
          <w:sz w:val="21"/>
        </w:rPr>
        <w:t>treatment</w:t>
      </w:r>
      <w:r>
        <w:rPr>
          <w:rFonts w:ascii="Arial"/>
          <w:b/>
          <w:color w:val="010202"/>
          <w:spacing w:val="-1"/>
          <w:sz w:val="21"/>
        </w:rPr>
        <w:t> </w:t>
      </w:r>
      <w:r>
        <w:rPr>
          <w:rFonts w:ascii="Arial"/>
          <w:b/>
          <w:color w:val="010202"/>
          <w:sz w:val="21"/>
        </w:rPr>
        <w:t>based</w:t>
      </w:r>
      <w:r>
        <w:rPr>
          <w:rFonts w:ascii="Arial"/>
          <w:b/>
          <w:color w:val="010202"/>
          <w:spacing w:val="-1"/>
          <w:sz w:val="21"/>
        </w:rPr>
        <w:t> </w:t>
      </w:r>
      <w:r>
        <w:rPr>
          <w:rFonts w:ascii="Arial"/>
          <w:b/>
          <w:color w:val="010202"/>
          <w:sz w:val="21"/>
        </w:rPr>
        <w:t>on</w:t>
      </w:r>
      <w:r>
        <w:rPr>
          <w:rFonts w:ascii="Arial"/>
          <w:b/>
          <w:color w:val="010202"/>
          <w:spacing w:val="-1"/>
          <w:sz w:val="21"/>
        </w:rPr>
        <w:t> </w:t>
      </w:r>
      <w:r>
        <w:rPr>
          <w:rFonts w:ascii="Arial"/>
          <w:b/>
          <w:color w:val="010202"/>
          <w:sz w:val="21"/>
        </w:rPr>
        <w:t>the</w:t>
      </w:r>
      <w:r>
        <w:rPr>
          <w:rFonts w:ascii="Arial"/>
          <w:b/>
          <w:color w:val="010202"/>
          <w:spacing w:val="-1"/>
          <w:sz w:val="21"/>
        </w:rPr>
        <w:t> </w:t>
      </w:r>
      <w:r>
        <w:rPr>
          <w:rFonts w:ascii="Arial"/>
          <w:b/>
          <w:color w:val="010202"/>
          <w:sz w:val="21"/>
        </w:rPr>
        <w:t>number</w:t>
      </w:r>
      <w:r>
        <w:rPr>
          <w:rFonts w:ascii="Arial"/>
          <w:b/>
          <w:color w:val="010202"/>
          <w:spacing w:val="-1"/>
          <w:sz w:val="21"/>
        </w:rPr>
        <w:t> </w:t>
      </w:r>
      <w:r>
        <w:rPr>
          <w:rFonts w:ascii="Arial"/>
          <w:b/>
          <w:color w:val="010202"/>
          <w:sz w:val="21"/>
        </w:rPr>
        <w:t>of</w:t>
      </w:r>
      <w:r>
        <w:rPr>
          <w:rFonts w:ascii="Arial"/>
          <w:b/>
          <w:color w:val="010202"/>
          <w:spacing w:val="-1"/>
          <w:sz w:val="21"/>
        </w:rPr>
        <w:t> </w:t>
      </w:r>
      <w:r>
        <w:rPr>
          <w:rFonts w:ascii="Arial"/>
          <w:b/>
          <w:color w:val="010202"/>
          <w:sz w:val="21"/>
        </w:rPr>
        <w:t>studies</w:t>
      </w:r>
      <w:r>
        <w:rPr>
          <w:rFonts w:ascii="Arial"/>
          <w:b/>
          <w:color w:val="010202"/>
          <w:spacing w:val="-1"/>
          <w:sz w:val="21"/>
        </w:rPr>
        <w:t> </w:t>
      </w:r>
      <w:r>
        <w:rPr>
          <w:rFonts w:ascii="Arial"/>
          <w:b/>
          <w:color w:val="010202"/>
          <w:sz w:val="21"/>
        </w:rPr>
        <w:t>demonstrating</w:t>
      </w:r>
      <w:r>
        <w:rPr>
          <w:rFonts w:ascii="Arial"/>
          <w:b/>
          <w:color w:val="010202"/>
          <w:spacing w:val="-1"/>
          <w:sz w:val="21"/>
        </w:rPr>
        <w:t> </w:t>
      </w:r>
      <w:r>
        <w:rPr>
          <w:rFonts w:ascii="Arial"/>
          <w:b/>
          <w:color w:val="010202"/>
          <w:sz w:val="21"/>
        </w:rPr>
        <w:t>a</w:t>
      </w:r>
      <w:r>
        <w:rPr>
          <w:rFonts w:ascii="Arial"/>
          <w:b/>
          <w:color w:val="010202"/>
          <w:spacing w:val="-56"/>
          <w:sz w:val="21"/>
        </w:rPr>
        <w:t> </w:t>
      </w:r>
      <w:r>
        <w:rPr>
          <w:rFonts w:ascii="Arial"/>
          <w:b/>
          <w:color w:val="010202"/>
          <w:sz w:val="21"/>
        </w:rPr>
        <w:t>high or moderate causal impact on mental health and substance use outcomes.</w:t>
      </w:r>
    </w:p>
    <w:p>
      <w:pPr>
        <w:spacing w:line="259" w:lineRule="auto" w:before="178"/>
        <w:ind w:left="300" w:right="1027" w:firstLine="0"/>
        <w:jc w:val="left"/>
        <w:rPr>
          <w:rFonts w:ascii="Arial"/>
          <w:sz w:val="21"/>
        </w:rPr>
      </w:pPr>
      <w:r>
        <w:rPr>
          <w:rFonts w:ascii="Arial"/>
          <w:color w:val="010202"/>
          <w:sz w:val="21"/>
        </w:rPr>
        <w:t>See</w:t>
      </w:r>
      <w:r>
        <w:rPr>
          <w:rFonts w:ascii="Arial"/>
          <w:color w:val="010202"/>
          <w:spacing w:val="-2"/>
          <w:sz w:val="21"/>
        </w:rPr>
        <w:t> </w:t>
      </w:r>
      <w:r>
        <w:rPr>
          <w:rFonts w:ascii="Arial"/>
          <w:color w:val="010202"/>
          <w:sz w:val="21"/>
        </w:rPr>
        <w:t>the</w:t>
      </w:r>
      <w:r>
        <w:rPr>
          <w:rFonts w:ascii="Arial"/>
          <w:color w:val="010202"/>
          <w:spacing w:val="-1"/>
          <w:sz w:val="21"/>
        </w:rPr>
        <w:t> </w:t>
      </w:r>
      <w:r>
        <w:rPr>
          <w:rFonts w:ascii="Arial"/>
          <w:color w:val="010202"/>
          <w:sz w:val="21"/>
        </w:rPr>
        <w:t>evidence</w:t>
      </w:r>
      <w:r>
        <w:rPr>
          <w:rFonts w:ascii="Arial"/>
          <w:color w:val="010202"/>
          <w:spacing w:val="-1"/>
          <w:sz w:val="21"/>
        </w:rPr>
        <w:t> </w:t>
      </w:r>
      <w:r>
        <w:rPr>
          <w:rFonts w:ascii="Arial"/>
          <w:color w:val="010202"/>
          <w:sz w:val="21"/>
        </w:rPr>
        <w:t>review</w:t>
      </w:r>
      <w:r>
        <w:rPr>
          <w:rFonts w:ascii="Arial"/>
          <w:color w:val="010202"/>
          <w:spacing w:val="-1"/>
          <w:sz w:val="21"/>
        </w:rPr>
        <w:t> </w:t>
      </w:r>
      <w:r>
        <w:rPr>
          <w:rFonts w:ascii="Arial"/>
          <w:color w:val="010202"/>
          <w:sz w:val="21"/>
        </w:rPr>
        <w:t>methods</w:t>
      </w:r>
      <w:r>
        <w:rPr>
          <w:rFonts w:ascii="Arial"/>
          <w:color w:val="010202"/>
          <w:spacing w:val="-1"/>
          <w:sz w:val="21"/>
        </w:rPr>
        <w:t> </w:t>
      </w:r>
      <w:r>
        <w:rPr>
          <w:rFonts w:ascii="Arial"/>
          <w:color w:val="010202"/>
          <w:sz w:val="21"/>
        </w:rPr>
        <w:t>and</w:t>
      </w:r>
      <w:r>
        <w:rPr>
          <w:rFonts w:ascii="Arial"/>
          <w:color w:val="010202"/>
          <w:spacing w:val="-13"/>
          <w:sz w:val="21"/>
        </w:rPr>
        <w:t> </w:t>
      </w:r>
      <w:r>
        <w:rPr>
          <w:rFonts w:ascii="Arial"/>
          <w:color w:val="010202"/>
          <w:sz w:val="21"/>
        </w:rPr>
        <w:t>Appendix</w:t>
      </w:r>
      <w:r>
        <w:rPr>
          <w:rFonts w:ascii="Arial"/>
          <w:color w:val="010202"/>
          <w:spacing w:val="-1"/>
          <w:sz w:val="21"/>
        </w:rPr>
        <w:t> </w:t>
      </w:r>
      <w:r>
        <w:rPr>
          <w:rFonts w:ascii="Arial"/>
          <w:color w:val="010202"/>
          <w:sz w:val="21"/>
        </w:rPr>
        <w:t>2</w:t>
      </w:r>
      <w:r>
        <w:rPr>
          <w:rFonts w:ascii="Arial"/>
          <w:color w:val="010202"/>
          <w:spacing w:val="-1"/>
          <w:sz w:val="21"/>
        </w:rPr>
        <w:t> </w:t>
      </w:r>
      <w:r>
        <w:rPr>
          <w:rFonts w:ascii="Arial"/>
          <w:color w:val="010202"/>
          <w:sz w:val="21"/>
        </w:rPr>
        <w:t>for</w:t>
      </w:r>
      <w:r>
        <w:rPr>
          <w:rFonts w:ascii="Arial"/>
          <w:color w:val="010202"/>
          <w:spacing w:val="-1"/>
          <w:sz w:val="21"/>
        </w:rPr>
        <w:t> </w:t>
      </w:r>
      <w:r>
        <w:rPr>
          <w:rFonts w:ascii="Arial"/>
          <w:color w:val="010202"/>
          <w:sz w:val="21"/>
        </w:rPr>
        <w:t>more</w:t>
      </w:r>
      <w:r>
        <w:rPr>
          <w:rFonts w:ascii="Arial"/>
          <w:color w:val="010202"/>
          <w:spacing w:val="-1"/>
          <w:sz w:val="21"/>
        </w:rPr>
        <w:t> </w:t>
      </w:r>
      <w:r>
        <w:rPr>
          <w:rFonts w:ascii="Arial"/>
          <w:color w:val="010202"/>
          <w:sz w:val="21"/>
        </w:rPr>
        <w:t>information</w:t>
      </w:r>
      <w:r>
        <w:rPr>
          <w:rFonts w:ascii="Arial"/>
          <w:color w:val="010202"/>
          <w:spacing w:val="-1"/>
          <w:sz w:val="21"/>
        </w:rPr>
        <w:t> </w:t>
      </w:r>
      <w:r>
        <w:rPr>
          <w:rFonts w:ascii="Arial"/>
          <w:color w:val="010202"/>
          <w:sz w:val="21"/>
        </w:rPr>
        <w:t>on</w:t>
      </w:r>
      <w:r>
        <w:rPr>
          <w:rFonts w:ascii="Arial"/>
          <w:color w:val="010202"/>
          <w:spacing w:val="-2"/>
          <w:sz w:val="21"/>
        </w:rPr>
        <w:t> </w:t>
      </w:r>
      <w:r>
        <w:rPr>
          <w:rFonts w:ascii="Arial"/>
          <w:color w:val="010202"/>
          <w:sz w:val="21"/>
        </w:rPr>
        <w:t>the</w:t>
      </w:r>
      <w:r>
        <w:rPr>
          <w:rFonts w:ascii="Arial"/>
          <w:color w:val="010202"/>
          <w:spacing w:val="-1"/>
          <w:sz w:val="21"/>
        </w:rPr>
        <w:t> </w:t>
      </w:r>
      <w:r>
        <w:rPr>
          <w:rFonts w:ascii="Arial"/>
          <w:color w:val="010202"/>
          <w:sz w:val="21"/>
        </w:rPr>
        <w:t>process</w:t>
      </w:r>
      <w:r>
        <w:rPr>
          <w:rFonts w:ascii="Arial"/>
          <w:color w:val="010202"/>
          <w:spacing w:val="-1"/>
          <w:sz w:val="21"/>
        </w:rPr>
        <w:t> </w:t>
      </w:r>
      <w:r>
        <w:rPr>
          <w:rFonts w:ascii="Arial"/>
          <w:color w:val="010202"/>
          <w:sz w:val="21"/>
        </w:rPr>
        <w:t>for</w:t>
      </w:r>
      <w:r>
        <w:rPr>
          <w:rFonts w:ascii="Arial"/>
          <w:color w:val="010202"/>
          <w:spacing w:val="-1"/>
          <w:sz w:val="21"/>
        </w:rPr>
        <w:t> </w:t>
      </w:r>
      <w:r>
        <w:rPr>
          <w:rFonts w:ascii="Arial"/>
          <w:color w:val="010202"/>
          <w:sz w:val="21"/>
        </w:rPr>
        <w:t>treatment</w:t>
      </w:r>
      <w:r>
        <w:rPr>
          <w:rFonts w:ascii="Arial"/>
          <w:color w:val="010202"/>
          <w:spacing w:val="-1"/>
          <w:sz w:val="21"/>
        </w:rPr>
        <w:t> </w:t>
      </w:r>
      <w:r>
        <w:rPr>
          <w:rFonts w:ascii="Arial"/>
          <w:color w:val="010202"/>
          <w:sz w:val="21"/>
        </w:rPr>
        <w:t>selection</w:t>
      </w:r>
      <w:r>
        <w:rPr>
          <w:rFonts w:ascii="Arial"/>
          <w:color w:val="010202"/>
          <w:spacing w:val="-55"/>
          <w:sz w:val="21"/>
        </w:rPr>
        <w:t> </w:t>
      </w:r>
      <w:r>
        <w:rPr>
          <w:rFonts w:ascii="Arial"/>
          <w:color w:val="010202"/>
          <w:sz w:val="21"/>
        </w:rPr>
        <w:t>and rating.</w:t>
      </w:r>
    </w:p>
    <w:p>
      <w:pPr>
        <w:spacing w:after="0" w:line="259" w:lineRule="auto"/>
        <w:jc w:val="left"/>
        <w:rPr>
          <w:rFonts w:ascii="Arial"/>
          <w:sz w:val="21"/>
        </w:rPr>
        <w:sectPr>
          <w:headerReference w:type="default" r:id="rId110"/>
          <w:footerReference w:type="default" r:id="rId111"/>
          <w:pgSz w:w="12240" w:h="15840"/>
          <w:pgMar w:header="0" w:footer="666" w:top="380" w:bottom="860" w:left="600" w:right="0"/>
        </w:sectPr>
      </w:pPr>
    </w:p>
    <w:p>
      <w:pPr>
        <w:pStyle w:val="BodyText"/>
        <w:rPr>
          <w:rFonts w:ascii="Arial"/>
          <w:sz w:val="20"/>
        </w:rPr>
      </w:pPr>
    </w:p>
    <w:p>
      <w:pPr>
        <w:pStyle w:val="BodyText"/>
        <w:spacing w:before="2"/>
        <w:rPr>
          <w:rFonts w:ascii="Arial"/>
          <w:sz w:val="27"/>
        </w:rPr>
      </w:pPr>
    </w:p>
    <w:p>
      <w:pPr>
        <w:pStyle w:val="BodyText"/>
        <w:spacing w:line="266" w:lineRule="auto" w:before="91"/>
        <w:ind w:left="5876" w:right="689"/>
      </w:pPr>
      <w:r>
        <w:rPr/>
        <w:drawing>
          <wp:anchor distT="0" distB="0" distL="0" distR="0" allowOverlap="1" layoutInCell="1" locked="0" behindDoc="0" simplePos="0" relativeHeight="15741440">
            <wp:simplePos x="0" y="0"/>
            <wp:positionH relativeFrom="page">
              <wp:posOffset>457199</wp:posOffset>
            </wp:positionH>
            <wp:positionV relativeFrom="paragraph">
              <wp:posOffset>91344</wp:posOffset>
            </wp:positionV>
            <wp:extent cx="3212591" cy="4663439"/>
            <wp:effectExtent l="0" t="0" r="0" b="0"/>
            <wp:wrapNone/>
            <wp:docPr id="11" name="image9.jpeg" descr="This graphic depicts three vertical boxes which outline three levels of causal evidence. The top box has a heading that reads Strong Evidence.Ž Underneath that title, text reads Causal impact demonstrated by at least two randomized control trials, quasi-experimental designs, or epidemiological studies with a high or moderate rating.Ž The middle box has a title that reads Moderate Evidence.Ž Text below this title reads, Causal impact demonstrated by at least one randomized control trial, quasi-experimental design, or epidemiological study with a high or moderate rating. The bottom box has a title that reads Emerging Evidence.Ž Text below this title reads, No study received a high or moderate rating. The practice may have been evaluated with less rigorous studies (e.g., pre-post designs) that demonstrate an association between the practice and positive outcomes, but additional studies are needed to establish causal impact.Ž  "/>
            <wp:cNvGraphicFramePr>
              <a:graphicFrameLocks noChangeAspect="1"/>
            </wp:cNvGraphicFramePr>
            <a:graphic>
              <a:graphicData uri="http://schemas.openxmlformats.org/drawingml/2006/picture">
                <pic:pic>
                  <pic:nvPicPr>
                    <pic:cNvPr id="12" name="image9.jpeg"/>
                    <pic:cNvPicPr/>
                  </pic:nvPicPr>
                  <pic:blipFill>
                    <a:blip r:embed="rId112" cstate="print"/>
                    <a:stretch>
                      <a:fillRect/>
                    </a:stretch>
                  </pic:blipFill>
                  <pic:spPr>
                    <a:xfrm>
                      <a:off x="0" y="0"/>
                      <a:ext cx="3212591" cy="4663439"/>
                    </a:xfrm>
                    <a:prstGeom prst="rect">
                      <a:avLst/>
                    </a:prstGeom>
                  </pic:spPr>
                </pic:pic>
              </a:graphicData>
            </a:graphic>
          </wp:anchor>
        </w:drawing>
      </w:r>
      <w:r>
        <w:rPr>
          <w:color w:val="231F20"/>
        </w:rPr>
        <w:t>The evidence for use of telehealth across the continuum</w:t>
      </w:r>
      <w:r>
        <w:rPr>
          <w:color w:val="231F20"/>
          <w:spacing w:val="1"/>
        </w:rPr>
        <w:t> </w:t>
      </w:r>
      <w:r>
        <w:rPr>
          <w:color w:val="231F20"/>
        </w:rPr>
        <w:t>of care for SMI and SUD is included below, with the</w:t>
      </w:r>
      <w:r>
        <w:rPr>
          <w:color w:val="231F20"/>
          <w:spacing w:val="1"/>
        </w:rPr>
        <w:t> </w:t>
      </w:r>
      <w:r>
        <w:rPr>
          <w:color w:val="231F20"/>
        </w:rPr>
        <w:t>detailed evidence review results (i.e., causal evidence</w:t>
      </w:r>
      <w:r>
        <w:rPr>
          <w:color w:val="231F20"/>
          <w:spacing w:val="1"/>
        </w:rPr>
        <w:t> </w:t>
      </w:r>
      <w:r>
        <w:rPr>
          <w:color w:val="231F20"/>
          <w:spacing w:val="-2"/>
        </w:rPr>
        <w:t>level</w:t>
      </w:r>
      <w:r>
        <w:rPr>
          <w:color w:val="231F20"/>
          <w:spacing w:val="-9"/>
        </w:rPr>
        <w:t> </w:t>
      </w:r>
      <w:r>
        <w:rPr>
          <w:color w:val="231F20"/>
          <w:spacing w:val="-2"/>
        </w:rPr>
        <w:t>ratings)</w:t>
      </w:r>
      <w:r>
        <w:rPr>
          <w:color w:val="231F20"/>
          <w:spacing w:val="-10"/>
        </w:rPr>
        <w:t> </w:t>
      </w:r>
      <w:r>
        <w:rPr>
          <w:color w:val="231F20"/>
          <w:spacing w:val="-1"/>
        </w:rPr>
        <w:t>included</w:t>
      </w:r>
      <w:r>
        <w:rPr>
          <w:color w:val="231F20"/>
          <w:spacing w:val="-9"/>
        </w:rPr>
        <w:t> </w:t>
      </w:r>
      <w:r>
        <w:rPr>
          <w:color w:val="231F20"/>
          <w:spacing w:val="-1"/>
        </w:rPr>
        <w:t>for</w:t>
      </w:r>
      <w:r>
        <w:rPr>
          <w:color w:val="231F20"/>
          <w:spacing w:val="-9"/>
        </w:rPr>
        <w:t> </w:t>
      </w:r>
      <w:r>
        <w:rPr>
          <w:color w:val="231F20"/>
          <w:spacing w:val="-1"/>
        </w:rPr>
        <w:t>MAT</w:t>
      </w:r>
      <w:r>
        <w:rPr>
          <w:color w:val="231F20"/>
          <w:spacing w:val="-12"/>
        </w:rPr>
        <w:t> </w:t>
      </w:r>
      <w:r>
        <w:rPr>
          <w:color w:val="231F20"/>
          <w:spacing w:val="-1"/>
        </w:rPr>
        <w:t>and</w:t>
      </w:r>
      <w:r>
        <w:rPr>
          <w:color w:val="231F20"/>
          <w:spacing w:val="-9"/>
        </w:rPr>
        <w:t> </w:t>
      </w:r>
      <w:r>
        <w:rPr>
          <w:color w:val="231F20"/>
          <w:spacing w:val="-1"/>
        </w:rPr>
        <w:t>behavioral</w:t>
      </w:r>
      <w:r>
        <w:rPr>
          <w:color w:val="231F20"/>
          <w:spacing w:val="-9"/>
        </w:rPr>
        <w:t> </w:t>
      </w:r>
      <w:r>
        <w:rPr>
          <w:color w:val="231F20"/>
          <w:spacing w:val="-1"/>
        </w:rPr>
        <w:t>therapies.</w:t>
      </w:r>
    </w:p>
    <w:p>
      <w:pPr>
        <w:pStyle w:val="BodyText"/>
        <w:spacing w:line="266" w:lineRule="auto" w:before="177"/>
        <w:ind w:left="5876" w:right="923"/>
      </w:pPr>
      <w:r>
        <w:rPr>
          <w:color w:val="231F20"/>
        </w:rPr>
        <w:t>Using the approach identified in the evidence review</w:t>
      </w:r>
      <w:r>
        <w:rPr>
          <w:color w:val="231F20"/>
          <w:spacing w:val="1"/>
        </w:rPr>
        <w:t> </w:t>
      </w:r>
      <w:r>
        <w:rPr>
          <w:color w:val="231F20"/>
        </w:rPr>
        <w:t>methods (discussed above), interventions that have</w:t>
      </w:r>
      <w:r>
        <w:rPr>
          <w:color w:val="231F20"/>
          <w:spacing w:val="1"/>
        </w:rPr>
        <w:t> </w:t>
      </w:r>
      <w:r>
        <w:rPr>
          <w:color w:val="231F20"/>
        </w:rPr>
        <w:t>undergone a formal evidence review are included as</w:t>
      </w:r>
      <w:r>
        <w:rPr>
          <w:color w:val="231F20"/>
          <w:spacing w:val="1"/>
        </w:rPr>
        <w:t> </w:t>
      </w:r>
      <w:r>
        <w:rPr>
          <w:color w:val="231F20"/>
        </w:rPr>
        <w:t>illustrative examples of the application of telehealth-</w:t>
      </w:r>
      <w:r>
        <w:rPr>
          <w:color w:val="231F20"/>
          <w:spacing w:val="1"/>
        </w:rPr>
        <w:t> </w:t>
      </w:r>
      <w:r>
        <w:rPr>
          <w:color w:val="231F20"/>
        </w:rPr>
        <w:t>delivered services to treat people with SMI and SUD.</w:t>
      </w:r>
      <w:r>
        <w:rPr>
          <w:color w:val="231F20"/>
          <w:spacing w:val="1"/>
        </w:rPr>
        <w:t> </w:t>
      </w:r>
      <w:r>
        <w:rPr>
          <w:color w:val="231F20"/>
        </w:rPr>
        <w:t>One should not conclude that these are the only</w:t>
      </w:r>
      <w:r>
        <w:rPr>
          <w:color w:val="231F20"/>
          <w:spacing w:val="1"/>
        </w:rPr>
        <w:t> </w:t>
      </w:r>
      <w:r>
        <w:rPr>
          <w:color w:val="231F20"/>
        </w:rPr>
        <w:t>treatments that can be implemented using telehealth</w:t>
      </w:r>
      <w:r>
        <w:rPr>
          <w:color w:val="231F20"/>
          <w:spacing w:val="1"/>
        </w:rPr>
        <w:t> </w:t>
      </w:r>
      <w:r>
        <w:rPr>
          <w:color w:val="231F20"/>
        </w:rPr>
        <w:t>modalities for individuals experiencing SMI and SUD.</w:t>
      </w:r>
      <w:r>
        <w:rPr>
          <w:color w:val="231F20"/>
          <w:spacing w:val="-52"/>
        </w:rPr>
        <w:t> </w:t>
      </w:r>
      <w:r>
        <w:rPr>
          <w:color w:val="231F20"/>
        </w:rPr>
        <w:t>When implemented using the same core steps and</w:t>
      </w:r>
      <w:r>
        <w:rPr>
          <w:color w:val="231F20"/>
          <w:spacing w:val="1"/>
        </w:rPr>
        <w:t> </w:t>
      </w:r>
      <w:r>
        <w:rPr>
          <w:color w:val="231F20"/>
        </w:rPr>
        <w:t>components as the original model (i.e., with fidelity to</w:t>
      </w:r>
      <w:r>
        <w:rPr>
          <w:color w:val="231F20"/>
          <w:spacing w:val="-52"/>
        </w:rPr>
        <w:t> </w:t>
      </w:r>
      <w:r>
        <w:rPr>
          <w:color w:val="231F20"/>
        </w:rPr>
        <w:t>the model), synchronous telehealth treatments can be</w:t>
      </w:r>
      <w:r>
        <w:rPr>
          <w:color w:val="231F20"/>
          <w:spacing w:val="1"/>
        </w:rPr>
        <w:t> </w:t>
      </w:r>
      <w:r>
        <w:rPr>
          <w:color w:val="231F20"/>
        </w:rPr>
        <w:t>comparably</w:t>
      </w:r>
      <w:r>
        <w:rPr>
          <w:color w:val="231F20"/>
          <w:spacing w:val="-1"/>
        </w:rPr>
        <w:t> </w:t>
      </w:r>
      <w:r>
        <w:rPr>
          <w:color w:val="231F20"/>
        </w:rPr>
        <w:t>effective</w:t>
      </w:r>
      <w:r>
        <w:rPr>
          <w:color w:val="231F20"/>
          <w:spacing w:val="-1"/>
        </w:rPr>
        <w:t> </w:t>
      </w:r>
      <w:r>
        <w:rPr>
          <w:color w:val="231F20"/>
        </w:rPr>
        <w:t>to</w:t>
      </w:r>
      <w:r>
        <w:rPr>
          <w:color w:val="231F20"/>
          <w:spacing w:val="-1"/>
        </w:rPr>
        <w:t> </w:t>
      </w:r>
      <w:r>
        <w:rPr>
          <w:color w:val="231F20"/>
        </w:rPr>
        <w:t>in-person</w:t>
      </w:r>
      <w:r>
        <w:rPr>
          <w:color w:val="231F20"/>
          <w:spacing w:val="-1"/>
        </w:rPr>
        <w:t> </w:t>
      </w:r>
      <w:r>
        <w:rPr>
          <w:color w:val="231F20"/>
        </w:rPr>
        <w:t>services.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pPr>
      <w:r>
        <w:rPr/>
        <w:drawing>
          <wp:anchor distT="0" distB="0" distL="0" distR="0" allowOverlap="1" layoutInCell="1" locked="0" behindDoc="0" simplePos="0" relativeHeight="24">
            <wp:simplePos x="0" y="0"/>
            <wp:positionH relativeFrom="page">
              <wp:posOffset>457200</wp:posOffset>
            </wp:positionH>
            <wp:positionV relativeFrom="paragraph">
              <wp:posOffset>179883</wp:posOffset>
            </wp:positionV>
            <wp:extent cx="6776817" cy="3570446"/>
            <wp:effectExtent l="0" t="0" r="0" b="0"/>
            <wp:wrapTopAndBottom/>
            <wp:docPr id="13" name="image10.png" descr="Image of connected bubbles with pictures illustrating medical research. "/>
            <wp:cNvGraphicFramePr>
              <a:graphicFrameLocks noChangeAspect="1"/>
            </wp:cNvGraphicFramePr>
            <a:graphic>
              <a:graphicData uri="http://schemas.openxmlformats.org/drawingml/2006/picture">
                <pic:pic>
                  <pic:nvPicPr>
                    <pic:cNvPr id="14" name="image10.png"/>
                    <pic:cNvPicPr/>
                  </pic:nvPicPr>
                  <pic:blipFill>
                    <a:blip r:embed="rId113" cstate="print"/>
                    <a:stretch>
                      <a:fillRect/>
                    </a:stretch>
                  </pic:blipFill>
                  <pic:spPr>
                    <a:xfrm>
                      <a:off x="0" y="0"/>
                      <a:ext cx="6776817" cy="3570446"/>
                    </a:xfrm>
                    <a:prstGeom prst="rect">
                      <a:avLst/>
                    </a:prstGeom>
                  </pic:spPr>
                </pic:pic>
              </a:graphicData>
            </a:graphic>
          </wp:anchor>
        </w:drawing>
      </w:r>
    </w:p>
    <w:p>
      <w:pPr>
        <w:spacing w:after="0"/>
        <w:sectPr>
          <w:pgSz w:w="12240" w:h="15840"/>
          <w:pgMar w:header="0" w:footer="666" w:top="380" w:bottom="860" w:left="600" w:right="0"/>
        </w:sectPr>
      </w:pPr>
    </w:p>
    <w:p>
      <w:pPr>
        <w:pStyle w:val="BodyText"/>
        <w:rPr>
          <w:sz w:val="20"/>
        </w:rPr>
      </w:pPr>
    </w:p>
    <w:p>
      <w:pPr>
        <w:pStyle w:val="BodyText"/>
        <w:rPr>
          <w:sz w:val="20"/>
        </w:rPr>
      </w:pPr>
    </w:p>
    <w:p>
      <w:pPr>
        <w:pStyle w:val="BodyText"/>
        <w:spacing w:before="6"/>
        <w:rPr>
          <w:sz w:val="11"/>
        </w:rPr>
      </w:pPr>
    </w:p>
    <w:p>
      <w:pPr>
        <w:pStyle w:val="BodyText"/>
        <w:ind w:left="237"/>
        <w:rPr>
          <w:sz w:val="20"/>
        </w:rPr>
      </w:pPr>
      <w:r>
        <w:rPr>
          <w:sz w:val="20"/>
        </w:rPr>
        <w:drawing>
          <wp:inline distT="0" distB="0" distL="0" distR="0">
            <wp:extent cx="6734707" cy="3316224"/>
            <wp:effectExtent l="0" t="0" r="0" b="0"/>
            <wp:docPr id="15" name="image11.jpeg" descr="This graphic visually depicts the care process for SMI and SUD, with the first step being screening and assessment with a graphic showing a person walking through a door.  The graphic then provides four options: treatment (pharmacotherapy, medication-assisted treatment, medication monitoring, behavioral therapies), case management, SUD recovery supports, and crisis services.  "/>
            <wp:cNvGraphicFramePr>
              <a:graphicFrameLocks noChangeAspect="1"/>
            </wp:cNvGraphicFramePr>
            <a:graphic>
              <a:graphicData uri="http://schemas.openxmlformats.org/drawingml/2006/picture">
                <pic:pic>
                  <pic:nvPicPr>
                    <pic:cNvPr id="16" name="image11.jpeg"/>
                    <pic:cNvPicPr/>
                  </pic:nvPicPr>
                  <pic:blipFill>
                    <a:blip r:embed="rId114" cstate="print"/>
                    <a:stretch>
                      <a:fillRect/>
                    </a:stretch>
                  </pic:blipFill>
                  <pic:spPr>
                    <a:xfrm>
                      <a:off x="0" y="0"/>
                      <a:ext cx="6734707" cy="3316224"/>
                    </a:xfrm>
                    <a:prstGeom prst="rect">
                      <a:avLst/>
                    </a:prstGeom>
                  </pic:spPr>
                </pic:pic>
              </a:graphicData>
            </a:graphic>
          </wp:inline>
        </w:drawing>
      </w:r>
      <w:r>
        <w:rPr>
          <w:sz w:val="20"/>
        </w:rPr>
      </w:r>
    </w:p>
    <w:p>
      <w:pPr>
        <w:pStyle w:val="BodyText"/>
        <w:rPr>
          <w:sz w:val="10"/>
        </w:rPr>
      </w:pPr>
    </w:p>
    <w:p>
      <w:pPr>
        <w:spacing w:after="0"/>
        <w:rPr>
          <w:sz w:val="10"/>
        </w:rPr>
        <w:sectPr>
          <w:pgSz w:w="12240" w:h="15840"/>
          <w:pgMar w:header="0" w:footer="666" w:top="380" w:bottom="860" w:left="600" w:right="0"/>
        </w:sectPr>
      </w:pPr>
    </w:p>
    <w:p>
      <w:pPr>
        <w:pStyle w:val="Heading5"/>
        <w:spacing w:before="98"/>
        <w:ind w:left="119"/>
      </w:pPr>
      <w:bookmarkStart w:name="Screening and Assessment" w:id="17"/>
      <w:bookmarkEnd w:id="17"/>
      <w:r>
        <w:rPr>
          <w:b w:val="0"/>
        </w:rPr>
      </w:r>
      <w:r>
        <w:rPr>
          <w:color w:val="CE384B"/>
        </w:rPr>
        <w:t>Screening</w:t>
      </w:r>
      <w:r>
        <w:rPr>
          <w:color w:val="CE384B"/>
          <w:spacing w:val="-1"/>
        </w:rPr>
        <w:t> </w:t>
      </w:r>
      <w:r>
        <w:rPr>
          <w:color w:val="CE384B"/>
        </w:rPr>
        <w:t>and</w:t>
      </w:r>
      <w:r>
        <w:rPr>
          <w:color w:val="CE384B"/>
          <w:spacing w:val="-9"/>
        </w:rPr>
        <w:t> </w:t>
      </w:r>
      <w:r>
        <w:rPr>
          <w:color w:val="CE384B"/>
        </w:rPr>
        <w:t>Assessment</w:t>
      </w:r>
    </w:p>
    <w:p>
      <w:pPr>
        <w:pStyle w:val="BodyText"/>
        <w:spacing w:line="266" w:lineRule="auto" w:before="118"/>
        <w:ind w:left="119" w:right="302"/>
      </w:pPr>
      <w:r>
        <w:rPr>
          <w:color w:val="231F20"/>
        </w:rPr>
        <w:t>Screening and assessment for SMI and SUD are the</w:t>
      </w:r>
      <w:r>
        <w:rPr>
          <w:color w:val="231F20"/>
          <w:spacing w:val="1"/>
        </w:rPr>
        <w:t> </w:t>
      </w:r>
      <w:r>
        <w:rPr>
          <w:color w:val="231F20"/>
        </w:rPr>
        <w:t>first</w:t>
      </w:r>
      <w:r>
        <w:rPr>
          <w:color w:val="231F20"/>
          <w:spacing w:val="-7"/>
        </w:rPr>
        <w:t> </w:t>
      </w:r>
      <w:r>
        <w:rPr>
          <w:color w:val="231F20"/>
        </w:rPr>
        <w:t>steps</w:t>
      </w:r>
      <w:r>
        <w:rPr>
          <w:color w:val="231F20"/>
          <w:spacing w:val="-7"/>
        </w:rPr>
        <w:t> </w:t>
      </w:r>
      <w:r>
        <w:rPr>
          <w:color w:val="231F20"/>
        </w:rPr>
        <w:t>to</w:t>
      </w:r>
      <w:r>
        <w:rPr>
          <w:color w:val="231F20"/>
          <w:spacing w:val="-5"/>
        </w:rPr>
        <w:t> </w:t>
      </w:r>
      <w:r>
        <w:rPr>
          <w:color w:val="231F20"/>
        </w:rPr>
        <w:t>effective</w:t>
      </w:r>
      <w:r>
        <w:rPr>
          <w:color w:val="231F20"/>
          <w:spacing w:val="-6"/>
        </w:rPr>
        <w:t> </w:t>
      </w:r>
      <w:r>
        <w:rPr>
          <w:color w:val="231F20"/>
        </w:rPr>
        <w:t>treatment</w:t>
      </w:r>
      <w:r>
        <w:rPr>
          <w:color w:val="231F20"/>
          <w:spacing w:val="-6"/>
        </w:rPr>
        <w:t> </w:t>
      </w:r>
      <w:r>
        <w:rPr>
          <w:color w:val="231F20"/>
        </w:rPr>
        <w:t>and</w:t>
      </w:r>
      <w:r>
        <w:rPr>
          <w:color w:val="231F20"/>
          <w:spacing w:val="-6"/>
        </w:rPr>
        <w:t> </w:t>
      </w:r>
      <w:r>
        <w:rPr>
          <w:color w:val="231F20"/>
        </w:rPr>
        <w:t>can</w:t>
      </w:r>
      <w:r>
        <w:rPr>
          <w:color w:val="231F20"/>
          <w:spacing w:val="-5"/>
        </w:rPr>
        <w:t> </w:t>
      </w:r>
      <w:r>
        <w:rPr>
          <w:color w:val="231F20"/>
        </w:rPr>
        <w:t>be</w:t>
      </w:r>
      <w:r>
        <w:rPr>
          <w:color w:val="231F20"/>
          <w:spacing w:val="-6"/>
        </w:rPr>
        <w:t> </w:t>
      </w:r>
      <w:r>
        <w:rPr>
          <w:color w:val="231F20"/>
        </w:rPr>
        <w:t>effectively</w:t>
      </w:r>
      <w:r>
        <w:rPr>
          <w:color w:val="231F20"/>
          <w:spacing w:val="-52"/>
        </w:rPr>
        <w:t> </w:t>
      </w:r>
      <w:r>
        <w:rPr>
          <w:color w:val="231F20"/>
        </w:rPr>
        <w:t>conducted using synchronous and asynchronous</w:t>
      </w:r>
      <w:r>
        <w:rPr>
          <w:color w:val="231F20"/>
          <w:spacing w:val="1"/>
        </w:rPr>
        <w:t> </w:t>
      </w:r>
      <w:r>
        <w:rPr>
          <w:color w:val="231F20"/>
        </w:rPr>
        <w:t>telehealth modalities.</w:t>
      </w:r>
    </w:p>
    <w:p>
      <w:pPr>
        <w:pStyle w:val="ListParagraph"/>
        <w:numPr>
          <w:ilvl w:val="0"/>
          <w:numId w:val="13"/>
        </w:numPr>
        <w:tabs>
          <w:tab w:pos="839" w:val="left" w:leader="none"/>
          <w:tab w:pos="840" w:val="left" w:leader="none"/>
        </w:tabs>
        <w:spacing w:line="264" w:lineRule="auto" w:before="161" w:after="0"/>
        <w:ind w:left="839" w:right="252" w:hanging="360"/>
        <w:jc w:val="left"/>
        <w:rPr>
          <w:sz w:val="22"/>
        </w:rPr>
      </w:pPr>
      <w:r>
        <w:rPr>
          <w:b/>
          <w:color w:val="010202"/>
          <w:sz w:val="22"/>
        </w:rPr>
        <w:t>SMI: </w:t>
      </w:r>
      <w:r>
        <w:rPr>
          <w:color w:val="010202"/>
          <w:sz w:val="22"/>
        </w:rPr>
        <w:t>Synchronous screenings and</w:t>
      </w:r>
      <w:r>
        <w:rPr>
          <w:color w:val="010202"/>
          <w:spacing w:val="1"/>
          <w:sz w:val="22"/>
        </w:rPr>
        <w:t> </w:t>
      </w:r>
      <w:r>
        <w:rPr>
          <w:color w:val="010202"/>
          <w:sz w:val="22"/>
        </w:rPr>
        <w:t>assessments for mental disorders conducted</w:t>
      </w:r>
      <w:r>
        <w:rPr>
          <w:color w:val="010202"/>
          <w:spacing w:val="1"/>
          <w:sz w:val="22"/>
        </w:rPr>
        <w:t> </w:t>
      </w:r>
      <w:r>
        <w:rPr>
          <w:color w:val="010202"/>
          <w:sz w:val="22"/>
        </w:rPr>
        <w:t>via videoconferencing modalities have similar</w:t>
      </w:r>
      <w:r>
        <w:rPr>
          <w:color w:val="010202"/>
          <w:spacing w:val="-52"/>
          <w:sz w:val="22"/>
        </w:rPr>
        <w:t> </w:t>
      </w:r>
      <w:r>
        <w:rPr>
          <w:color w:val="010202"/>
          <w:sz w:val="22"/>
        </w:rPr>
        <w:t>reliability and accuracy to in-person screening</w:t>
      </w:r>
      <w:r>
        <w:rPr>
          <w:color w:val="010202"/>
          <w:spacing w:val="-52"/>
          <w:sz w:val="22"/>
        </w:rPr>
        <w:t> </w:t>
      </w:r>
      <w:r>
        <w:rPr>
          <w:color w:val="010202"/>
          <w:sz w:val="22"/>
        </w:rPr>
        <w:t>and</w:t>
      </w:r>
      <w:r>
        <w:rPr>
          <w:color w:val="010202"/>
          <w:spacing w:val="-1"/>
          <w:sz w:val="22"/>
        </w:rPr>
        <w:t> </w:t>
      </w:r>
      <w:r>
        <w:rPr>
          <w:color w:val="010202"/>
          <w:sz w:val="22"/>
        </w:rPr>
        <w:t>assessment.</w:t>
      </w:r>
      <w:r>
        <w:rPr>
          <w:color w:val="010202"/>
          <w:spacing w:val="-13"/>
          <w:sz w:val="22"/>
        </w:rPr>
        <w:t> </w:t>
      </w:r>
      <w:r>
        <w:rPr>
          <w:color w:val="010202"/>
          <w:sz w:val="22"/>
        </w:rPr>
        <w:t>Asynchronous tools that are</w:t>
      </w:r>
    </w:p>
    <w:p>
      <w:pPr>
        <w:pStyle w:val="BodyText"/>
        <w:spacing w:line="266" w:lineRule="auto" w:before="6"/>
        <w:ind w:left="839" w:right="89"/>
      </w:pPr>
      <w:r>
        <w:rPr>
          <w:color w:val="010202"/>
        </w:rPr>
        <w:t>completed by a client and later reviewed by and</w:t>
      </w:r>
      <w:r>
        <w:rPr>
          <w:color w:val="010202"/>
          <w:spacing w:val="-52"/>
        </w:rPr>
        <w:t> </w:t>
      </w:r>
      <w:r>
        <w:rPr>
          <w:color w:val="010202"/>
        </w:rPr>
        <w:t>discussed with a provider can increase access to</w:t>
      </w:r>
      <w:r>
        <w:rPr>
          <w:color w:val="010202"/>
          <w:spacing w:val="-52"/>
        </w:rPr>
        <w:t> </w:t>
      </w:r>
      <w:r>
        <w:rPr>
          <w:color w:val="010202"/>
        </w:rPr>
        <w:t>screening and assessment when no clinician is</w:t>
      </w:r>
      <w:r>
        <w:rPr>
          <w:color w:val="010202"/>
          <w:spacing w:val="1"/>
        </w:rPr>
        <w:t> </w:t>
      </w:r>
      <w:r>
        <w:rPr>
          <w:color w:val="010202"/>
        </w:rPr>
        <w:t>available.</w:t>
      </w:r>
      <w:r>
        <w:rPr>
          <w:color w:val="010202"/>
          <w:vertAlign w:val="superscript"/>
        </w:rPr>
        <w:t>1</w:t>
      </w:r>
    </w:p>
    <w:p>
      <w:pPr>
        <w:pStyle w:val="ListParagraph"/>
        <w:numPr>
          <w:ilvl w:val="0"/>
          <w:numId w:val="13"/>
        </w:numPr>
        <w:tabs>
          <w:tab w:pos="839" w:val="left" w:leader="none"/>
          <w:tab w:pos="840" w:val="left" w:leader="none"/>
        </w:tabs>
        <w:spacing w:line="266" w:lineRule="auto" w:before="160" w:after="0"/>
        <w:ind w:left="839" w:right="38" w:hanging="360"/>
        <w:jc w:val="left"/>
        <w:rPr>
          <w:sz w:val="22"/>
        </w:rPr>
      </w:pPr>
      <w:r>
        <w:rPr>
          <w:b/>
          <w:color w:val="010202"/>
          <w:sz w:val="22"/>
        </w:rPr>
        <w:t>SUD</w:t>
      </w:r>
      <w:r>
        <w:rPr>
          <w:color w:val="010202"/>
          <w:sz w:val="22"/>
        </w:rPr>
        <w:t>: Providers can administer screening tools</w:t>
      </w:r>
      <w:r>
        <w:rPr>
          <w:color w:val="010202"/>
          <w:spacing w:val="1"/>
          <w:sz w:val="22"/>
        </w:rPr>
        <w:t> </w:t>
      </w:r>
      <w:r>
        <w:rPr>
          <w:color w:val="010202"/>
          <w:sz w:val="22"/>
        </w:rPr>
        <w:t>to assess risk of SUD using telehealth.</w:t>
      </w:r>
      <w:r>
        <w:rPr>
          <w:color w:val="010202"/>
          <w:sz w:val="22"/>
          <w:vertAlign w:val="superscript"/>
        </w:rPr>
        <w:t>2</w:t>
      </w:r>
      <w:r>
        <w:rPr>
          <w:color w:val="010202"/>
          <w:sz w:val="22"/>
          <w:vertAlign w:val="baseline"/>
        </w:rPr>
        <w:t> Early</w:t>
      </w:r>
      <w:r>
        <w:rPr>
          <w:color w:val="010202"/>
          <w:spacing w:val="1"/>
          <w:sz w:val="22"/>
          <w:vertAlign w:val="baseline"/>
        </w:rPr>
        <w:t> </w:t>
      </w:r>
      <w:r>
        <w:rPr>
          <w:color w:val="010202"/>
          <w:sz w:val="22"/>
          <w:vertAlign w:val="baseline"/>
        </w:rPr>
        <w:t>evidence suggests computer-based assessment</w:t>
      </w:r>
      <w:r>
        <w:rPr>
          <w:color w:val="010202"/>
          <w:spacing w:val="1"/>
          <w:sz w:val="22"/>
          <w:vertAlign w:val="baseline"/>
        </w:rPr>
        <w:t> </w:t>
      </w:r>
      <w:r>
        <w:rPr>
          <w:color w:val="010202"/>
          <w:sz w:val="22"/>
          <w:vertAlign w:val="baseline"/>
        </w:rPr>
        <w:t>tools for SUD may increase engagement in the</w:t>
      </w:r>
      <w:r>
        <w:rPr>
          <w:color w:val="010202"/>
          <w:spacing w:val="1"/>
          <w:sz w:val="22"/>
          <w:vertAlign w:val="baseline"/>
        </w:rPr>
        <w:t> </w:t>
      </w:r>
      <w:r>
        <w:rPr>
          <w:color w:val="010202"/>
          <w:sz w:val="22"/>
          <w:vertAlign w:val="baseline"/>
        </w:rPr>
        <w:t>screening</w:t>
      </w:r>
      <w:r>
        <w:rPr>
          <w:color w:val="010202"/>
          <w:spacing w:val="-6"/>
          <w:sz w:val="22"/>
          <w:vertAlign w:val="baseline"/>
        </w:rPr>
        <w:t> </w:t>
      </w:r>
      <w:r>
        <w:rPr>
          <w:color w:val="010202"/>
          <w:sz w:val="22"/>
          <w:vertAlign w:val="baseline"/>
        </w:rPr>
        <w:t>process,</w:t>
      </w:r>
      <w:r>
        <w:rPr>
          <w:color w:val="010202"/>
          <w:spacing w:val="-6"/>
          <w:sz w:val="22"/>
          <w:vertAlign w:val="baseline"/>
        </w:rPr>
        <w:t> </w:t>
      </w:r>
      <w:r>
        <w:rPr>
          <w:color w:val="010202"/>
          <w:sz w:val="22"/>
          <w:vertAlign w:val="baseline"/>
        </w:rPr>
        <w:t>as</w:t>
      </w:r>
      <w:r>
        <w:rPr>
          <w:color w:val="010202"/>
          <w:spacing w:val="-6"/>
          <w:sz w:val="22"/>
          <w:vertAlign w:val="baseline"/>
        </w:rPr>
        <w:t> </w:t>
      </w:r>
      <w:r>
        <w:rPr>
          <w:color w:val="010202"/>
          <w:sz w:val="22"/>
          <w:vertAlign w:val="baseline"/>
        </w:rPr>
        <w:t>well</w:t>
      </w:r>
      <w:r>
        <w:rPr>
          <w:color w:val="010202"/>
          <w:spacing w:val="-6"/>
          <w:sz w:val="22"/>
          <w:vertAlign w:val="baseline"/>
        </w:rPr>
        <w:t> </w:t>
      </w:r>
      <w:r>
        <w:rPr>
          <w:color w:val="010202"/>
          <w:sz w:val="22"/>
          <w:vertAlign w:val="baseline"/>
        </w:rPr>
        <w:t>as</w:t>
      </w:r>
      <w:r>
        <w:rPr>
          <w:color w:val="010202"/>
          <w:spacing w:val="-6"/>
          <w:sz w:val="22"/>
          <w:vertAlign w:val="baseline"/>
        </w:rPr>
        <w:t> </w:t>
      </w:r>
      <w:r>
        <w:rPr>
          <w:color w:val="010202"/>
          <w:sz w:val="22"/>
          <w:vertAlign w:val="baseline"/>
        </w:rPr>
        <w:t>response</w:t>
      </w:r>
      <w:r>
        <w:rPr>
          <w:color w:val="010202"/>
          <w:spacing w:val="-5"/>
          <w:sz w:val="22"/>
          <w:vertAlign w:val="baseline"/>
        </w:rPr>
        <w:t> </w:t>
      </w:r>
      <w:r>
        <w:rPr>
          <w:color w:val="010202"/>
          <w:sz w:val="22"/>
          <w:vertAlign w:val="baseline"/>
        </w:rPr>
        <w:t>accuracy.</w:t>
      </w:r>
      <w:r>
        <w:rPr>
          <w:color w:val="010202"/>
          <w:sz w:val="22"/>
          <w:vertAlign w:val="superscript"/>
        </w:rPr>
        <w:t>3</w:t>
      </w:r>
      <w:r>
        <w:rPr>
          <w:color w:val="010202"/>
          <w:spacing w:val="-52"/>
          <w:sz w:val="22"/>
          <w:vertAlign w:val="baseline"/>
        </w:rPr>
        <w:t> </w:t>
      </w:r>
      <w:r>
        <w:rPr>
          <w:color w:val="010202"/>
          <w:sz w:val="22"/>
          <w:vertAlign w:val="baseline"/>
        </w:rPr>
        <w:t>However, confirmation and diagnosis of SUD</w:t>
      </w:r>
      <w:r>
        <w:rPr>
          <w:color w:val="010202"/>
          <w:spacing w:val="1"/>
          <w:sz w:val="22"/>
          <w:vertAlign w:val="baseline"/>
        </w:rPr>
        <w:t> </w:t>
      </w:r>
      <w:r>
        <w:rPr>
          <w:color w:val="010202"/>
          <w:sz w:val="22"/>
          <w:vertAlign w:val="baseline"/>
        </w:rPr>
        <w:t>through telehealth has limited</w:t>
      </w:r>
      <w:r>
        <w:rPr>
          <w:color w:val="010202"/>
          <w:spacing w:val="-1"/>
          <w:sz w:val="22"/>
          <w:vertAlign w:val="baseline"/>
        </w:rPr>
        <w:t> </w:t>
      </w:r>
      <w:r>
        <w:rPr>
          <w:color w:val="010202"/>
          <w:sz w:val="22"/>
          <w:vertAlign w:val="baseline"/>
        </w:rPr>
        <w:t>evidence.</w:t>
      </w:r>
      <w:r>
        <w:rPr>
          <w:color w:val="010202"/>
          <w:spacing w:val="-5"/>
          <w:sz w:val="22"/>
          <w:vertAlign w:val="baseline"/>
        </w:rPr>
        <w:t> </w:t>
      </w:r>
      <w:r>
        <w:rPr>
          <w:color w:val="010202"/>
          <w:sz w:val="22"/>
          <w:vertAlign w:val="baseline"/>
        </w:rPr>
        <w:t>This</w:t>
      </w:r>
    </w:p>
    <w:p>
      <w:pPr>
        <w:pStyle w:val="BodyText"/>
        <w:spacing w:line="266" w:lineRule="auto"/>
        <w:ind w:left="840" w:right="33"/>
      </w:pPr>
      <w:r>
        <w:rPr>
          <w:color w:val="010202"/>
        </w:rPr>
        <w:t>is largely due to the 2008 Ryan Haight Online</w:t>
      </w:r>
      <w:r>
        <w:rPr>
          <w:color w:val="010202"/>
          <w:spacing w:val="1"/>
        </w:rPr>
        <w:t> </w:t>
      </w:r>
      <w:r>
        <w:rPr>
          <w:color w:val="010202"/>
        </w:rPr>
        <w:t>Pharmacy Consumer Protection Act, which,</w:t>
      </w:r>
      <w:r>
        <w:rPr>
          <w:color w:val="010202"/>
          <w:spacing w:val="1"/>
        </w:rPr>
        <w:t> </w:t>
      </w:r>
      <w:r>
        <w:rPr>
          <w:color w:val="010202"/>
        </w:rPr>
        <w:t>prior to the COVID-19 pandemic, required in-</w:t>
      </w:r>
      <w:r>
        <w:rPr>
          <w:color w:val="010202"/>
          <w:spacing w:val="1"/>
        </w:rPr>
        <w:t> </w:t>
      </w:r>
      <w:r>
        <w:rPr>
          <w:color w:val="010202"/>
        </w:rPr>
        <w:t>person evaluations before providing medication-</w:t>
      </w:r>
      <w:r>
        <w:rPr>
          <w:color w:val="010202"/>
          <w:spacing w:val="-52"/>
        </w:rPr>
        <w:t> </w:t>
      </w:r>
      <w:r>
        <w:rPr>
          <w:color w:val="010202"/>
        </w:rPr>
        <w:t>assisted</w:t>
      </w:r>
      <w:r>
        <w:rPr>
          <w:color w:val="010202"/>
          <w:spacing w:val="-1"/>
        </w:rPr>
        <w:t> </w:t>
      </w:r>
      <w:r>
        <w:rPr>
          <w:color w:val="010202"/>
        </w:rPr>
        <w:t>treatment</w:t>
      </w:r>
      <w:r>
        <w:rPr>
          <w:color w:val="010202"/>
          <w:spacing w:val="-1"/>
        </w:rPr>
        <w:t> </w:t>
      </w:r>
      <w:r>
        <w:rPr>
          <w:color w:val="010202"/>
        </w:rPr>
        <w:t>(MAT).</w:t>
      </w:r>
      <w:r>
        <w:rPr>
          <w:color w:val="010202"/>
          <w:vertAlign w:val="superscript"/>
        </w:rPr>
        <w:t>4</w:t>
      </w:r>
    </w:p>
    <w:p>
      <w:pPr>
        <w:pStyle w:val="BodyText"/>
        <w:spacing w:line="266" w:lineRule="auto" w:before="91"/>
        <w:ind w:left="119" w:right="822"/>
      </w:pPr>
      <w:r>
        <w:rPr/>
        <w:br w:type="column"/>
      </w:r>
      <w:r>
        <w:rPr>
          <w:color w:val="231F20"/>
        </w:rPr>
        <w:t>Telehealth modalities can be used to connect clients,</w:t>
      </w:r>
      <w:r>
        <w:rPr>
          <w:color w:val="231F20"/>
          <w:spacing w:val="1"/>
        </w:rPr>
        <w:t> </w:t>
      </w:r>
      <w:r>
        <w:rPr>
          <w:color w:val="231F20"/>
        </w:rPr>
        <w:t>care teams, and support systems during the creation and</w:t>
      </w:r>
      <w:r>
        <w:rPr>
          <w:color w:val="231F20"/>
          <w:spacing w:val="-52"/>
        </w:rPr>
        <w:t> </w:t>
      </w:r>
      <w:r>
        <w:rPr>
          <w:color w:val="231F20"/>
        </w:rPr>
        <w:t>implementation of an individualized care plan by:</w:t>
      </w:r>
    </w:p>
    <w:p>
      <w:pPr>
        <w:pStyle w:val="ListParagraph"/>
        <w:numPr>
          <w:ilvl w:val="0"/>
          <w:numId w:val="14"/>
        </w:numPr>
        <w:tabs>
          <w:tab w:pos="840" w:val="left" w:leader="none"/>
        </w:tabs>
        <w:spacing w:line="266" w:lineRule="auto" w:before="177" w:after="0"/>
        <w:ind w:left="839" w:right="846" w:hanging="360"/>
        <w:jc w:val="left"/>
        <w:rPr>
          <w:sz w:val="22"/>
        </w:rPr>
      </w:pPr>
      <w:r>
        <w:rPr>
          <w:color w:val="010202"/>
          <w:sz w:val="22"/>
        </w:rPr>
        <w:t>Increasing the diversity of specialists (in terms</w:t>
      </w:r>
      <w:r>
        <w:rPr>
          <w:color w:val="010202"/>
          <w:spacing w:val="1"/>
          <w:sz w:val="22"/>
        </w:rPr>
        <w:t> </w:t>
      </w:r>
      <w:r>
        <w:rPr>
          <w:color w:val="010202"/>
          <w:sz w:val="22"/>
        </w:rPr>
        <w:t>of clinical specialty and geographic location)</w:t>
      </w:r>
      <w:r>
        <w:rPr>
          <w:color w:val="010202"/>
          <w:spacing w:val="1"/>
          <w:sz w:val="22"/>
        </w:rPr>
        <w:t> </w:t>
      </w:r>
      <w:r>
        <w:rPr>
          <w:color w:val="010202"/>
          <w:sz w:val="22"/>
        </w:rPr>
        <w:t>that can be consulted for diagnosis, assessment,</w:t>
      </w:r>
      <w:r>
        <w:rPr>
          <w:color w:val="010202"/>
          <w:spacing w:val="-53"/>
          <w:sz w:val="22"/>
        </w:rPr>
        <w:t> </w:t>
      </w:r>
      <w:r>
        <w:rPr>
          <w:color w:val="010202"/>
          <w:sz w:val="22"/>
        </w:rPr>
        <w:t>and treatment</w:t>
      </w:r>
    </w:p>
    <w:p>
      <w:pPr>
        <w:pStyle w:val="ListParagraph"/>
        <w:numPr>
          <w:ilvl w:val="0"/>
          <w:numId w:val="14"/>
        </w:numPr>
        <w:tabs>
          <w:tab w:pos="840" w:val="left" w:leader="none"/>
        </w:tabs>
        <w:spacing w:line="266" w:lineRule="auto" w:before="44" w:after="0"/>
        <w:ind w:left="839" w:right="810" w:hanging="360"/>
        <w:jc w:val="left"/>
        <w:rPr>
          <w:sz w:val="22"/>
        </w:rPr>
      </w:pPr>
      <w:r>
        <w:rPr>
          <w:color w:val="010202"/>
          <w:sz w:val="22"/>
        </w:rPr>
        <w:t>Engaging administrative staff (via patient</w:t>
      </w:r>
      <w:r>
        <w:rPr>
          <w:color w:val="010202"/>
          <w:spacing w:val="1"/>
          <w:sz w:val="22"/>
        </w:rPr>
        <w:t> </w:t>
      </w:r>
      <w:r>
        <w:rPr>
          <w:color w:val="010202"/>
          <w:sz w:val="22"/>
        </w:rPr>
        <w:t>portals),</w:t>
      </w:r>
      <w:r>
        <w:rPr>
          <w:color w:val="010202"/>
          <w:spacing w:val="6"/>
          <w:sz w:val="22"/>
        </w:rPr>
        <w:t> </w:t>
      </w:r>
      <w:r>
        <w:rPr>
          <w:color w:val="010202"/>
          <w:sz w:val="22"/>
        </w:rPr>
        <w:t>clinicians,</w:t>
      </w:r>
      <w:r>
        <w:rPr>
          <w:color w:val="010202"/>
          <w:spacing w:val="7"/>
          <w:sz w:val="22"/>
        </w:rPr>
        <w:t> </w:t>
      </w:r>
      <w:r>
        <w:rPr>
          <w:color w:val="010202"/>
          <w:sz w:val="22"/>
        </w:rPr>
        <w:t>and</w:t>
      </w:r>
      <w:r>
        <w:rPr>
          <w:color w:val="010202"/>
          <w:spacing w:val="7"/>
          <w:sz w:val="22"/>
        </w:rPr>
        <w:t> </w:t>
      </w:r>
      <w:r>
        <w:rPr>
          <w:color w:val="010202"/>
          <w:sz w:val="22"/>
        </w:rPr>
        <w:t>providers</w:t>
      </w:r>
      <w:r>
        <w:rPr>
          <w:color w:val="010202"/>
          <w:spacing w:val="7"/>
          <w:sz w:val="22"/>
        </w:rPr>
        <w:t> </w:t>
      </w:r>
      <w:r>
        <w:rPr>
          <w:color w:val="010202"/>
          <w:sz w:val="22"/>
        </w:rPr>
        <w:t>(via</w:t>
      </w:r>
      <w:r>
        <w:rPr>
          <w:color w:val="010202"/>
          <w:spacing w:val="1"/>
          <w:sz w:val="22"/>
        </w:rPr>
        <w:t> </w:t>
      </w:r>
      <w:r>
        <w:rPr>
          <w:color w:val="010202"/>
          <w:sz w:val="22"/>
        </w:rPr>
        <w:t>electronic health records and videoconferencing</w:t>
      </w:r>
      <w:r>
        <w:rPr>
          <w:color w:val="010202"/>
          <w:spacing w:val="-52"/>
          <w:sz w:val="22"/>
        </w:rPr>
        <w:t> </w:t>
      </w:r>
      <w:r>
        <w:rPr>
          <w:color w:val="010202"/>
          <w:sz w:val="22"/>
        </w:rPr>
        <w:t>consultations) and support networks such as</w:t>
      </w:r>
      <w:r>
        <w:rPr>
          <w:color w:val="010202"/>
          <w:spacing w:val="1"/>
          <w:sz w:val="22"/>
        </w:rPr>
        <w:t> </w:t>
      </w:r>
      <w:r>
        <w:rPr>
          <w:color w:val="010202"/>
          <w:sz w:val="22"/>
        </w:rPr>
        <w:t>friends</w:t>
      </w:r>
      <w:r>
        <w:rPr>
          <w:color w:val="010202"/>
          <w:spacing w:val="-1"/>
          <w:sz w:val="22"/>
        </w:rPr>
        <w:t> </w:t>
      </w:r>
      <w:r>
        <w:rPr>
          <w:color w:val="010202"/>
          <w:sz w:val="22"/>
        </w:rPr>
        <w:t>and family (via videoconferencing</w:t>
      </w:r>
    </w:p>
    <w:p>
      <w:pPr>
        <w:pStyle w:val="BodyText"/>
        <w:spacing w:line="266" w:lineRule="auto"/>
        <w:ind w:left="839" w:right="1183"/>
      </w:pPr>
      <w:r>
        <w:rPr>
          <w:color w:val="010202"/>
        </w:rPr>
        <w:t>and social media) in various components of</w:t>
      </w:r>
      <w:r>
        <w:rPr>
          <w:color w:val="010202"/>
          <w:spacing w:val="-52"/>
        </w:rPr>
        <w:t> </w:t>
      </w:r>
      <w:r>
        <w:rPr>
          <w:color w:val="010202"/>
        </w:rPr>
        <w:t>treatment</w:t>
      </w:r>
      <w:r>
        <w:rPr>
          <w:color w:val="010202"/>
          <w:vertAlign w:val="superscript"/>
        </w:rPr>
        <w:t>5,</w:t>
      </w:r>
      <w:r>
        <w:rPr>
          <w:color w:val="010202"/>
          <w:spacing w:val="-29"/>
          <w:vertAlign w:val="baseline"/>
        </w:rPr>
        <w:t> </w:t>
      </w:r>
      <w:r>
        <w:rPr>
          <w:color w:val="010202"/>
          <w:vertAlign w:val="superscript"/>
        </w:rPr>
        <w:t>6</w:t>
      </w:r>
    </w:p>
    <w:p>
      <w:pPr>
        <w:pStyle w:val="BodyText"/>
        <w:spacing w:line="266" w:lineRule="auto" w:before="174"/>
        <w:ind w:left="119" w:right="929"/>
      </w:pPr>
      <w:r>
        <w:rPr>
          <w:color w:val="231F20"/>
        </w:rPr>
        <w:t>Once a diagnosis is made, clients and providers can</w:t>
      </w:r>
      <w:r>
        <w:rPr>
          <w:color w:val="231F20"/>
          <w:spacing w:val="1"/>
        </w:rPr>
        <w:t> </w:t>
      </w:r>
      <w:r>
        <w:rPr>
          <w:color w:val="231F20"/>
        </w:rPr>
        <w:t>determine together the appropriateness of various</w:t>
      </w:r>
      <w:r>
        <w:rPr>
          <w:color w:val="231F20"/>
          <w:spacing w:val="1"/>
        </w:rPr>
        <w:t> </w:t>
      </w:r>
      <w:r>
        <w:rPr>
          <w:color w:val="231F20"/>
        </w:rPr>
        <w:t>telehealth modalities and identify when telehealth, in-</w:t>
      </w:r>
      <w:r>
        <w:rPr>
          <w:color w:val="231F20"/>
          <w:spacing w:val="1"/>
        </w:rPr>
        <w:t> </w:t>
      </w:r>
      <w:r>
        <w:rPr>
          <w:color w:val="231F20"/>
        </w:rPr>
        <w:t>person,</w:t>
      </w:r>
      <w:r>
        <w:rPr>
          <w:color w:val="231F20"/>
          <w:spacing w:val="-4"/>
        </w:rPr>
        <w:t> </w:t>
      </w:r>
      <w:r>
        <w:rPr>
          <w:color w:val="231F20"/>
        </w:rPr>
        <w:t>or</w:t>
      </w:r>
      <w:r>
        <w:rPr>
          <w:color w:val="231F20"/>
          <w:spacing w:val="-3"/>
        </w:rPr>
        <w:t> </w:t>
      </w:r>
      <w:r>
        <w:rPr>
          <w:color w:val="231F20"/>
        </w:rPr>
        <w:t>a</w:t>
      </w:r>
      <w:r>
        <w:rPr>
          <w:color w:val="231F20"/>
          <w:spacing w:val="-3"/>
        </w:rPr>
        <w:t> </w:t>
      </w:r>
      <w:r>
        <w:rPr>
          <w:color w:val="231F20"/>
        </w:rPr>
        <w:t>hybrid</w:t>
      </w:r>
      <w:r>
        <w:rPr>
          <w:color w:val="231F20"/>
          <w:spacing w:val="-3"/>
        </w:rPr>
        <w:t> </w:t>
      </w:r>
      <w:r>
        <w:rPr>
          <w:color w:val="231F20"/>
        </w:rPr>
        <w:t>approach</w:t>
      </w:r>
      <w:r>
        <w:rPr>
          <w:color w:val="231F20"/>
          <w:spacing w:val="-3"/>
        </w:rPr>
        <w:t> </w:t>
      </w:r>
      <w:r>
        <w:rPr>
          <w:color w:val="231F20"/>
        </w:rPr>
        <w:t>will</w:t>
      </w:r>
      <w:r>
        <w:rPr>
          <w:color w:val="231F20"/>
          <w:spacing w:val="-3"/>
        </w:rPr>
        <w:t> </w:t>
      </w:r>
      <w:r>
        <w:rPr>
          <w:color w:val="231F20"/>
        </w:rPr>
        <w:t>best</w:t>
      </w:r>
      <w:r>
        <w:rPr>
          <w:color w:val="231F20"/>
          <w:spacing w:val="-3"/>
        </w:rPr>
        <w:t> </w:t>
      </w:r>
      <w:r>
        <w:rPr>
          <w:color w:val="231F20"/>
        </w:rPr>
        <w:t>meet</w:t>
      </w:r>
      <w:r>
        <w:rPr>
          <w:color w:val="231F20"/>
          <w:spacing w:val="-3"/>
        </w:rPr>
        <w:t> </w:t>
      </w:r>
      <w:r>
        <w:rPr>
          <w:color w:val="231F20"/>
        </w:rPr>
        <w:t>the</w:t>
      </w:r>
      <w:r>
        <w:rPr>
          <w:color w:val="231F20"/>
          <w:spacing w:val="-3"/>
        </w:rPr>
        <w:t> </w:t>
      </w:r>
      <w:r>
        <w:rPr>
          <w:color w:val="231F20"/>
        </w:rPr>
        <w:t>client’s</w:t>
      </w:r>
      <w:r>
        <w:rPr>
          <w:color w:val="231F20"/>
          <w:spacing w:val="-52"/>
        </w:rPr>
        <w:t> </w:t>
      </w:r>
      <w:r>
        <w:rPr>
          <w:color w:val="231F20"/>
        </w:rPr>
        <w:t>treatment goals. Appropriateness of telehealth may</w:t>
      </w:r>
      <w:r>
        <w:rPr>
          <w:color w:val="231F20"/>
          <w:spacing w:val="1"/>
        </w:rPr>
        <w:t> </w:t>
      </w:r>
      <w:r>
        <w:rPr>
          <w:color w:val="231F20"/>
        </w:rPr>
        <w:t>depend on several factors, including the:</w:t>
      </w:r>
    </w:p>
    <w:p>
      <w:pPr>
        <w:pStyle w:val="ListParagraph"/>
        <w:numPr>
          <w:ilvl w:val="0"/>
          <w:numId w:val="13"/>
        </w:numPr>
        <w:tabs>
          <w:tab w:pos="839" w:val="left" w:leader="none"/>
          <w:tab w:pos="840" w:val="left" w:leader="none"/>
        </w:tabs>
        <w:spacing w:line="264" w:lineRule="auto" w:before="160" w:after="0"/>
        <w:ind w:left="839" w:right="968" w:hanging="360"/>
        <w:jc w:val="left"/>
        <w:rPr>
          <w:sz w:val="22"/>
        </w:rPr>
      </w:pPr>
      <w:r>
        <w:rPr>
          <w:color w:val="010202"/>
          <w:sz w:val="22"/>
        </w:rPr>
        <w:t>Nature and complexity of the intervention and</w:t>
      </w:r>
      <w:r>
        <w:rPr>
          <w:color w:val="010202"/>
          <w:spacing w:val="-52"/>
          <w:sz w:val="22"/>
        </w:rPr>
        <w:t> </w:t>
      </w:r>
      <w:r>
        <w:rPr>
          <w:color w:val="010202"/>
          <w:sz w:val="22"/>
        </w:rPr>
        <w:t>the</w:t>
      </w:r>
      <w:r>
        <w:rPr>
          <w:color w:val="010202"/>
          <w:spacing w:val="-1"/>
          <w:sz w:val="22"/>
        </w:rPr>
        <w:t> </w:t>
      </w:r>
      <w:r>
        <w:rPr>
          <w:color w:val="010202"/>
          <w:sz w:val="22"/>
        </w:rPr>
        <w:t>client’s condition</w:t>
      </w:r>
    </w:p>
    <w:p>
      <w:pPr>
        <w:pStyle w:val="ListParagraph"/>
        <w:numPr>
          <w:ilvl w:val="0"/>
          <w:numId w:val="13"/>
        </w:numPr>
        <w:tabs>
          <w:tab w:pos="839" w:val="left" w:leader="none"/>
          <w:tab w:pos="840" w:val="left" w:leader="none"/>
        </w:tabs>
        <w:spacing w:line="264" w:lineRule="auto" w:before="32" w:after="0"/>
        <w:ind w:left="839" w:right="841" w:hanging="360"/>
        <w:jc w:val="left"/>
        <w:rPr>
          <w:sz w:val="22"/>
        </w:rPr>
      </w:pPr>
      <w:r>
        <w:rPr>
          <w:color w:val="010202"/>
          <w:sz w:val="22"/>
        </w:rPr>
        <w:t>Client’s</w:t>
      </w:r>
      <w:r>
        <w:rPr>
          <w:color w:val="010202"/>
          <w:spacing w:val="-6"/>
          <w:sz w:val="22"/>
        </w:rPr>
        <w:t> </w:t>
      </w:r>
      <w:r>
        <w:rPr>
          <w:color w:val="010202"/>
          <w:sz w:val="22"/>
        </w:rPr>
        <w:t>comfort</w:t>
      </w:r>
      <w:r>
        <w:rPr>
          <w:color w:val="010202"/>
          <w:spacing w:val="-6"/>
          <w:sz w:val="22"/>
        </w:rPr>
        <w:t> </w:t>
      </w:r>
      <w:r>
        <w:rPr>
          <w:color w:val="010202"/>
          <w:sz w:val="22"/>
        </w:rPr>
        <w:t>with</w:t>
      </w:r>
      <w:r>
        <w:rPr>
          <w:color w:val="010202"/>
          <w:spacing w:val="-5"/>
          <w:sz w:val="22"/>
        </w:rPr>
        <w:t> </w:t>
      </w:r>
      <w:r>
        <w:rPr>
          <w:color w:val="010202"/>
          <w:sz w:val="22"/>
        </w:rPr>
        <w:t>technology</w:t>
      </w:r>
      <w:r>
        <w:rPr>
          <w:color w:val="010202"/>
          <w:spacing w:val="-6"/>
          <w:sz w:val="22"/>
        </w:rPr>
        <w:t> </w:t>
      </w:r>
      <w:r>
        <w:rPr>
          <w:color w:val="010202"/>
          <w:sz w:val="22"/>
        </w:rPr>
        <w:t>and</w:t>
      </w:r>
      <w:r>
        <w:rPr>
          <w:color w:val="010202"/>
          <w:spacing w:val="-5"/>
          <w:sz w:val="22"/>
        </w:rPr>
        <w:t> </w:t>
      </w:r>
      <w:r>
        <w:rPr>
          <w:color w:val="010202"/>
          <w:sz w:val="22"/>
        </w:rPr>
        <w:t>telehealth</w:t>
      </w:r>
      <w:r>
        <w:rPr>
          <w:color w:val="010202"/>
          <w:spacing w:val="-52"/>
          <w:sz w:val="22"/>
        </w:rPr>
        <w:t> </w:t>
      </w:r>
      <w:r>
        <w:rPr>
          <w:color w:val="010202"/>
          <w:sz w:val="22"/>
        </w:rPr>
        <w:t>appointments</w:t>
      </w:r>
    </w:p>
    <w:p>
      <w:pPr>
        <w:pStyle w:val="ListParagraph"/>
        <w:numPr>
          <w:ilvl w:val="0"/>
          <w:numId w:val="13"/>
        </w:numPr>
        <w:tabs>
          <w:tab w:pos="839" w:val="left" w:leader="none"/>
          <w:tab w:pos="840" w:val="left" w:leader="none"/>
        </w:tabs>
        <w:spacing w:line="264" w:lineRule="auto" w:before="32" w:after="0"/>
        <w:ind w:left="839" w:right="1158" w:hanging="360"/>
        <w:jc w:val="left"/>
        <w:rPr>
          <w:sz w:val="22"/>
        </w:rPr>
      </w:pPr>
      <w:r>
        <w:rPr>
          <w:color w:val="010202"/>
          <w:sz w:val="22"/>
        </w:rPr>
        <w:t>Ease and preferences of accessing in-person</w:t>
      </w:r>
      <w:r>
        <w:rPr>
          <w:color w:val="010202"/>
          <w:spacing w:val="-52"/>
          <w:sz w:val="22"/>
        </w:rPr>
        <w:t> </w:t>
      </w:r>
      <w:r>
        <w:rPr>
          <w:color w:val="010202"/>
          <w:sz w:val="22"/>
        </w:rPr>
        <w:t>services or using technology</w:t>
      </w:r>
    </w:p>
    <w:p>
      <w:pPr>
        <w:spacing w:after="0" w:line="264" w:lineRule="auto"/>
        <w:jc w:val="left"/>
        <w:rPr>
          <w:sz w:val="22"/>
        </w:rPr>
        <w:sectPr>
          <w:type w:val="continuous"/>
          <w:pgSz w:w="12240" w:h="15840"/>
          <w:pgMar w:header="0" w:footer="666" w:top="1500" w:bottom="0" w:left="600" w:right="0"/>
          <w:cols w:num="2" w:equalWidth="0">
            <w:col w:w="5170" w:space="591"/>
            <w:col w:w="5879"/>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1"/>
        <w:ind w:left="120" w:right="222"/>
      </w:pPr>
      <w:bookmarkStart w:name="SMI and SUD Treatment" w:id="18"/>
      <w:bookmarkEnd w:id="18"/>
      <w:r>
        <w:rPr/>
      </w:r>
      <w:r>
        <w:rPr>
          <w:color w:val="231F20"/>
        </w:rPr>
        <w:t>Designing and updating the care plan is a collaborative</w:t>
      </w:r>
      <w:r>
        <w:rPr>
          <w:color w:val="231F20"/>
          <w:spacing w:val="-52"/>
        </w:rPr>
        <w:t> </w:t>
      </w:r>
      <w:r>
        <w:rPr>
          <w:color w:val="231F20"/>
        </w:rPr>
        <w:t>and iterative process between client and provider, and</w:t>
      </w:r>
      <w:r>
        <w:rPr>
          <w:color w:val="231F20"/>
          <w:spacing w:val="1"/>
        </w:rPr>
        <w:t> </w:t>
      </w:r>
      <w:r>
        <w:rPr>
          <w:color w:val="231F20"/>
        </w:rPr>
        <w:t>involves a conversation on client comfort, preferences,</w:t>
      </w:r>
      <w:r>
        <w:rPr>
          <w:color w:val="231F20"/>
          <w:spacing w:val="-52"/>
        </w:rPr>
        <w:t> </w:t>
      </w:r>
      <w:r>
        <w:rPr>
          <w:color w:val="231F20"/>
        </w:rPr>
        <w:t>and goals (further</w:t>
      </w:r>
      <w:r>
        <w:rPr>
          <w:color w:val="231F20"/>
          <w:spacing w:val="-1"/>
        </w:rPr>
        <w:t> </w:t>
      </w:r>
      <w:r>
        <w:rPr>
          <w:color w:val="231F20"/>
        </w:rPr>
        <w:t>discussed in Chapter 3).</w:t>
      </w:r>
    </w:p>
    <w:p>
      <w:pPr>
        <w:spacing w:before="176"/>
        <w:ind w:left="120" w:right="0" w:firstLine="0"/>
        <w:jc w:val="left"/>
        <w:rPr>
          <w:rFonts w:ascii="Arial"/>
          <w:b/>
          <w:sz w:val="22"/>
        </w:rPr>
      </w:pPr>
      <w:r>
        <w:rPr>
          <w:rFonts w:ascii="Arial"/>
          <w:b/>
          <w:color w:val="CE384B"/>
          <w:sz w:val="22"/>
        </w:rPr>
        <w:t>SMI</w:t>
      </w:r>
      <w:r>
        <w:rPr>
          <w:rFonts w:ascii="Arial"/>
          <w:b/>
          <w:color w:val="CE384B"/>
          <w:spacing w:val="-4"/>
          <w:sz w:val="22"/>
        </w:rPr>
        <w:t> </w:t>
      </w:r>
      <w:r>
        <w:rPr>
          <w:rFonts w:ascii="Arial"/>
          <w:b/>
          <w:color w:val="CE384B"/>
          <w:sz w:val="22"/>
        </w:rPr>
        <w:t>and</w:t>
      </w:r>
      <w:r>
        <w:rPr>
          <w:rFonts w:ascii="Arial"/>
          <w:b/>
          <w:color w:val="CE384B"/>
          <w:spacing w:val="-3"/>
          <w:sz w:val="22"/>
        </w:rPr>
        <w:t> </w:t>
      </w:r>
      <w:r>
        <w:rPr>
          <w:rFonts w:ascii="Arial"/>
          <w:b/>
          <w:color w:val="CE384B"/>
          <w:sz w:val="22"/>
        </w:rPr>
        <w:t>SUD</w:t>
      </w:r>
      <w:r>
        <w:rPr>
          <w:rFonts w:ascii="Arial"/>
          <w:b/>
          <w:color w:val="CE384B"/>
          <w:spacing w:val="-3"/>
          <w:sz w:val="22"/>
        </w:rPr>
        <w:t> </w:t>
      </w:r>
      <w:r>
        <w:rPr>
          <w:rFonts w:ascii="Arial"/>
          <w:b/>
          <w:color w:val="CE384B"/>
          <w:sz w:val="22"/>
        </w:rPr>
        <w:t>Treatment</w:t>
      </w:r>
    </w:p>
    <w:p>
      <w:pPr>
        <w:pStyle w:val="Heading4"/>
        <w:spacing w:line="249" w:lineRule="auto" w:before="106"/>
        <w:ind w:right="771"/>
      </w:pPr>
      <w:r>
        <w:rPr>
          <w:i/>
          <w:color w:val="1C384B"/>
        </w:rPr>
        <w:t>Pharmacotherapy, Medication-Assisted</w:t>
      </w:r>
      <w:r>
        <w:rPr>
          <w:i/>
          <w:color w:val="1C384B"/>
          <w:spacing w:val="1"/>
        </w:rPr>
        <w:t> </w:t>
      </w:r>
      <w:r>
        <w:rPr>
          <w:color w:val="1C384B"/>
        </w:rPr>
        <w:t>Treatment,</w:t>
      </w:r>
      <w:r>
        <w:rPr>
          <w:color w:val="1C384B"/>
          <w:spacing w:val="-11"/>
        </w:rPr>
        <w:t> </w:t>
      </w:r>
      <w:r>
        <w:rPr>
          <w:color w:val="1C384B"/>
        </w:rPr>
        <w:t>and</w:t>
      </w:r>
      <w:r>
        <w:rPr>
          <w:color w:val="1C384B"/>
          <w:spacing w:val="-11"/>
        </w:rPr>
        <w:t> </w:t>
      </w:r>
      <w:r>
        <w:rPr>
          <w:color w:val="1C384B"/>
        </w:rPr>
        <w:t>Medication</w:t>
      </w:r>
      <w:r>
        <w:rPr>
          <w:color w:val="1C384B"/>
          <w:spacing w:val="-11"/>
        </w:rPr>
        <w:t> </w:t>
      </w:r>
      <w:r>
        <w:rPr>
          <w:color w:val="1C384B"/>
        </w:rPr>
        <w:t>Management</w:t>
      </w:r>
    </w:p>
    <w:p>
      <w:pPr>
        <w:pStyle w:val="BodyText"/>
        <w:spacing w:line="266" w:lineRule="auto" w:before="174"/>
        <w:ind w:left="119" w:right="42"/>
      </w:pPr>
      <w:r>
        <w:rPr>
          <w:b/>
          <w:color w:val="231F20"/>
        </w:rPr>
        <w:t>Pharmacotherapy </w:t>
      </w:r>
      <w:r>
        <w:rPr>
          <w:color w:val="231F20"/>
        </w:rPr>
        <w:t>can be implemented using</w:t>
      </w:r>
      <w:r>
        <w:rPr>
          <w:color w:val="231F20"/>
          <w:spacing w:val="1"/>
        </w:rPr>
        <w:t> </w:t>
      </w:r>
      <w:r>
        <w:rPr>
          <w:color w:val="231F20"/>
        </w:rPr>
        <w:t>synchronous telehealth for SMI. Prescribing and</w:t>
      </w:r>
      <w:r>
        <w:rPr>
          <w:color w:val="231F20"/>
          <w:spacing w:val="1"/>
        </w:rPr>
        <w:t> </w:t>
      </w:r>
      <w:r>
        <w:rPr>
          <w:color w:val="231F20"/>
        </w:rPr>
        <w:t>monitoring medication using telehealth can lead to</w:t>
      </w:r>
      <w:r>
        <w:rPr>
          <w:color w:val="231F20"/>
          <w:spacing w:val="1"/>
        </w:rPr>
        <w:t> </w:t>
      </w:r>
      <w:r>
        <w:rPr>
          <w:color w:val="231F20"/>
        </w:rPr>
        <w:t>reduced</w:t>
      </w:r>
      <w:r>
        <w:rPr>
          <w:color w:val="231F20"/>
          <w:spacing w:val="9"/>
        </w:rPr>
        <w:t> </w:t>
      </w:r>
      <w:r>
        <w:rPr>
          <w:color w:val="231F20"/>
        </w:rPr>
        <w:t>length</w:t>
      </w:r>
      <w:r>
        <w:rPr>
          <w:color w:val="231F20"/>
          <w:spacing w:val="9"/>
        </w:rPr>
        <w:t> </w:t>
      </w:r>
      <w:r>
        <w:rPr>
          <w:color w:val="231F20"/>
        </w:rPr>
        <w:t>of</w:t>
      </w:r>
      <w:r>
        <w:rPr>
          <w:color w:val="231F20"/>
          <w:spacing w:val="9"/>
        </w:rPr>
        <w:t> </w:t>
      </w:r>
      <w:r>
        <w:rPr>
          <w:color w:val="231F20"/>
        </w:rPr>
        <w:t>hospitalization</w:t>
      </w:r>
      <w:r>
        <w:rPr>
          <w:color w:val="231F20"/>
          <w:spacing w:val="9"/>
        </w:rPr>
        <w:t> </w:t>
      </w:r>
      <w:r>
        <w:rPr>
          <w:color w:val="231F20"/>
        </w:rPr>
        <w:t>and</w:t>
      </w:r>
      <w:r>
        <w:rPr>
          <w:color w:val="231F20"/>
          <w:spacing w:val="9"/>
        </w:rPr>
        <w:t> </w:t>
      </w:r>
      <w:r>
        <w:rPr>
          <w:color w:val="231F20"/>
        </w:rPr>
        <w:t>symptomology,</w:t>
      </w:r>
      <w:r>
        <w:rPr>
          <w:color w:val="231F20"/>
          <w:spacing w:val="1"/>
        </w:rPr>
        <w:t> </w:t>
      </w:r>
      <w:r>
        <w:rPr>
          <w:color w:val="231F20"/>
          <w:w w:val="95"/>
        </w:rPr>
        <w:t>and</w:t>
      </w:r>
      <w:r>
        <w:rPr>
          <w:color w:val="231F20"/>
          <w:spacing w:val="1"/>
          <w:w w:val="95"/>
        </w:rPr>
        <w:t> </w:t>
      </w:r>
      <w:r>
        <w:rPr>
          <w:color w:val="231F20"/>
          <w:w w:val="95"/>
        </w:rPr>
        <w:t>improved</w:t>
      </w:r>
      <w:r>
        <w:rPr>
          <w:color w:val="231F20"/>
          <w:spacing w:val="1"/>
          <w:w w:val="95"/>
        </w:rPr>
        <w:t> </w:t>
      </w:r>
      <w:r>
        <w:rPr>
          <w:color w:val="231F20"/>
          <w:w w:val="95"/>
        </w:rPr>
        <w:t>medication</w:t>
      </w:r>
      <w:r>
        <w:rPr>
          <w:color w:val="231F20"/>
          <w:spacing w:val="1"/>
          <w:w w:val="95"/>
        </w:rPr>
        <w:t> </w:t>
      </w:r>
      <w:r>
        <w:rPr>
          <w:color w:val="231F20"/>
          <w:w w:val="95"/>
        </w:rPr>
        <w:t>adherence.</w:t>
      </w:r>
      <w:r>
        <w:rPr>
          <w:color w:val="231F20"/>
          <w:w w:val="95"/>
          <w:vertAlign w:val="superscript"/>
        </w:rPr>
        <w:t>7,</w:t>
      </w:r>
      <w:r>
        <w:rPr>
          <w:color w:val="231F20"/>
          <w:w w:val="95"/>
          <w:vertAlign w:val="baseline"/>
        </w:rPr>
        <w:t> </w:t>
      </w:r>
      <w:r>
        <w:rPr>
          <w:color w:val="231F20"/>
          <w:w w:val="95"/>
          <w:vertAlign w:val="superscript"/>
        </w:rPr>
        <w:t>8</w:t>
      </w:r>
      <w:r>
        <w:rPr>
          <w:color w:val="231F20"/>
          <w:w w:val="95"/>
          <w:vertAlign w:val="baseline"/>
        </w:rPr>
        <w:t> There</w:t>
      </w:r>
      <w:r>
        <w:rPr>
          <w:color w:val="231F20"/>
          <w:spacing w:val="1"/>
          <w:w w:val="95"/>
          <w:vertAlign w:val="baseline"/>
        </w:rPr>
        <w:t> </w:t>
      </w:r>
      <w:r>
        <w:rPr>
          <w:color w:val="231F20"/>
          <w:w w:val="95"/>
          <w:vertAlign w:val="baseline"/>
        </w:rPr>
        <w:t>are</w:t>
      </w:r>
      <w:r>
        <w:rPr>
          <w:color w:val="231F20"/>
          <w:spacing w:val="1"/>
          <w:w w:val="95"/>
          <w:vertAlign w:val="baseline"/>
        </w:rPr>
        <w:t> </w:t>
      </w:r>
      <w:r>
        <w:rPr>
          <w:color w:val="231F20"/>
          <w:w w:val="95"/>
          <w:vertAlign w:val="baseline"/>
        </w:rPr>
        <w:t>also</w:t>
      </w:r>
      <w:r>
        <w:rPr>
          <w:color w:val="231F20"/>
          <w:spacing w:val="1"/>
          <w:w w:val="95"/>
          <w:vertAlign w:val="baseline"/>
        </w:rPr>
        <w:t> </w:t>
      </w:r>
      <w:r>
        <w:rPr>
          <w:color w:val="231F20"/>
          <w:vertAlign w:val="baseline"/>
        </w:rPr>
        <w:t>limitations to prescribing and monitoring medication that</w:t>
      </w:r>
      <w:r>
        <w:rPr>
          <w:color w:val="231F20"/>
          <w:spacing w:val="-52"/>
          <w:vertAlign w:val="baseline"/>
        </w:rPr>
        <w:t> </w:t>
      </w:r>
      <w:r>
        <w:rPr>
          <w:color w:val="231F20"/>
          <w:vertAlign w:val="baseline"/>
        </w:rPr>
        <w:t>should be noted, such as evaluating movement disorders</w:t>
      </w:r>
      <w:r>
        <w:rPr>
          <w:color w:val="231F20"/>
          <w:spacing w:val="1"/>
          <w:vertAlign w:val="baseline"/>
        </w:rPr>
        <w:t> </w:t>
      </w:r>
      <w:r>
        <w:rPr>
          <w:color w:val="231F20"/>
          <w:vertAlign w:val="baseline"/>
        </w:rPr>
        <w:t>and the ability to test muscle tone (e.g., in order to gauge</w:t>
      </w:r>
      <w:r>
        <w:rPr>
          <w:color w:val="231F20"/>
          <w:spacing w:val="-52"/>
          <w:vertAlign w:val="baseline"/>
        </w:rPr>
        <w:t> </w:t>
      </w:r>
      <w:r>
        <w:rPr>
          <w:color w:val="231F20"/>
          <w:vertAlign w:val="baseline"/>
        </w:rPr>
        <w:t>rigidity</w:t>
      </w:r>
      <w:r>
        <w:rPr>
          <w:color w:val="231F20"/>
          <w:spacing w:val="-1"/>
          <w:vertAlign w:val="baseline"/>
        </w:rPr>
        <w:t> </w:t>
      </w:r>
      <w:r>
        <w:rPr>
          <w:color w:val="231F20"/>
          <w:vertAlign w:val="baseline"/>
        </w:rPr>
        <w:t>as a</w:t>
      </w:r>
      <w:r>
        <w:rPr>
          <w:color w:val="231F20"/>
          <w:spacing w:val="-1"/>
          <w:vertAlign w:val="baseline"/>
        </w:rPr>
        <w:t> </w:t>
      </w:r>
      <w:r>
        <w:rPr>
          <w:color w:val="231F20"/>
          <w:vertAlign w:val="baseline"/>
        </w:rPr>
        <w:t>side</w:t>
      </w:r>
      <w:r>
        <w:rPr>
          <w:color w:val="231F20"/>
          <w:spacing w:val="-1"/>
          <w:vertAlign w:val="baseline"/>
        </w:rPr>
        <w:t> </w:t>
      </w:r>
      <w:r>
        <w:rPr>
          <w:color w:val="231F20"/>
          <w:vertAlign w:val="baseline"/>
        </w:rPr>
        <w:t>effect</w:t>
      </w:r>
      <w:r>
        <w:rPr>
          <w:color w:val="231F20"/>
          <w:spacing w:val="-1"/>
          <w:vertAlign w:val="baseline"/>
        </w:rPr>
        <w:t> </w:t>
      </w:r>
      <w:r>
        <w:rPr>
          <w:color w:val="231F20"/>
          <w:vertAlign w:val="baseline"/>
        </w:rPr>
        <w:t>of a</w:t>
      </w:r>
      <w:r>
        <w:rPr>
          <w:color w:val="231F20"/>
          <w:spacing w:val="-1"/>
          <w:vertAlign w:val="baseline"/>
        </w:rPr>
        <w:t> </w:t>
      </w:r>
      <w:r>
        <w:rPr>
          <w:color w:val="231F20"/>
          <w:vertAlign w:val="baseline"/>
        </w:rPr>
        <w:t>medication).</w:t>
      </w:r>
    </w:p>
    <w:p>
      <w:pPr>
        <w:pStyle w:val="BodyText"/>
        <w:spacing w:line="266" w:lineRule="auto" w:before="172"/>
        <w:ind w:left="119" w:right="52"/>
      </w:pPr>
      <w:r>
        <w:rPr>
          <w:b/>
          <w:color w:val="231F20"/>
        </w:rPr>
        <w:t>Medication-Assisted Treatment (MAT) </w:t>
      </w:r>
      <w:r>
        <w:rPr>
          <w:color w:val="231F20"/>
        </w:rPr>
        <w:t>uses</w:t>
      </w:r>
      <w:r>
        <w:rPr>
          <w:color w:val="231F20"/>
          <w:spacing w:val="1"/>
        </w:rPr>
        <w:t> </w:t>
      </w:r>
      <w:r>
        <w:rPr>
          <w:color w:val="231F20"/>
        </w:rPr>
        <w:t>pharmacological medications in combination with</w:t>
      </w:r>
      <w:r>
        <w:rPr>
          <w:color w:val="231F20"/>
          <w:spacing w:val="1"/>
        </w:rPr>
        <w:t> </w:t>
      </w:r>
      <w:r>
        <w:rPr>
          <w:color w:val="231F20"/>
        </w:rPr>
        <w:t>counseling and behavioral therapies to treat diagnosed</w:t>
      </w:r>
      <w:r>
        <w:rPr>
          <w:color w:val="231F20"/>
          <w:spacing w:val="1"/>
        </w:rPr>
        <w:t> </w:t>
      </w:r>
      <w:r>
        <w:rPr>
          <w:color w:val="231F20"/>
        </w:rPr>
        <w:t>SUD.</w:t>
      </w:r>
      <w:r>
        <w:rPr>
          <w:color w:val="231F20"/>
          <w:vertAlign w:val="superscript"/>
        </w:rPr>
        <w:t>9</w:t>
      </w:r>
      <w:r>
        <w:rPr>
          <w:color w:val="231F20"/>
          <w:vertAlign w:val="baseline"/>
        </w:rPr>
        <w:t> MAT involves multiple components tailored to</w:t>
      </w:r>
      <w:r>
        <w:rPr>
          <w:color w:val="231F20"/>
          <w:spacing w:val="1"/>
          <w:vertAlign w:val="baseline"/>
        </w:rPr>
        <w:t> </w:t>
      </w:r>
      <w:r>
        <w:rPr>
          <w:color w:val="231F20"/>
          <w:w w:val="95"/>
          <w:vertAlign w:val="baseline"/>
        </w:rPr>
        <w:t>meet</w:t>
      </w:r>
      <w:r>
        <w:rPr>
          <w:color w:val="231F20"/>
          <w:spacing w:val="1"/>
          <w:w w:val="95"/>
          <w:vertAlign w:val="baseline"/>
        </w:rPr>
        <w:t> </w:t>
      </w:r>
      <w:r>
        <w:rPr>
          <w:color w:val="231F20"/>
          <w:w w:val="95"/>
          <w:vertAlign w:val="baseline"/>
        </w:rPr>
        <w:t>individual</w:t>
      </w:r>
      <w:r>
        <w:rPr>
          <w:color w:val="231F20"/>
          <w:spacing w:val="1"/>
          <w:w w:val="95"/>
          <w:vertAlign w:val="baseline"/>
        </w:rPr>
        <w:t> </w:t>
      </w:r>
      <w:r>
        <w:rPr>
          <w:color w:val="231F20"/>
          <w:w w:val="95"/>
          <w:vertAlign w:val="baseline"/>
        </w:rPr>
        <w:t>clients’ needs,</w:t>
      </w:r>
      <w:r>
        <w:rPr>
          <w:color w:val="231F20"/>
          <w:w w:val="95"/>
          <w:vertAlign w:val="superscript"/>
        </w:rPr>
        <w:t>10</w:t>
      </w:r>
      <w:r>
        <w:rPr>
          <w:color w:val="231F20"/>
          <w:spacing w:val="1"/>
          <w:w w:val="95"/>
          <w:vertAlign w:val="baseline"/>
        </w:rPr>
        <w:t> </w:t>
      </w:r>
      <w:r>
        <w:rPr>
          <w:color w:val="231F20"/>
          <w:w w:val="95"/>
          <w:vertAlign w:val="baseline"/>
        </w:rPr>
        <w:t>including</w:t>
      </w:r>
      <w:r>
        <w:rPr>
          <w:color w:val="231F20"/>
          <w:spacing w:val="1"/>
          <w:w w:val="95"/>
          <w:vertAlign w:val="baseline"/>
        </w:rPr>
        <w:t> </w:t>
      </w:r>
      <w:r>
        <w:rPr>
          <w:color w:val="231F20"/>
          <w:w w:val="95"/>
          <w:vertAlign w:val="baseline"/>
        </w:rPr>
        <w:t>initiating</w:t>
      </w:r>
      <w:r>
        <w:rPr>
          <w:color w:val="231F20"/>
          <w:spacing w:val="1"/>
          <w:w w:val="95"/>
          <w:vertAlign w:val="baseline"/>
        </w:rPr>
        <w:t> </w:t>
      </w:r>
      <w:r>
        <w:rPr>
          <w:color w:val="231F20"/>
          <w:vertAlign w:val="baseline"/>
        </w:rPr>
        <w:t>medication, monitoring adherence, and providing access</w:t>
      </w:r>
      <w:r>
        <w:rPr>
          <w:color w:val="231F20"/>
          <w:spacing w:val="1"/>
          <w:vertAlign w:val="baseline"/>
        </w:rPr>
        <w:t> </w:t>
      </w:r>
      <w:r>
        <w:rPr>
          <w:color w:val="231F20"/>
          <w:vertAlign w:val="baseline"/>
        </w:rPr>
        <w:t>to</w:t>
      </w:r>
      <w:r>
        <w:rPr>
          <w:color w:val="231F20"/>
          <w:spacing w:val="-9"/>
          <w:vertAlign w:val="baseline"/>
        </w:rPr>
        <w:t> </w:t>
      </w:r>
      <w:r>
        <w:rPr>
          <w:color w:val="231F20"/>
          <w:vertAlign w:val="baseline"/>
        </w:rPr>
        <w:t>counseling</w:t>
      </w:r>
      <w:r>
        <w:rPr>
          <w:color w:val="231F20"/>
          <w:spacing w:val="-9"/>
          <w:vertAlign w:val="baseline"/>
        </w:rPr>
        <w:t> </w:t>
      </w:r>
      <w:r>
        <w:rPr>
          <w:color w:val="231F20"/>
          <w:vertAlign w:val="baseline"/>
        </w:rPr>
        <w:t>and</w:t>
      </w:r>
      <w:r>
        <w:rPr>
          <w:color w:val="231F20"/>
          <w:spacing w:val="-9"/>
          <w:vertAlign w:val="baseline"/>
        </w:rPr>
        <w:t> </w:t>
      </w:r>
      <w:r>
        <w:rPr>
          <w:color w:val="231F20"/>
          <w:vertAlign w:val="baseline"/>
        </w:rPr>
        <w:t>psychosocial</w:t>
      </w:r>
      <w:r>
        <w:rPr>
          <w:color w:val="231F20"/>
          <w:spacing w:val="-9"/>
          <w:vertAlign w:val="baseline"/>
        </w:rPr>
        <w:t> </w:t>
      </w:r>
      <w:r>
        <w:rPr>
          <w:color w:val="231F20"/>
          <w:vertAlign w:val="baseline"/>
        </w:rPr>
        <w:t>supports.</w:t>
      </w:r>
      <w:r>
        <w:rPr>
          <w:color w:val="231F20"/>
          <w:vertAlign w:val="superscript"/>
        </w:rPr>
        <w:t>11</w:t>
      </w:r>
      <w:r>
        <w:rPr>
          <w:color w:val="231F20"/>
          <w:spacing w:val="-10"/>
          <w:vertAlign w:val="baseline"/>
        </w:rPr>
        <w:t> </w:t>
      </w:r>
      <w:r>
        <w:rPr>
          <w:color w:val="231F20"/>
          <w:vertAlign w:val="baseline"/>
        </w:rPr>
        <w:t>MAT</w:t>
      </w:r>
      <w:r>
        <w:rPr>
          <w:color w:val="231F20"/>
          <w:spacing w:val="-13"/>
          <w:vertAlign w:val="baseline"/>
        </w:rPr>
        <w:t> </w:t>
      </w:r>
      <w:r>
        <w:rPr>
          <w:color w:val="231F20"/>
          <w:vertAlign w:val="baseline"/>
        </w:rPr>
        <w:t>includes</w:t>
      </w:r>
      <w:r>
        <w:rPr>
          <w:color w:val="231F20"/>
          <w:spacing w:val="-52"/>
          <w:vertAlign w:val="baseline"/>
        </w:rPr>
        <w:t> </w:t>
      </w:r>
      <w:r>
        <w:rPr>
          <w:color w:val="231F20"/>
          <w:vertAlign w:val="baseline"/>
        </w:rPr>
        <w:t>FDA-approved treatments for opioid use</w:t>
      </w:r>
      <w:r>
        <w:rPr>
          <w:color w:val="231F20"/>
          <w:spacing w:val="-1"/>
          <w:vertAlign w:val="baseline"/>
        </w:rPr>
        <w:t> </w:t>
      </w:r>
      <w:r>
        <w:rPr>
          <w:color w:val="231F20"/>
          <w:vertAlign w:val="baseline"/>
        </w:rPr>
        <w:t>disorder</w:t>
      </w:r>
    </w:p>
    <w:p>
      <w:pPr>
        <w:pStyle w:val="BodyText"/>
        <w:spacing w:line="266" w:lineRule="auto"/>
        <w:ind w:left="119" w:right="276"/>
      </w:pPr>
      <w:r>
        <w:rPr>
          <w:color w:val="231F20"/>
        </w:rPr>
        <w:t>(using</w:t>
      </w:r>
      <w:r>
        <w:rPr>
          <w:color w:val="231F20"/>
          <w:spacing w:val="-10"/>
        </w:rPr>
        <w:t> </w:t>
      </w:r>
      <w:r>
        <w:rPr>
          <w:color w:val="231F20"/>
        </w:rPr>
        <w:t>methadone,</w:t>
      </w:r>
      <w:r>
        <w:rPr>
          <w:color w:val="231F20"/>
          <w:spacing w:val="-10"/>
        </w:rPr>
        <w:t> </w:t>
      </w:r>
      <w:r>
        <w:rPr>
          <w:color w:val="231F20"/>
        </w:rPr>
        <w:t>buprenorphine,</w:t>
      </w:r>
      <w:r>
        <w:rPr>
          <w:color w:val="231F20"/>
          <w:spacing w:val="-10"/>
        </w:rPr>
        <w:t> </w:t>
      </w:r>
      <w:r>
        <w:rPr>
          <w:color w:val="231F20"/>
        </w:rPr>
        <w:t>and</w:t>
      </w:r>
      <w:r>
        <w:rPr>
          <w:color w:val="231F20"/>
          <w:spacing w:val="-10"/>
        </w:rPr>
        <w:t> </w:t>
      </w:r>
      <w:r>
        <w:rPr>
          <w:color w:val="231F20"/>
        </w:rPr>
        <w:t>naltrexone),</w:t>
      </w:r>
      <w:r>
        <w:rPr>
          <w:color w:val="231F20"/>
          <w:vertAlign w:val="superscript"/>
        </w:rPr>
        <w:t>12-14</w:t>
      </w:r>
      <w:r>
        <w:rPr>
          <w:color w:val="231F20"/>
          <w:spacing w:val="-52"/>
          <w:vertAlign w:val="baseline"/>
        </w:rPr>
        <w:t> </w:t>
      </w:r>
      <w:r>
        <w:rPr>
          <w:color w:val="231F20"/>
          <w:vertAlign w:val="baseline"/>
        </w:rPr>
        <w:t>and alcohol use disorder (using naltrexone, disulfiram,</w:t>
      </w:r>
      <w:r>
        <w:rPr>
          <w:color w:val="231F20"/>
          <w:spacing w:val="-52"/>
          <w:vertAlign w:val="baseline"/>
        </w:rPr>
        <w:t> </w:t>
      </w:r>
      <w:r>
        <w:rPr>
          <w:color w:val="231F20"/>
          <w:vertAlign w:val="baseline"/>
        </w:rPr>
        <w:t>and acamprosate).</w:t>
      </w:r>
      <w:r>
        <w:rPr>
          <w:color w:val="231F20"/>
          <w:vertAlign w:val="superscript"/>
        </w:rPr>
        <w:t>15,16</w:t>
      </w:r>
      <w:r>
        <w:rPr>
          <w:color w:val="231F20"/>
          <w:vertAlign w:val="baseline"/>
        </w:rPr>
        <w:t> Currently, there are no FDA-</w:t>
      </w:r>
      <w:r>
        <w:rPr>
          <w:color w:val="231F20"/>
          <w:spacing w:val="1"/>
          <w:vertAlign w:val="baseline"/>
        </w:rPr>
        <w:t> </w:t>
      </w:r>
      <w:r>
        <w:rPr>
          <w:color w:val="231F20"/>
          <w:vertAlign w:val="baseline"/>
        </w:rPr>
        <w:t>approved medications to treat stimulant or marijuana</w:t>
      </w:r>
      <w:r>
        <w:rPr>
          <w:color w:val="231F20"/>
          <w:spacing w:val="1"/>
          <w:vertAlign w:val="baseline"/>
        </w:rPr>
        <w:t> </w:t>
      </w:r>
      <w:r>
        <w:rPr>
          <w:color w:val="231F20"/>
          <w:vertAlign w:val="baseline"/>
        </w:rPr>
        <w:t>use-disorders.</w:t>
      </w:r>
      <w:r>
        <w:rPr>
          <w:color w:val="231F20"/>
          <w:vertAlign w:val="superscript"/>
        </w:rPr>
        <w:t>17</w:t>
      </w:r>
    </w:p>
    <w:p>
      <w:pPr>
        <w:pStyle w:val="BodyText"/>
        <w:spacing w:line="266" w:lineRule="auto" w:before="170"/>
        <w:ind w:left="120" w:right="38"/>
      </w:pPr>
      <w:r>
        <w:rPr>
          <w:color w:val="231F20"/>
        </w:rPr>
        <w:t>MAT is regulated by the Drug Enforcement</w:t>
      </w:r>
      <w:r>
        <w:rPr>
          <w:color w:val="231F20"/>
          <w:spacing w:val="1"/>
        </w:rPr>
        <w:t> </w:t>
      </w:r>
      <w:r>
        <w:rPr>
          <w:color w:val="231F20"/>
        </w:rPr>
        <w:t>Administration</w:t>
      </w:r>
      <w:r>
        <w:rPr>
          <w:color w:val="231F20"/>
          <w:spacing w:val="-1"/>
        </w:rPr>
        <w:t> </w:t>
      </w:r>
      <w:r>
        <w:rPr>
          <w:color w:val="231F20"/>
        </w:rPr>
        <w:t>(DEA).</w:t>
      </w:r>
      <w:r>
        <w:rPr>
          <w:color w:val="231F20"/>
          <w:spacing w:val="1"/>
        </w:rPr>
        <w:t> </w:t>
      </w:r>
      <w:r>
        <w:rPr>
          <w:color w:val="231F20"/>
        </w:rPr>
        <w:t>Prior to</w:t>
      </w:r>
      <w:r>
        <w:rPr>
          <w:color w:val="231F20"/>
          <w:spacing w:val="1"/>
        </w:rPr>
        <w:t> </w:t>
      </w:r>
      <w:r>
        <w:rPr>
          <w:color w:val="231F20"/>
        </w:rPr>
        <w:t>the</w:t>
      </w:r>
      <w:r>
        <w:rPr>
          <w:color w:val="231F20"/>
          <w:spacing w:val="1"/>
        </w:rPr>
        <w:t> </w:t>
      </w:r>
      <w:r>
        <w:rPr>
          <w:color w:val="231F20"/>
        </w:rPr>
        <w:t>COVID-19</w:t>
      </w:r>
      <w:r>
        <w:rPr>
          <w:color w:val="231F20"/>
          <w:spacing w:val="1"/>
        </w:rPr>
        <w:t> </w:t>
      </w:r>
      <w:r>
        <w:rPr>
          <w:color w:val="231F20"/>
        </w:rPr>
        <w:t>pandemic, practitioners could not provide certain</w:t>
      </w:r>
      <w:r>
        <w:rPr>
          <w:color w:val="231F20"/>
          <w:spacing w:val="1"/>
        </w:rPr>
        <w:t> </w:t>
      </w:r>
      <w:r>
        <w:rPr>
          <w:color w:val="231F20"/>
          <w:w w:val="95"/>
        </w:rPr>
        <w:t>components</w:t>
      </w:r>
      <w:r>
        <w:rPr>
          <w:color w:val="231F20"/>
          <w:spacing w:val="31"/>
          <w:w w:val="95"/>
        </w:rPr>
        <w:t> </w:t>
      </w:r>
      <w:r>
        <w:rPr>
          <w:color w:val="231F20"/>
          <w:w w:val="95"/>
        </w:rPr>
        <w:t>via</w:t>
      </w:r>
      <w:r>
        <w:rPr>
          <w:color w:val="231F20"/>
          <w:spacing w:val="32"/>
          <w:w w:val="95"/>
        </w:rPr>
        <w:t> </w:t>
      </w:r>
      <w:r>
        <w:rPr>
          <w:color w:val="231F20"/>
          <w:w w:val="95"/>
        </w:rPr>
        <w:t>telehealth.</w:t>
      </w:r>
      <w:r>
        <w:rPr>
          <w:color w:val="231F20"/>
          <w:w w:val="95"/>
          <w:vertAlign w:val="superscript"/>
        </w:rPr>
        <w:t>18,</w:t>
      </w:r>
      <w:r>
        <w:rPr>
          <w:color w:val="231F20"/>
          <w:spacing w:val="-4"/>
          <w:w w:val="95"/>
          <w:vertAlign w:val="baseline"/>
        </w:rPr>
        <w:t> </w:t>
      </w:r>
      <w:r>
        <w:rPr>
          <w:color w:val="231F20"/>
          <w:w w:val="95"/>
          <w:vertAlign w:val="superscript"/>
        </w:rPr>
        <w:t>19</w:t>
      </w:r>
      <w:r>
        <w:rPr>
          <w:color w:val="231F20"/>
          <w:spacing w:val="32"/>
          <w:w w:val="95"/>
          <w:vertAlign w:val="baseline"/>
        </w:rPr>
        <w:t> </w:t>
      </w:r>
      <w:r>
        <w:rPr>
          <w:color w:val="231F20"/>
          <w:w w:val="95"/>
          <w:vertAlign w:val="baseline"/>
        </w:rPr>
        <w:t>Due</w:t>
      </w:r>
      <w:r>
        <w:rPr>
          <w:color w:val="231F20"/>
          <w:spacing w:val="32"/>
          <w:w w:val="95"/>
          <w:vertAlign w:val="baseline"/>
        </w:rPr>
        <w:t> </w:t>
      </w:r>
      <w:r>
        <w:rPr>
          <w:color w:val="231F20"/>
          <w:w w:val="95"/>
          <w:vertAlign w:val="baseline"/>
        </w:rPr>
        <w:t>to</w:t>
      </w:r>
      <w:r>
        <w:rPr>
          <w:color w:val="231F20"/>
          <w:spacing w:val="31"/>
          <w:w w:val="95"/>
          <w:vertAlign w:val="baseline"/>
        </w:rPr>
        <w:t> </w:t>
      </w:r>
      <w:r>
        <w:rPr>
          <w:color w:val="231F20"/>
          <w:w w:val="95"/>
          <w:vertAlign w:val="baseline"/>
        </w:rPr>
        <w:t>temporary</w:t>
      </w:r>
      <w:r>
        <w:rPr>
          <w:color w:val="231F20"/>
          <w:spacing w:val="32"/>
          <w:w w:val="95"/>
          <w:vertAlign w:val="baseline"/>
        </w:rPr>
        <w:t> </w:t>
      </w:r>
      <w:r>
        <w:rPr>
          <w:color w:val="231F20"/>
          <w:w w:val="95"/>
          <w:vertAlign w:val="baseline"/>
        </w:rPr>
        <w:t>changes</w:t>
      </w:r>
      <w:r>
        <w:rPr>
          <w:color w:val="231F20"/>
          <w:spacing w:val="-49"/>
          <w:w w:val="95"/>
          <w:vertAlign w:val="baseline"/>
        </w:rPr>
        <w:t> </w:t>
      </w:r>
      <w:r>
        <w:rPr>
          <w:color w:val="231F20"/>
          <w:vertAlign w:val="baseline"/>
        </w:rPr>
        <w:t>for COVID-19 that may or may not become permanent,</w:t>
      </w:r>
      <w:r>
        <w:rPr>
          <w:color w:val="231F20"/>
          <w:spacing w:val="1"/>
          <w:vertAlign w:val="baseline"/>
        </w:rPr>
        <w:t> </w:t>
      </w:r>
      <w:r>
        <w:rPr>
          <w:color w:val="231F20"/>
          <w:vertAlign w:val="baseline"/>
        </w:rPr>
        <w:t>there are several models for using a hybrid in-person</w:t>
      </w:r>
    </w:p>
    <w:p>
      <w:pPr>
        <w:pStyle w:val="BodyText"/>
        <w:spacing w:line="266" w:lineRule="auto"/>
        <w:ind w:left="120" w:right="149"/>
      </w:pPr>
      <w:r>
        <w:rPr>
          <w:color w:val="231F20"/>
        </w:rPr>
        <w:t>and telehealth approach to delivering MAT.</w:t>
      </w:r>
      <w:r>
        <w:rPr>
          <w:color w:val="231F20"/>
          <w:vertAlign w:val="superscript"/>
        </w:rPr>
        <w:t>20</w:t>
      </w:r>
      <w:r>
        <w:rPr>
          <w:color w:val="231F20"/>
          <w:vertAlign w:val="baseline"/>
        </w:rPr>
        <w:t> For</w:t>
      </w:r>
      <w:r>
        <w:rPr>
          <w:color w:val="231F20"/>
          <w:spacing w:val="1"/>
          <w:vertAlign w:val="baseline"/>
        </w:rPr>
        <w:t> </w:t>
      </w:r>
      <w:r>
        <w:rPr>
          <w:color w:val="231F20"/>
          <w:vertAlign w:val="baseline"/>
        </w:rPr>
        <w:t>example, a physician may perform an initial assessment</w:t>
      </w:r>
      <w:r>
        <w:rPr>
          <w:color w:val="231F20"/>
          <w:spacing w:val="-52"/>
          <w:vertAlign w:val="baseline"/>
        </w:rPr>
        <w:t> </w:t>
      </w:r>
      <w:r>
        <w:rPr>
          <w:color w:val="231F20"/>
          <w:vertAlign w:val="baseline"/>
        </w:rPr>
        <w:t>and prescribe medication via videoconference, while</w:t>
      </w:r>
      <w:r>
        <w:rPr>
          <w:color w:val="231F20"/>
          <w:spacing w:val="1"/>
          <w:vertAlign w:val="baseline"/>
        </w:rPr>
        <w:t> </w:t>
      </w:r>
      <w:r>
        <w:rPr>
          <w:color w:val="231F20"/>
          <w:vertAlign w:val="baseline"/>
        </w:rPr>
        <w:t>local clinicians provide counseling and follow up in-</w:t>
      </w:r>
      <w:r>
        <w:rPr>
          <w:color w:val="231F20"/>
          <w:spacing w:val="1"/>
          <w:vertAlign w:val="baseline"/>
        </w:rPr>
        <w:t> </w:t>
      </w:r>
      <w:r>
        <w:rPr>
          <w:color w:val="231F20"/>
          <w:vertAlign w:val="baseline"/>
        </w:rPr>
        <w:t>person; or, a physician could prescribe medications and</w:t>
      </w:r>
      <w:r>
        <w:rPr>
          <w:color w:val="231F20"/>
          <w:spacing w:val="-52"/>
          <w:vertAlign w:val="baseline"/>
        </w:rPr>
        <w:t> </w:t>
      </w:r>
      <w:r>
        <w:rPr>
          <w:color w:val="231F20"/>
          <w:vertAlign w:val="baseline"/>
        </w:rPr>
        <w:t>monitoring during in-person visits and the client then</w:t>
      </w:r>
      <w:r>
        <w:rPr>
          <w:color w:val="231F20"/>
          <w:spacing w:val="1"/>
          <w:vertAlign w:val="baseline"/>
        </w:rPr>
        <w:t> </w:t>
      </w:r>
      <w:r>
        <w:rPr>
          <w:color w:val="231F20"/>
          <w:vertAlign w:val="baseline"/>
        </w:rPr>
        <w:t>receives</w:t>
      </w:r>
      <w:r>
        <w:rPr>
          <w:color w:val="231F20"/>
          <w:spacing w:val="-1"/>
          <w:vertAlign w:val="baseline"/>
        </w:rPr>
        <w:t> </w:t>
      </w:r>
      <w:r>
        <w:rPr>
          <w:color w:val="231F20"/>
          <w:vertAlign w:val="baseline"/>
        </w:rPr>
        <w:t>counseling via</w:t>
      </w:r>
      <w:r>
        <w:rPr>
          <w:color w:val="231F20"/>
          <w:spacing w:val="-1"/>
          <w:vertAlign w:val="baseline"/>
        </w:rPr>
        <w:t> </w:t>
      </w:r>
      <w:r>
        <w:rPr>
          <w:color w:val="231F20"/>
          <w:vertAlign w:val="baseline"/>
        </w:rPr>
        <w:t>telehealth.</w:t>
      </w:r>
      <w:r>
        <w:rPr>
          <w:color w:val="231F20"/>
          <w:vertAlign w:val="superscript"/>
        </w:rPr>
        <w:t>21</w:t>
      </w:r>
    </w:p>
    <w:p>
      <w:pPr>
        <w:pStyle w:val="BodyText"/>
        <w:spacing w:line="266" w:lineRule="auto" w:before="91"/>
        <w:ind w:left="120" w:right="846"/>
      </w:pPr>
      <w:r>
        <w:rPr/>
        <w:br w:type="column"/>
      </w:r>
      <w:r>
        <w:rPr>
          <w:color w:val="231F20"/>
        </w:rPr>
        <w:t>As a result of changing regulations, evidence for the</w:t>
      </w:r>
      <w:r>
        <w:rPr>
          <w:color w:val="231F20"/>
          <w:spacing w:val="1"/>
        </w:rPr>
        <w:t> </w:t>
      </w:r>
      <w:r>
        <w:rPr>
          <w:color w:val="231F20"/>
        </w:rPr>
        <w:t>provision of MAT solely through telehealth modalities</w:t>
      </w:r>
      <w:r>
        <w:rPr>
          <w:color w:val="231F20"/>
          <w:spacing w:val="1"/>
        </w:rPr>
        <w:t> </w:t>
      </w:r>
      <w:r>
        <w:rPr>
          <w:color w:val="231F20"/>
        </w:rPr>
        <w:t>is limited. Studies included in the review (below)</w:t>
      </w:r>
      <w:r>
        <w:rPr>
          <w:color w:val="231F20"/>
          <w:spacing w:val="1"/>
        </w:rPr>
        <w:t> </w:t>
      </w:r>
      <w:r>
        <w:rPr>
          <w:color w:val="231F20"/>
        </w:rPr>
        <w:t>examined</w:t>
      </w:r>
      <w:r>
        <w:rPr>
          <w:color w:val="231F20"/>
          <w:spacing w:val="-8"/>
        </w:rPr>
        <w:t> </w:t>
      </w:r>
      <w:r>
        <w:rPr>
          <w:color w:val="231F20"/>
        </w:rPr>
        <w:t>multiple</w:t>
      </w:r>
      <w:r>
        <w:rPr>
          <w:color w:val="231F20"/>
          <w:spacing w:val="-8"/>
        </w:rPr>
        <w:t> </w:t>
      </w:r>
      <w:r>
        <w:rPr>
          <w:color w:val="231F20"/>
        </w:rPr>
        <w:t>components</w:t>
      </w:r>
      <w:r>
        <w:rPr>
          <w:color w:val="231F20"/>
          <w:spacing w:val="-8"/>
        </w:rPr>
        <w:t> </w:t>
      </w:r>
      <w:r>
        <w:rPr>
          <w:color w:val="231F20"/>
        </w:rPr>
        <w:t>of</w:t>
      </w:r>
      <w:r>
        <w:rPr>
          <w:color w:val="231F20"/>
          <w:spacing w:val="-8"/>
        </w:rPr>
        <w:t> </w:t>
      </w:r>
      <w:r>
        <w:rPr>
          <w:color w:val="231F20"/>
        </w:rPr>
        <w:t>MAT,</w:t>
      </w:r>
      <w:r>
        <w:rPr>
          <w:color w:val="231F20"/>
          <w:spacing w:val="-8"/>
        </w:rPr>
        <w:t> </w:t>
      </w:r>
      <w:r>
        <w:rPr>
          <w:color w:val="231F20"/>
        </w:rPr>
        <w:t>some</w:t>
      </w:r>
      <w:r>
        <w:rPr>
          <w:color w:val="231F20"/>
          <w:spacing w:val="-8"/>
        </w:rPr>
        <w:t> </w:t>
      </w:r>
      <w:r>
        <w:rPr>
          <w:color w:val="231F20"/>
        </w:rPr>
        <w:t>of</w:t>
      </w:r>
      <w:r>
        <w:rPr>
          <w:color w:val="231F20"/>
          <w:spacing w:val="-8"/>
        </w:rPr>
        <w:t> </w:t>
      </w:r>
      <w:r>
        <w:rPr>
          <w:color w:val="231F20"/>
        </w:rPr>
        <w:t>which</w:t>
      </w:r>
    </w:p>
    <w:p>
      <w:pPr>
        <w:pStyle w:val="BodyText"/>
        <w:spacing w:line="266" w:lineRule="auto"/>
        <w:ind w:left="120" w:right="724"/>
      </w:pPr>
      <w:r>
        <w:rPr/>
        <w:drawing>
          <wp:anchor distT="0" distB="0" distL="0" distR="0" allowOverlap="1" layoutInCell="1" locked="0" behindDoc="0" simplePos="0" relativeHeight="15741952">
            <wp:simplePos x="0" y="0"/>
            <wp:positionH relativeFrom="page">
              <wp:posOffset>4114800</wp:posOffset>
            </wp:positionH>
            <wp:positionV relativeFrom="paragraph">
              <wp:posOffset>785175</wp:posOffset>
            </wp:positionV>
            <wp:extent cx="3200400" cy="6583677"/>
            <wp:effectExtent l="0" t="0" r="0" b="0"/>
            <wp:wrapNone/>
            <wp:docPr id="17" name="image12.png" descr="Picture of a person pouring prescription pills into their hand.  "/>
            <wp:cNvGraphicFramePr>
              <a:graphicFrameLocks noChangeAspect="1"/>
            </wp:cNvGraphicFramePr>
            <a:graphic>
              <a:graphicData uri="http://schemas.openxmlformats.org/drawingml/2006/picture">
                <pic:pic>
                  <pic:nvPicPr>
                    <pic:cNvPr id="18" name="image12.png"/>
                    <pic:cNvPicPr/>
                  </pic:nvPicPr>
                  <pic:blipFill>
                    <a:blip r:embed="rId115" cstate="print"/>
                    <a:stretch>
                      <a:fillRect/>
                    </a:stretch>
                  </pic:blipFill>
                  <pic:spPr>
                    <a:xfrm>
                      <a:off x="0" y="0"/>
                      <a:ext cx="3200400" cy="6583677"/>
                    </a:xfrm>
                    <a:prstGeom prst="rect">
                      <a:avLst/>
                    </a:prstGeom>
                  </pic:spPr>
                </pic:pic>
              </a:graphicData>
            </a:graphic>
          </wp:anchor>
        </w:drawing>
      </w:r>
      <w:r>
        <w:rPr>
          <w:color w:val="231F20"/>
        </w:rPr>
        <w:t>are provided via telehealth modalities and others through</w:t>
      </w:r>
      <w:r>
        <w:rPr>
          <w:color w:val="231F20"/>
          <w:spacing w:val="-52"/>
        </w:rPr>
        <w:t> </w:t>
      </w:r>
      <w:r>
        <w:rPr>
          <w:color w:val="231F20"/>
        </w:rPr>
        <w:t>a hybrid approach (combination of in-person and</w:t>
      </w:r>
      <w:r>
        <w:rPr>
          <w:color w:val="231F20"/>
          <w:spacing w:val="1"/>
        </w:rPr>
        <w:t> </w:t>
      </w:r>
      <w:r>
        <w:rPr>
          <w:color w:val="231F20"/>
        </w:rPr>
        <w:t>telehealth approach).</w:t>
      </w:r>
    </w:p>
    <w:p>
      <w:pPr>
        <w:spacing w:after="0" w:line="266" w:lineRule="auto"/>
        <w:sectPr>
          <w:type w:val="continuous"/>
          <w:pgSz w:w="12240" w:h="15840"/>
          <w:pgMar w:header="0" w:footer="666" w:top="1500" w:bottom="0" w:left="600" w:right="0"/>
          <w:cols w:num="2" w:equalWidth="0">
            <w:col w:w="5201" w:space="559"/>
            <w:col w:w="5880"/>
          </w:cols>
        </w:sectPr>
      </w:pPr>
    </w:p>
    <w:p>
      <w:pPr>
        <w:pStyle w:val="BodyText"/>
        <w:rPr>
          <w:sz w:val="20"/>
        </w:rPr>
      </w:pPr>
    </w:p>
    <w:p>
      <w:pPr>
        <w:pStyle w:val="BodyText"/>
        <w:spacing w:before="6"/>
        <w:rPr>
          <w:sz w:val="27"/>
        </w:rPr>
      </w:pPr>
    </w:p>
    <w:p>
      <w:pPr>
        <w:pStyle w:val="Heading5"/>
      </w:pPr>
      <w:r>
        <w:rPr/>
        <w:drawing>
          <wp:anchor distT="0" distB="0" distL="0" distR="0" allowOverlap="1" layoutInCell="1" locked="0" behindDoc="0" simplePos="0" relativeHeight="27">
            <wp:simplePos x="0" y="0"/>
            <wp:positionH relativeFrom="page">
              <wp:posOffset>457200</wp:posOffset>
            </wp:positionH>
            <wp:positionV relativeFrom="paragraph">
              <wp:posOffset>251467</wp:posOffset>
            </wp:positionV>
            <wp:extent cx="2979105" cy="384048"/>
            <wp:effectExtent l="0" t="0" r="0" b="0"/>
            <wp:wrapTopAndBottom/>
            <wp:docPr id="19" name="image13.jpeg" descr="cid:image001.jpg@01D61F4B.126956F0"/>
            <wp:cNvGraphicFramePr>
              <a:graphicFrameLocks noChangeAspect="1"/>
            </wp:cNvGraphicFramePr>
            <a:graphic>
              <a:graphicData uri="http://schemas.openxmlformats.org/drawingml/2006/picture">
                <pic:pic>
                  <pic:nvPicPr>
                    <pic:cNvPr id="20" name="image13.jpeg"/>
                    <pic:cNvPicPr/>
                  </pic:nvPicPr>
                  <pic:blipFill>
                    <a:blip r:embed="rId116" cstate="print"/>
                    <a:stretch>
                      <a:fillRect/>
                    </a:stretch>
                  </pic:blipFill>
                  <pic:spPr>
                    <a:xfrm>
                      <a:off x="0" y="0"/>
                      <a:ext cx="2979105" cy="384048"/>
                    </a:xfrm>
                    <a:prstGeom prst="rect">
                      <a:avLst/>
                    </a:prstGeom>
                  </pic:spPr>
                </pic:pic>
              </a:graphicData>
            </a:graphic>
          </wp:anchor>
        </w:drawing>
      </w:r>
      <w:bookmarkStart w:name="Medication-Assisted Treatment using a hy" w:id="19"/>
      <w:bookmarkEnd w:id="19"/>
      <w:r>
        <w:rPr>
          <w:b w:val="0"/>
        </w:rPr>
      </w:r>
      <w:r>
        <w:rPr>
          <w:color w:val="CE384B"/>
        </w:rPr>
        <w:t>Medication-Assisted</w:t>
      </w:r>
      <w:r>
        <w:rPr>
          <w:color w:val="CE384B"/>
          <w:spacing w:val="-2"/>
        </w:rPr>
        <w:t> </w:t>
      </w:r>
      <w:r>
        <w:rPr>
          <w:color w:val="CE384B"/>
        </w:rPr>
        <w:t>Treatment</w:t>
      </w:r>
      <w:r>
        <w:rPr>
          <w:color w:val="CE384B"/>
          <w:spacing w:val="-2"/>
        </w:rPr>
        <w:t> </w:t>
      </w:r>
      <w:r>
        <w:rPr>
          <w:color w:val="CE384B"/>
        </w:rPr>
        <w:t>using</w:t>
      </w:r>
      <w:r>
        <w:rPr>
          <w:color w:val="CE384B"/>
          <w:spacing w:val="-1"/>
        </w:rPr>
        <w:t> </w:t>
      </w:r>
      <w:r>
        <w:rPr>
          <w:color w:val="CE384B"/>
        </w:rPr>
        <w:t>a</w:t>
      </w:r>
      <w:r>
        <w:rPr>
          <w:color w:val="CE384B"/>
          <w:spacing w:val="-2"/>
        </w:rPr>
        <w:t> </w:t>
      </w:r>
      <w:r>
        <w:rPr>
          <w:color w:val="CE384B"/>
        </w:rPr>
        <w:t>hybrid</w:t>
      </w:r>
      <w:r>
        <w:rPr>
          <w:color w:val="CE384B"/>
          <w:spacing w:val="-2"/>
        </w:rPr>
        <w:t> </w:t>
      </w:r>
      <w:r>
        <w:rPr>
          <w:color w:val="CE384B"/>
        </w:rPr>
        <w:t>telehealth</w:t>
      </w:r>
      <w:r>
        <w:rPr>
          <w:color w:val="CE384B"/>
          <w:spacing w:val="-1"/>
        </w:rPr>
        <w:t> </w:t>
      </w:r>
      <w:r>
        <w:rPr>
          <w:color w:val="CE384B"/>
        </w:rPr>
        <w:t>and</w:t>
      </w:r>
      <w:r>
        <w:rPr>
          <w:color w:val="CE384B"/>
          <w:spacing w:val="-2"/>
        </w:rPr>
        <w:t> </w:t>
      </w:r>
      <w:r>
        <w:rPr>
          <w:color w:val="CE384B"/>
        </w:rPr>
        <w:t>in-person</w:t>
      </w:r>
      <w:r>
        <w:rPr>
          <w:color w:val="CE384B"/>
          <w:spacing w:val="-1"/>
        </w:rPr>
        <w:t> </w:t>
      </w:r>
      <w:r>
        <w:rPr>
          <w:color w:val="CE384B"/>
        </w:rPr>
        <w:t>approach</w:t>
      </w:r>
    </w:p>
    <w:p>
      <w:pPr>
        <w:pStyle w:val="BodyText"/>
        <w:spacing w:before="5"/>
        <w:rPr>
          <w:rFonts w:ascii="Arial"/>
          <w:b/>
          <w:sz w:val="8"/>
        </w:rPr>
      </w:pPr>
    </w:p>
    <w:tbl>
      <w:tblPr>
        <w:tblW w:w="0" w:type="auto"/>
        <w:jc w:val="left"/>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980"/>
        <w:gridCol w:w="8805"/>
      </w:tblGrid>
      <w:tr>
        <w:trPr>
          <w:trHeight w:val="535" w:hRule="atLeast"/>
        </w:trPr>
        <w:tc>
          <w:tcPr>
            <w:tcW w:w="1980" w:type="dxa"/>
          </w:tcPr>
          <w:p>
            <w:pPr>
              <w:pStyle w:val="TableParagraph"/>
              <w:spacing w:before="33"/>
              <w:ind w:left="80"/>
              <w:rPr>
                <w:b/>
                <w:sz w:val="20"/>
              </w:rPr>
            </w:pPr>
            <w:r>
              <w:rPr>
                <w:b/>
                <w:color w:val="231F20"/>
                <w:sz w:val="20"/>
              </w:rPr>
              <w:t>Health</w:t>
            </w:r>
            <w:r>
              <w:rPr>
                <w:b/>
                <w:color w:val="231F20"/>
                <w:spacing w:val="-1"/>
                <w:sz w:val="20"/>
              </w:rPr>
              <w:t> </w:t>
            </w:r>
            <w:r>
              <w:rPr>
                <w:b/>
                <w:color w:val="231F20"/>
                <w:sz w:val="20"/>
              </w:rPr>
              <w:t>outcomes</w:t>
            </w:r>
          </w:p>
        </w:tc>
        <w:tc>
          <w:tcPr>
            <w:tcW w:w="8805" w:type="dxa"/>
          </w:tcPr>
          <w:p>
            <w:pPr>
              <w:pStyle w:val="TableParagraph"/>
              <w:numPr>
                <w:ilvl w:val="0"/>
                <w:numId w:val="15"/>
              </w:numPr>
              <w:tabs>
                <w:tab w:pos="439" w:val="left" w:leader="none"/>
                <w:tab w:pos="440" w:val="left" w:leader="none"/>
              </w:tabs>
              <w:spacing w:line="247" w:lineRule="auto" w:before="19" w:after="0"/>
              <w:ind w:left="440" w:right="474" w:hanging="361"/>
              <w:jc w:val="left"/>
              <w:rPr>
                <w:sz w:val="11"/>
              </w:rPr>
            </w:pPr>
            <w:r>
              <w:rPr>
                <w:color w:val="231F20"/>
                <w:sz w:val="20"/>
              </w:rPr>
              <w:t>Reduction in rates of positive urine drug screens over course of study</w:t>
            </w:r>
            <w:r>
              <w:rPr>
                <w:color w:val="231F20"/>
                <w:position w:val="7"/>
                <w:sz w:val="11"/>
              </w:rPr>
              <w:t>22</w:t>
            </w:r>
            <w:r>
              <w:rPr>
                <w:color w:val="231F20"/>
                <w:spacing w:val="1"/>
                <w:position w:val="7"/>
                <w:sz w:val="11"/>
              </w:rPr>
              <w:t> </w:t>
            </w:r>
            <w:r>
              <w:rPr>
                <w:color w:val="231F20"/>
                <w:sz w:val="20"/>
              </w:rPr>
              <w:t>and no significant</w:t>
            </w:r>
            <w:r>
              <w:rPr>
                <w:color w:val="231F20"/>
                <w:spacing w:val="-53"/>
                <w:sz w:val="20"/>
              </w:rPr>
              <w:t> </w:t>
            </w:r>
            <w:r>
              <w:rPr>
                <w:color w:val="231F20"/>
                <w:sz w:val="20"/>
              </w:rPr>
              <w:t>difference</w:t>
            </w:r>
            <w:r>
              <w:rPr>
                <w:color w:val="231F20"/>
                <w:spacing w:val="-3"/>
                <w:sz w:val="20"/>
              </w:rPr>
              <w:t> </w:t>
            </w:r>
            <w:r>
              <w:rPr>
                <w:color w:val="231F20"/>
                <w:sz w:val="20"/>
              </w:rPr>
              <w:t>in</w:t>
            </w:r>
            <w:r>
              <w:rPr>
                <w:color w:val="231F20"/>
                <w:spacing w:val="-2"/>
                <w:sz w:val="20"/>
              </w:rPr>
              <w:t> </w:t>
            </w:r>
            <w:r>
              <w:rPr>
                <w:color w:val="231F20"/>
                <w:sz w:val="20"/>
              </w:rPr>
              <w:t>positive</w:t>
            </w:r>
            <w:r>
              <w:rPr>
                <w:color w:val="231F20"/>
                <w:spacing w:val="-2"/>
                <w:sz w:val="20"/>
              </w:rPr>
              <w:t> </w:t>
            </w:r>
            <w:r>
              <w:rPr>
                <w:color w:val="231F20"/>
                <w:sz w:val="20"/>
              </w:rPr>
              <w:t>urine</w:t>
            </w:r>
            <w:r>
              <w:rPr>
                <w:color w:val="231F20"/>
                <w:spacing w:val="-2"/>
                <w:sz w:val="20"/>
              </w:rPr>
              <w:t> </w:t>
            </w:r>
            <w:r>
              <w:rPr>
                <w:color w:val="231F20"/>
                <w:sz w:val="20"/>
              </w:rPr>
              <w:t>screens</w:t>
            </w:r>
            <w:r>
              <w:rPr>
                <w:color w:val="231F20"/>
                <w:spacing w:val="-1"/>
                <w:sz w:val="20"/>
              </w:rPr>
              <w:t> </w:t>
            </w:r>
            <w:r>
              <w:rPr>
                <w:color w:val="231F20"/>
                <w:sz w:val="20"/>
              </w:rPr>
              <w:t>between</w:t>
            </w:r>
            <w:r>
              <w:rPr>
                <w:color w:val="231F20"/>
                <w:spacing w:val="-2"/>
                <w:sz w:val="20"/>
              </w:rPr>
              <w:t> </w:t>
            </w:r>
            <w:r>
              <w:rPr>
                <w:color w:val="231F20"/>
                <w:sz w:val="20"/>
              </w:rPr>
              <w:t>in-person</w:t>
            </w:r>
            <w:r>
              <w:rPr>
                <w:color w:val="231F20"/>
                <w:spacing w:val="-3"/>
                <w:sz w:val="20"/>
              </w:rPr>
              <w:t> </w:t>
            </w:r>
            <w:r>
              <w:rPr>
                <w:color w:val="231F20"/>
                <w:sz w:val="20"/>
              </w:rPr>
              <w:t>and</w:t>
            </w:r>
            <w:r>
              <w:rPr>
                <w:color w:val="231F20"/>
                <w:spacing w:val="-2"/>
                <w:sz w:val="20"/>
              </w:rPr>
              <w:t> </w:t>
            </w:r>
            <w:r>
              <w:rPr>
                <w:color w:val="231F20"/>
                <w:sz w:val="20"/>
              </w:rPr>
              <w:t>telehealth</w:t>
            </w:r>
            <w:r>
              <w:rPr>
                <w:color w:val="231F20"/>
                <w:spacing w:val="-1"/>
                <w:sz w:val="20"/>
              </w:rPr>
              <w:t> </w:t>
            </w:r>
            <w:r>
              <w:rPr>
                <w:color w:val="231F20"/>
                <w:sz w:val="20"/>
              </w:rPr>
              <w:t>groups</w:t>
            </w:r>
            <w:r>
              <w:rPr>
                <w:color w:val="231F20"/>
                <w:position w:val="7"/>
                <w:sz w:val="11"/>
              </w:rPr>
              <w:t>22,</w:t>
            </w:r>
            <w:r>
              <w:rPr>
                <w:color w:val="231F20"/>
                <w:spacing w:val="1"/>
                <w:position w:val="7"/>
                <w:sz w:val="11"/>
              </w:rPr>
              <w:t> </w:t>
            </w:r>
            <w:r>
              <w:rPr>
                <w:color w:val="231F20"/>
                <w:position w:val="7"/>
                <w:sz w:val="11"/>
              </w:rPr>
              <w:t>23</w:t>
            </w:r>
          </w:p>
        </w:tc>
      </w:tr>
      <w:tr>
        <w:trPr>
          <w:trHeight w:val="1105" w:hRule="atLeast"/>
        </w:trPr>
        <w:tc>
          <w:tcPr>
            <w:tcW w:w="1980" w:type="dxa"/>
          </w:tcPr>
          <w:p>
            <w:pPr>
              <w:pStyle w:val="TableParagraph"/>
              <w:spacing w:before="33"/>
              <w:ind w:left="80"/>
              <w:rPr>
                <w:b/>
                <w:sz w:val="20"/>
              </w:rPr>
            </w:pPr>
            <w:r>
              <w:rPr>
                <w:b/>
                <w:color w:val="231F20"/>
                <w:sz w:val="20"/>
              </w:rPr>
              <w:t>Telehealth-specific</w:t>
            </w:r>
          </w:p>
          <w:p>
            <w:pPr>
              <w:pStyle w:val="TableParagraph"/>
              <w:spacing w:before="10"/>
              <w:ind w:left="80"/>
              <w:rPr>
                <w:b/>
                <w:sz w:val="20"/>
              </w:rPr>
            </w:pPr>
            <w:r>
              <w:rPr>
                <w:b/>
                <w:color w:val="231F20"/>
                <w:sz w:val="20"/>
              </w:rPr>
              <w:t>outcomes</w:t>
            </w:r>
          </w:p>
        </w:tc>
        <w:tc>
          <w:tcPr>
            <w:tcW w:w="8805" w:type="dxa"/>
          </w:tcPr>
          <w:p>
            <w:pPr>
              <w:pStyle w:val="TableParagraph"/>
              <w:spacing w:before="33"/>
              <w:ind w:left="80"/>
              <w:rPr>
                <w:sz w:val="20"/>
              </w:rPr>
            </w:pPr>
            <w:r>
              <w:rPr>
                <w:color w:val="231F20"/>
                <w:sz w:val="20"/>
              </w:rPr>
              <w:t>When</w:t>
            </w:r>
            <w:r>
              <w:rPr>
                <w:color w:val="231F20"/>
                <w:spacing w:val="-1"/>
                <w:sz w:val="20"/>
              </w:rPr>
              <w:t> </w:t>
            </w:r>
            <w:r>
              <w:rPr>
                <w:color w:val="231F20"/>
                <w:sz w:val="20"/>
              </w:rPr>
              <w:t>compared to in-person treatments:</w:t>
            </w:r>
          </w:p>
          <w:p>
            <w:pPr>
              <w:pStyle w:val="TableParagraph"/>
              <w:numPr>
                <w:ilvl w:val="0"/>
                <w:numId w:val="16"/>
              </w:numPr>
              <w:tabs>
                <w:tab w:pos="439" w:val="left" w:leader="none"/>
                <w:tab w:pos="440" w:val="left" w:leader="none"/>
              </w:tabs>
              <w:spacing w:line="243" w:lineRule="exact" w:before="86" w:after="0"/>
              <w:ind w:left="440" w:right="0" w:hanging="360"/>
              <w:jc w:val="left"/>
              <w:rPr>
                <w:sz w:val="11"/>
              </w:rPr>
            </w:pPr>
            <w:r>
              <w:rPr>
                <w:color w:val="231F20"/>
                <w:sz w:val="20"/>
              </w:rPr>
              <w:t>No</w:t>
            </w:r>
            <w:r>
              <w:rPr>
                <w:color w:val="231F20"/>
                <w:spacing w:val="-2"/>
                <w:sz w:val="20"/>
              </w:rPr>
              <w:t> </w:t>
            </w:r>
            <w:r>
              <w:rPr>
                <w:color w:val="231F20"/>
                <w:sz w:val="20"/>
              </w:rPr>
              <w:t>significant difference</w:t>
            </w:r>
            <w:r>
              <w:rPr>
                <w:color w:val="231F20"/>
                <w:spacing w:val="-1"/>
                <w:sz w:val="20"/>
              </w:rPr>
              <w:t> </w:t>
            </w:r>
            <w:r>
              <w:rPr>
                <w:color w:val="231F20"/>
                <w:sz w:val="20"/>
              </w:rPr>
              <w:t>in</w:t>
            </w:r>
            <w:r>
              <w:rPr>
                <w:color w:val="231F20"/>
                <w:spacing w:val="-1"/>
                <w:sz w:val="20"/>
              </w:rPr>
              <w:t> </w:t>
            </w:r>
            <w:r>
              <w:rPr>
                <w:color w:val="231F20"/>
                <w:sz w:val="20"/>
              </w:rPr>
              <w:t>retention</w:t>
            </w:r>
            <w:r>
              <w:rPr>
                <w:color w:val="231F20"/>
                <w:position w:val="7"/>
                <w:sz w:val="11"/>
              </w:rPr>
              <w:t>22</w:t>
            </w:r>
            <w:r>
              <w:rPr>
                <w:color w:val="231F20"/>
                <w:spacing w:val="24"/>
                <w:position w:val="7"/>
                <w:sz w:val="11"/>
              </w:rPr>
              <w:t> </w:t>
            </w:r>
            <w:r>
              <w:rPr>
                <w:color w:val="231F20"/>
                <w:sz w:val="20"/>
              </w:rPr>
              <w:t>and counseling attendance rates</w:t>
            </w:r>
            <w:r>
              <w:rPr>
                <w:color w:val="231F20"/>
                <w:position w:val="7"/>
                <w:sz w:val="11"/>
              </w:rPr>
              <w:t>23</w:t>
            </w:r>
          </w:p>
          <w:p>
            <w:pPr>
              <w:pStyle w:val="TableParagraph"/>
              <w:numPr>
                <w:ilvl w:val="0"/>
                <w:numId w:val="16"/>
              </w:numPr>
              <w:tabs>
                <w:tab w:pos="439" w:val="left" w:leader="none"/>
                <w:tab w:pos="441" w:val="left" w:leader="none"/>
              </w:tabs>
              <w:spacing w:line="240" w:lineRule="exact" w:before="0" w:after="0"/>
              <w:ind w:left="440" w:right="0" w:hanging="361"/>
              <w:jc w:val="left"/>
              <w:rPr>
                <w:sz w:val="11"/>
              </w:rPr>
            </w:pPr>
            <w:r>
              <w:rPr>
                <w:color w:val="231F20"/>
                <w:sz w:val="20"/>
              </w:rPr>
              <w:t>No</w:t>
            </w:r>
            <w:r>
              <w:rPr>
                <w:color w:val="231F20"/>
                <w:spacing w:val="-3"/>
                <w:sz w:val="20"/>
              </w:rPr>
              <w:t> </w:t>
            </w:r>
            <w:r>
              <w:rPr>
                <w:color w:val="231F20"/>
                <w:sz w:val="20"/>
              </w:rPr>
              <w:t>significant</w:t>
            </w:r>
            <w:r>
              <w:rPr>
                <w:color w:val="231F20"/>
                <w:spacing w:val="-2"/>
                <w:sz w:val="20"/>
              </w:rPr>
              <w:t> </w:t>
            </w:r>
            <w:r>
              <w:rPr>
                <w:color w:val="231F20"/>
                <w:sz w:val="20"/>
              </w:rPr>
              <w:t>difference</w:t>
            </w:r>
            <w:r>
              <w:rPr>
                <w:color w:val="231F20"/>
                <w:spacing w:val="-2"/>
                <w:sz w:val="20"/>
              </w:rPr>
              <w:t> </w:t>
            </w:r>
            <w:r>
              <w:rPr>
                <w:color w:val="231F20"/>
                <w:sz w:val="20"/>
              </w:rPr>
              <w:t>in</w:t>
            </w:r>
            <w:r>
              <w:rPr>
                <w:color w:val="231F20"/>
                <w:spacing w:val="-3"/>
                <w:sz w:val="20"/>
              </w:rPr>
              <w:t> </w:t>
            </w:r>
            <w:r>
              <w:rPr>
                <w:color w:val="231F20"/>
                <w:sz w:val="20"/>
              </w:rPr>
              <w:t>and</w:t>
            </w:r>
            <w:r>
              <w:rPr>
                <w:color w:val="231F20"/>
                <w:spacing w:val="-3"/>
                <w:sz w:val="20"/>
              </w:rPr>
              <w:t> </w:t>
            </w:r>
            <w:r>
              <w:rPr>
                <w:color w:val="231F20"/>
                <w:sz w:val="20"/>
              </w:rPr>
              <w:t>high</w:t>
            </w:r>
            <w:r>
              <w:rPr>
                <w:color w:val="231F20"/>
                <w:spacing w:val="-2"/>
                <w:sz w:val="20"/>
              </w:rPr>
              <w:t> </w:t>
            </w:r>
            <w:r>
              <w:rPr>
                <w:color w:val="231F20"/>
                <w:sz w:val="20"/>
              </w:rPr>
              <w:t>level</w:t>
            </w:r>
            <w:r>
              <w:rPr>
                <w:color w:val="231F20"/>
                <w:spacing w:val="-3"/>
                <w:sz w:val="20"/>
              </w:rPr>
              <w:t> </w:t>
            </w:r>
            <w:r>
              <w:rPr>
                <w:color w:val="231F20"/>
                <w:sz w:val="20"/>
              </w:rPr>
              <w:t>of</w:t>
            </w:r>
            <w:r>
              <w:rPr>
                <w:color w:val="231F20"/>
                <w:spacing w:val="-3"/>
                <w:sz w:val="20"/>
              </w:rPr>
              <w:t> </w:t>
            </w:r>
            <w:r>
              <w:rPr>
                <w:color w:val="231F20"/>
                <w:sz w:val="20"/>
              </w:rPr>
              <w:t>client</w:t>
            </w:r>
            <w:r>
              <w:rPr>
                <w:color w:val="231F20"/>
                <w:spacing w:val="-1"/>
                <w:sz w:val="20"/>
              </w:rPr>
              <w:t> </w:t>
            </w:r>
            <w:r>
              <w:rPr>
                <w:color w:val="231F20"/>
                <w:sz w:val="20"/>
              </w:rPr>
              <w:t>satisfaction</w:t>
            </w:r>
            <w:r>
              <w:rPr>
                <w:color w:val="231F20"/>
                <w:position w:val="7"/>
                <w:sz w:val="11"/>
              </w:rPr>
              <w:t>23</w:t>
            </w:r>
          </w:p>
          <w:p>
            <w:pPr>
              <w:pStyle w:val="TableParagraph"/>
              <w:numPr>
                <w:ilvl w:val="0"/>
                <w:numId w:val="16"/>
              </w:numPr>
              <w:tabs>
                <w:tab w:pos="439" w:val="left" w:leader="none"/>
                <w:tab w:pos="440" w:val="left" w:leader="none"/>
              </w:tabs>
              <w:spacing w:line="243" w:lineRule="exact" w:before="0" w:after="0"/>
              <w:ind w:left="440" w:right="0" w:hanging="360"/>
              <w:jc w:val="left"/>
              <w:rPr>
                <w:sz w:val="11"/>
              </w:rPr>
            </w:pPr>
            <w:r>
              <w:rPr>
                <w:color w:val="231F20"/>
                <w:spacing w:val="-1"/>
                <w:sz w:val="20"/>
              </w:rPr>
              <w:t>No</w:t>
            </w:r>
            <w:r>
              <w:rPr>
                <w:color w:val="231F20"/>
                <w:spacing w:val="-13"/>
                <w:sz w:val="20"/>
              </w:rPr>
              <w:t> </w:t>
            </w:r>
            <w:r>
              <w:rPr>
                <w:color w:val="231F20"/>
                <w:spacing w:val="-1"/>
                <w:sz w:val="20"/>
              </w:rPr>
              <w:t>significant</w:t>
            </w:r>
            <w:r>
              <w:rPr>
                <w:color w:val="231F20"/>
                <w:spacing w:val="-12"/>
                <w:sz w:val="20"/>
              </w:rPr>
              <w:t> </w:t>
            </w:r>
            <w:r>
              <w:rPr>
                <w:color w:val="231F20"/>
                <w:spacing w:val="-1"/>
                <w:sz w:val="20"/>
              </w:rPr>
              <w:t>difference</w:t>
            </w:r>
            <w:r>
              <w:rPr>
                <w:color w:val="231F20"/>
                <w:spacing w:val="-13"/>
                <w:sz w:val="20"/>
              </w:rPr>
              <w:t> </w:t>
            </w:r>
            <w:r>
              <w:rPr>
                <w:color w:val="231F20"/>
                <w:spacing w:val="-1"/>
                <w:sz w:val="20"/>
              </w:rPr>
              <w:t>in</w:t>
            </w:r>
            <w:r>
              <w:rPr>
                <w:color w:val="231F20"/>
                <w:spacing w:val="-13"/>
                <w:sz w:val="20"/>
              </w:rPr>
              <w:t> </w:t>
            </w:r>
            <w:r>
              <w:rPr>
                <w:color w:val="231F20"/>
                <w:spacing w:val="-1"/>
                <w:sz w:val="20"/>
              </w:rPr>
              <w:t>client</w:t>
            </w:r>
            <w:r>
              <w:rPr>
                <w:color w:val="231F20"/>
                <w:spacing w:val="-12"/>
                <w:sz w:val="20"/>
              </w:rPr>
              <w:t> </w:t>
            </w:r>
            <w:r>
              <w:rPr>
                <w:color w:val="231F20"/>
                <w:spacing w:val="-1"/>
                <w:sz w:val="20"/>
              </w:rPr>
              <w:t>and</w:t>
            </w:r>
            <w:r>
              <w:rPr>
                <w:color w:val="231F20"/>
                <w:spacing w:val="-13"/>
                <w:sz w:val="20"/>
              </w:rPr>
              <w:t> </w:t>
            </w:r>
            <w:r>
              <w:rPr>
                <w:color w:val="231F20"/>
                <w:spacing w:val="-1"/>
                <w:sz w:val="20"/>
              </w:rPr>
              <w:t>provider</w:t>
            </w:r>
            <w:r>
              <w:rPr>
                <w:color w:val="231F20"/>
                <w:spacing w:val="-13"/>
                <w:sz w:val="20"/>
              </w:rPr>
              <w:t> </w:t>
            </w:r>
            <w:r>
              <w:rPr>
                <w:color w:val="231F20"/>
                <w:spacing w:val="-1"/>
                <w:sz w:val="20"/>
              </w:rPr>
              <w:t>ratings</w:t>
            </w:r>
            <w:r>
              <w:rPr>
                <w:color w:val="231F20"/>
                <w:spacing w:val="-12"/>
                <w:sz w:val="20"/>
              </w:rPr>
              <w:t> </w:t>
            </w:r>
            <w:r>
              <w:rPr>
                <w:color w:val="231F20"/>
                <w:spacing w:val="-1"/>
                <w:sz w:val="20"/>
              </w:rPr>
              <w:t>of</w:t>
            </w:r>
            <w:r>
              <w:rPr>
                <w:color w:val="231F20"/>
                <w:spacing w:val="-12"/>
                <w:sz w:val="20"/>
              </w:rPr>
              <w:t> </w:t>
            </w:r>
            <w:r>
              <w:rPr>
                <w:color w:val="231F20"/>
                <w:spacing w:val="-1"/>
                <w:sz w:val="20"/>
              </w:rPr>
              <w:t>therapeutic</w:t>
            </w:r>
            <w:r>
              <w:rPr>
                <w:color w:val="231F20"/>
                <w:spacing w:val="-13"/>
                <w:sz w:val="20"/>
              </w:rPr>
              <w:t> </w:t>
            </w:r>
            <w:r>
              <w:rPr>
                <w:color w:val="231F20"/>
                <w:sz w:val="20"/>
              </w:rPr>
              <w:t>alliance</w:t>
            </w:r>
            <w:r>
              <w:rPr>
                <w:color w:val="231F20"/>
                <w:position w:val="7"/>
                <w:sz w:val="11"/>
              </w:rPr>
              <w:t>23</w:t>
            </w:r>
          </w:p>
        </w:tc>
      </w:tr>
      <w:tr>
        <w:trPr>
          <w:trHeight w:val="775" w:hRule="atLeast"/>
        </w:trPr>
        <w:tc>
          <w:tcPr>
            <w:tcW w:w="1980" w:type="dxa"/>
          </w:tcPr>
          <w:p>
            <w:pPr>
              <w:pStyle w:val="TableParagraph"/>
              <w:spacing w:line="249" w:lineRule="auto" w:before="33"/>
              <w:ind w:left="80" w:right="321"/>
              <w:jc w:val="both"/>
              <w:rPr>
                <w:b/>
                <w:sz w:val="20"/>
              </w:rPr>
            </w:pPr>
            <w:r>
              <w:rPr>
                <w:b/>
                <w:color w:val="231F20"/>
                <w:sz w:val="20"/>
              </w:rPr>
              <w:t>Populations that</w:t>
            </w:r>
            <w:r>
              <w:rPr>
                <w:b/>
                <w:color w:val="231F20"/>
                <w:spacing w:val="-54"/>
                <w:sz w:val="20"/>
              </w:rPr>
              <w:t> </w:t>
            </w:r>
            <w:r>
              <w:rPr>
                <w:b/>
                <w:color w:val="231F20"/>
                <w:sz w:val="20"/>
              </w:rPr>
              <w:t>benefit from the</w:t>
            </w:r>
            <w:r>
              <w:rPr>
                <w:b/>
                <w:color w:val="231F20"/>
                <w:spacing w:val="1"/>
                <w:sz w:val="20"/>
              </w:rPr>
              <w:t> </w:t>
            </w:r>
            <w:r>
              <w:rPr>
                <w:b/>
                <w:color w:val="231F20"/>
                <w:sz w:val="20"/>
              </w:rPr>
              <w:t>treatment</w:t>
            </w:r>
          </w:p>
        </w:tc>
        <w:tc>
          <w:tcPr>
            <w:tcW w:w="8805" w:type="dxa"/>
          </w:tcPr>
          <w:p>
            <w:pPr>
              <w:pStyle w:val="TableParagraph"/>
              <w:numPr>
                <w:ilvl w:val="0"/>
                <w:numId w:val="17"/>
              </w:numPr>
              <w:tabs>
                <w:tab w:pos="439" w:val="left" w:leader="none"/>
                <w:tab w:pos="440" w:val="left" w:leader="none"/>
              </w:tabs>
              <w:spacing w:line="243" w:lineRule="exact" w:before="19" w:after="0"/>
              <w:ind w:left="440" w:right="0" w:hanging="360"/>
              <w:jc w:val="left"/>
              <w:rPr>
                <w:sz w:val="11"/>
              </w:rPr>
            </w:pPr>
            <w:r>
              <w:rPr>
                <w:color w:val="231F20"/>
                <w:sz w:val="20"/>
              </w:rPr>
              <w:t>People</w:t>
            </w:r>
            <w:r>
              <w:rPr>
                <w:color w:val="231F20"/>
                <w:spacing w:val="2"/>
                <w:sz w:val="20"/>
              </w:rPr>
              <w:t> </w:t>
            </w:r>
            <w:r>
              <w:rPr>
                <w:color w:val="231F20"/>
                <w:sz w:val="20"/>
              </w:rPr>
              <w:t>living</w:t>
            </w:r>
            <w:r>
              <w:rPr>
                <w:color w:val="231F20"/>
                <w:spacing w:val="2"/>
                <w:sz w:val="20"/>
              </w:rPr>
              <w:t> </w:t>
            </w:r>
            <w:r>
              <w:rPr>
                <w:color w:val="231F20"/>
                <w:sz w:val="20"/>
              </w:rPr>
              <w:t>with</w:t>
            </w:r>
            <w:r>
              <w:rPr>
                <w:color w:val="231F20"/>
                <w:spacing w:val="2"/>
                <w:sz w:val="20"/>
              </w:rPr>
              <w:t> </w:t>
            </w:r>
            <w:r>
              <w:rPr>
                <w:color w:val="231F20"/>
                <w:sz w:val="20"/>
              </w:rPr>
              <w:t>opioid</w:t>
            </w:r>
            <w:r>
              <w:rPr>
                <w:color w:val="231F20"/>
                <w:spacing w:val="3"/>
                <w:sz w:val="20"/>
              </w:rPr>
              <w:t> </w:t>
            </w:r>
            <w:r>
              <w:rPr>
                <w:color w:val="231F20"/>
                <w:sz w:val="20"/>
              </w:rPr>
              <w:t>use</w:t>
            </w:r>
            <w:r>
              <w:rPr>
                <w:color w:val="231F20"/>
                <w:spacing w:val="2"/>
                <w:sz w:val="20"/>
              </w:rPr>
              <w:t> </w:t>
            </w:r>
            <w:r>
              <w:rPr>
                <w:color w:val="231F20"/>
                <w:sz w:val="20"/>
              </w:rPr>
              <w:t>disorder</w:t>
            </w:r>
            <w:r>
              <w:rPr>
                <w:color w:val="231F20"/>
                <w:position w:val="7"/>
                <w:sz w:val="11"/>
              </w:rPr>
              <w:t>22,</w:t>
            </w:r>
            <w:r>
              <w:rPr>
                <w:color w:val="231F20"/>
                <w:spacing w:val="2"/>
                <w:position w:val="7"/>
                <w:sz w:val="11"/>
              </w:rPr>
              <w:t> </w:t>
            </w:r>
            <w:r>
              <w:rPr>
                <w:color w:val="231F20"/>
                <w:position w:val="7"/>
                <w:sz w:val="11"/>
              </w:rPr>
              <w:t>23</w:t>
            </w:r>
          </w:p>
          <w:p>
            <w:pPr>
              <w:pStyle w:val="TableParagraph"/>
              <w:numPr>
                <w:ilvl w:val="0"/>
                <w:numId w:val="17"/>
              </w:numPr>
              <w:tabs>
                <w:tab w:pos="439" w:val="left" w:leader="none"/>
                <w:tab w:pos="440" w:val="left" w:leader="none"/>
              </w:tabs>
              <w:spacing w:line="243" w:lineRule="exact" w:before="0" w:after="0"/>
              <w:ind w:left="440" w:right="0" w:hanging="361"/>
              <w:jc w:val="left"/>
              <w:rPr>
                <w:sz w:val="11"/>
              </w:rPr>
            </w:pPr>
            <w:r>
              <w:rPr>
                <w:color w:val="231F20"/>
                <w:sz w:val="20"/>
              </w:rPr>
              <w:t>Pregnant women</w:t>
            </w:r>
            <w:r>
              <w:rPr>
                <w:color w:val="231F20"/>
                <w:spacing w:val="1"/>
                <w:sz w:val="20"/>
              </w:rPr>
              <w:t> </w:t>
            </w:r>
            <w:r>
              <w:rPr>
                <w:color w:val="231F20"/>
                <w:sz w:val="20"/>
              </w:rPr>
              <w:t>living</w:t>
            </w:r>
            <w:r>
              <w:rPr>
                <w:color w:val="231F20"/>
                <w:spacing w:val="1"/>
                <w:sz w:val="20"/>
              </w:rPr>
              <w:t> </w:t>
            </w:r>
            <w:r>
              <w:rPr>
                <w:color w:val="231F20"/>
                <w:sz w:val="20"/>
              </w:rPr>
              <w:t>with</w:t>
            </w:r>
            <w:r>
              <w:rPr>
                <w:color w:val="231F20"/>
                <w:spacing w:val="1"/>
                <w:sz w:val="20"/>
              </w:rPr>
              <w:t> </w:t>
            </w:r>
            <w:r>
              <w:rPr>
                <w:color w:val="231F20"/>
                <w:sz w:val="20"/>
              </w:rPr>
              <w:t>opioid</w:t>
            </w:r>
            <w:r>
              <w:rPr>
                <w:color w:val="231F20"/>
                <w:spacing w:val="1"/>
                <w:sz w:val="20"/>
              </w:rPr>
              <w:t> </w:t>
            </w:r>
            <w:r>
              <w:rPr>
                <w:color w:val="231F20"/>
                <w:sz w:val="20"/>
              </w:rPr>
              <w:t>use</w:t>
            </w:r>
            <w:r>
              <w:rPr>
                <w:color w:val="231F20"/>
                <w:spacing w:val="1"/>
                <w:sz w:val="20"/>
              </w:rPr>
              <w:t> </w:t>
            </w:r>
            <w:r>
              <w:rPr>
                <w:color w:val="231F20"/>
                <w:sz w:val="20"/>
              </w:rPr>
              <w:t>disorder</w:t>
            </w:r>
            <w:r>
              <w:rPr>
                <w:color w:val="231F20"/>
                <w:position w:val="7"/>
                <w:sz w:val="11"/>
              </w:rPr>
              <w:t>22</w:t>
            </w:r>
          </w:p>
        </w:tc>
      </w:tr>
      <w:tr>
        <w:trPr>
          <w:trHeight w:val="2005" w:hRule="atLeast"/>
        </w:trPr>
        <w:tc>
          <w:tcPr>
            <w:tcW w:w="1980" w:type="dxa"/>
          </w:tcPr>
          <w:p>
            <w:pPr>
              <w:pStyle w:val="TableParagraph"/>
              <w:spacing w:line="249" w:lineRule="auto" w:before="33"/>
              <w:ind w:left="80" w:right="91"/>
              <w:rPr>
                <w:b/>
                <w:sz w:val="20"/>
              </w:rPr>
            </w:pPr>
            <w:r>
              <w:rPr>
                <w:b/>
                <w:color w:val="231F20"/>
                <w:sz w:val="20"/>
              </w:rPr>
              <w:t>Providers who can</w:t>
            </w:r>
            <w:r>
              <w:rPr>
                <w:b/>
                <w:color w:val="231F20"/>
                <w:spacing w:val="-54"/>
                <w:sz w:val="20"/>
              </w:rPr>
              <w:t> </w:t>
            </w:r>
            <w:r>
              <w:rPr>
                <w:b/>
                <w:color w:val="231F20"/>
                <w:sz w:val="20"/>
              </w:rPr>
              <w:t>offer intervention</w:t>
            </w:r>
            <w:r>
              <w:rPr>
                <w:b/>
                <w:color w:val="231F20"/>
                <w:spacing w:val="1"/>
                <w:sz w:val="20"/>
              </w:rPr>
              <w:t> </w:t>
            </w:r>
            <w:r>
              <w:rPr>
                <w:b/>
                <w:color w:val="231F20"/>
                <w:sz w:val="20"/>
              </w:rPr>
              <w:t>services</w:t>
            </w:r>
          </w:p>
        </w:tc>
        <w:tc>
          <w:tcPr>
            <w:tcW w:w="8805" w:type="dxa"/>
          </w:tcPr>
          <w:p>
            <w:pPr>
              <w:pStyle w:val="TableParagraph"/>
              <w:spacing w:line="249" w:lineRule="auto" w:before="33"/>
              <w:ind w:left="80"/>
              <w:rPr>
                <w:sz w:val="20"/>
              </w:rPr>
            </w:pPr>
            <w:r>
              <w:rPr>
                <w:color w:val="231F20"/>
                <w:sz w:val="20"/>
              </w:rPr>
              <w:t>A range of providers can implement MAT activities depending on both the specific activity they</w:t>
            </w:r>
            <w:r>
              <w:rPr>
                <w:color w:val="231F20"/>
                <w:spacing w:val="1"/>
                <w:sz w:val="20"/>
              </w:rPr>
              <w:t> </w:t>
            </w:r>
            <w:r>
              <w:rPr>
                <w:color w:val="231F20"/>
                <w:sz w:val="20"/>
              </w:rPr>
              <w:t>conduct,</w:t>
            </w:r>
            <w:r>
              <w:rPr>
                <w:color w:val="231F20"/>
                <w:spacing w:val="-3"/>
                <w:sz w:val="20"/>
              </w:rPr>
              <w:t> </w:t>
            </w:r>
            <w:r>
              <w:rPr>
                <w:color w:val="231F20"/>
                <w:sz w:val="20"/>
              </w:rPr>
              <w:t>the</w:t>
            </w:r>
            <w:r>
              <w:rPr>
                <w:color w:val="231F20"/>
                <w:spacing w:val="-3"/>
                <w:sz w:val="20"/>
              </w:rPr>
              <w:t> </w:t>
            </w:r>
            <w:r>
              <w:rPr>
                <w:color w:val="231F20"/>
                <w:sz w:val="20"/>
              </w:rPr>
              <w:t>location</w:t>
            </w:r>
            <w:r>
              <w:rPr>
                <w:color w:val="231F20"/>
                <w:spacing w:val="-4"/>
                <w:sz w:val="20"/>
              </w:rPr>
              <w:t> </w:t>
            </w:r>
            <w:r>
              <w:rPr>
                <w:color w:val="231F20"/>
                <w:sz w:val="20"/>
              </w:rPr>
              <w:t>of</w:t>
            </w:r>
            <w:r>
              <w:rPr>
                <w:color w:val="231F20"/>
                <w:spacing w:val="-4"/>
                <w:sz w:val="20"/>
              </w:rPr>
              <w:t> </w:t>
            </w:r>
            <w:r>
              <w:rPr>
                <w:color w:val="231F20"/>
                <w:sz w:val="20"/>
              </w:rPr>
              <w:t>the</w:t>
            </w:r>
            <w:r>
              <w:rPr>
                <w:color w:val="231F20"/>
                <w:spacing w:val="-2"/>
                <w:sz w:val="20"/>
              </w:rPr>
              <w:t> </w:t>
            </w:r>
            <w:r>
              <w:rPr>
                <w:color w:val="231F20"/>
                <w:sz w:val="20"/>
              </w:rPr>
              <w:t>prescriber</w:t>
            </w:r>
            <w:r>
              <w:rPr>
                <w:color w:val="231F20"/>
                <w:spacing w:val="-4"/>
                <w:sz w:val="20"/>
              </w:rPr>
              <w:t> </w:t>
            </w:r>
            <w:r>
              <w:rPr>
                <w:color w:val="231F20"/>
                <w:sz w:val="20"/>
              </w:rPr>
              <w:t>and</w:t>
            </w:r>
            <w:r>
              <w:rPr>
                <w:color w:val="231F20"/>
                <w:spacing w:val="-4"/>
                <w:sz w:val="20"/>
              </w:rPr>
              <w:t> </w:t>
            </w:r>
            <w:r>
              <w:rPr>
                <w:color w:val="231F20"/>
                <w:sz w:val="20"/>
              </w:rPr>
              <w:t>treatment</w:t>
            </w:r>
            <w:r>
              <w:rPr>
                <w:color w:val="231F20"/>
                <w:spacing w:val="-3"/>
                <w:sz w:val="20"/>
              </w:rPr>
              <w:t> </w:t>
            </w:r>
            <w:r>
              <w:rPr>
                <w:color w:val="231F20"/>
                <w:sz w:val="20"/>
              </w:rPr>
              <w:t>program,</w:t>
            </w:r>
            <w:r>
              <w:rPr>
                <w:color w:val="231F20"/>
                <w:spacing w:val="-4"/>
                <w:sz w:val="20"/>
              </w:rPr>
              <w:t> </w:t>
            </w:r>
            <w:r>
              <w:rPr>
                <w:color w:val="231F20"/>
                <w:sz w:val="20"/>
              </w:rPr>
              <w:t>and</w:t>
            </w:r>
            <w:r>
              <w:rPr>
                <w:color w:val="231F20"/>
                <w:spacing w:val="-3"/>
                <w:sz w:val="20"/>
              </w:rPr>
              <w:t> </w:t>
            </w:r>
            <w:r>
              <w:rPr>
                <w:color w:val="231F20"/>
                <w:sz w:val="20"/>
              </w:rPr>
              <w:t>the</w:t>
            </w:r>
            <w:r>
              <w:rPr>
                <w:color w:val="231F20"/>
                <w:spacing w:val="-3"/>
                <w:sz w:val="20"/>
              </w:rPr>
              <w:t> </w:t>
            </w:r>
            <w:r>
              <w:rPr>
                <w:color w:val="231F20"/>
                <w:sz w:val="20"/>
              </w:rPr>
              <w:t>type</w:t>
            </w:r>
            <w:r>
              <w:rPr>
                <w:color w:val="231F20"/>
                <w:spacing w:val="-3"/>
                <w:sz w:val="20"/>
              </w:rPr>
              <w:t> </w:t>
            </w:r>
            <w:r>
              <w:rPr>
                <w:color w:val="231F20"/>
                <w:sz w:val="20"/>
              </w:rPr>
              <w:t>of</w:t>
            </w:r>
            <w:r>
              <w:rPr>
                <w:color w:val="231F20"/>
                <w:spacing w:val="-4"/>
                <w:sz w:val="20"/>
              </w:rPr>
              <w:t> </w:t>
            </w:r>
            <w:r>
              <w:rPr>
                <w:color w:val="231F20"/>
                <w:sz w:val="20"/>
              </w:rPr>
              <w:t>medication</w:t>
            </w:r>
            <w:r>
              <w:rPr>
                <w:color w:val="231F20"/>
                <w:spacing w:val="-2"/>
                <w:sz w:val="20"/>
              </w:rPr>
              <w:t> </w:t>
            </w:r>
            <w:r>
              <w:rPr>
                <w:color w:val="231F20"/>
                <w:sz w:val="20"/>
              </w:rPr>
              <w:t>offered.</w:t>
            </w:r>
          </w:p>
          <w:p>
            <w:pPr>
              <w:pStyle w:val="TableParagraph"/>
              <w:spacing w:before="181"/>
              <w:ind w:left="80"/>
              <w:rPr>
                <w:sz w:val="20"/>
              </w:rPr>
            </w:pPr>
            <w:r>
              <w:rPr>
                <w:color w:val="231F20"/>
                <w:sz w:val="20"/>
              </w:rPr>
              <w:t>The</w:t>
            </w:r>
            <w:r>
              <w:rPr>
                <w:color w:val="231F20"/>
                <w:spacing w:val="-1"/>
                <w:sz w:val="20"/>
              </w:rPr>
              <w:t> </w:t>
            </w:r>
            <w:r>
              <w:rPr>
                <w:color w:val="231F20"/>
                <w:sz w:val="20"/>
              </w:rPr>
              <w:t>care team can include:</w:t>
            </w:r>
          </w:p>
          <w:p>
            <w:pPr>
              <w:pStyle w:val="TableParagraph"/>
              <w:numPr>
                <w:ilvl w:val="0"/>
                <w:numId w:val="18"/>
              </w:numPr>
              <w:tabs>
                <w:tab w:pos="439" w:val="left" w:leader="none"/>
                <w:tab w:pos="440" w:val="left" w:leader="none"/>
              </w:tabs>
              <w:spacing w:line="243" w:lineRule="exact" w:before="87" w:after="0"/>
              <w:ind w:left="440" w:right="0" w:hanging="360"/>
              <w:jc w:val="left"/>
              <w:rPr>
                <w:sz w:val="11"/>
              </w:rPr>
            </w:pPr>
            <w:r>
              <w:rPr>
                <w:color w:val="231F20"/>
                <w:sz w:val="20"/>
              </w:rPr>
              <w:t>Waivered</w:t>
            </w:r>
            <w:r>
              <w:rPr>
                <w:color w:val="231F20"/>
                <w:spacing w:val="1"/>
                <w:sz w:val="20"/>
              </w:rPr>
              <w:t> </w:t>
            </w:r>
            <w:r>
              <w:rPr>
                <w:color w:val="231F20"/>
                <w:sz w:val="20"/>
              </w:rPr>
              <w:t>prescribers</w:t>
            </w:r>
            <w:r>
              <w:rPr>
                <w:color w:val="231F20"/>
                <w:spacing w:val="2"/>
                <w:sz w:val="20"/>
              </w:rPr>
              <w:t> </w:t>
            </w:r>
            <w:r>
              <w:rPr>
                <w:color w:val="231F20"/>
                <w:sz w:val="20"/>
              </w:rPr>
              <w:t>at</w:t>
            </w:r>
            <w:r>
              <w:rPr>
                <w:color w:val="231F20"/>
                <w:spacing w:val="2"/>
                <w:sz w:val="20"/>
              </w:rPr>
              <w:t> </w:t>
            </w:r>
            <w:r>
              <w:rPr>
                <w:color w:val="231F20"/>
                <w:sz w:val="20"/>
              </w:rPr>
              <w:t>buprenorphine</w:t>
            </w:r>
            <w:r>
              <w:rPr>
                <w:color w:val="231F20"/>
                <w:position w:val="7"/>
                <w:sz w:val="11"/>
              </w:rPr>
              <w:t>18,</w:t>
            </w:r>
            <w:r>
              <w:rPr>
                <w:color w:val="231F20"/>
                <w:spacing w:val="2"/>
                <w:position w:val="7"/>
                <w:sz w:val="11"/>
              </w:rPr>
              <w:t> </w:t>
            </w:r>
            <w:r>
              <w:rPr>
                <w:color w:val="231F20"/>
                <w:position w:val="7"/>
                <w:sz w:val="11"/>
              </w:rPr>
              <w:t>24</w:t>
            </w:r>
            <w:r>
              <w:rPr>
                <w:color w:val="231F20"/>
                <w:spacing w:val="26"/>
                <w:position w:val="7"/>
                <w:sz w:val="11"/>
              </w:rPr>
              <w:t> </w:t>
            </w:r>
            <w:r>
              <w:rPr>
                <w:color w:val="231F20"/>
                <w:sz w:val="20"/>
              </w:rPr>
              <w:t>and</w:t>
            </w:r>
            <w:r>
              <w:rPr>
                <w:color w:val="231F20"/>
                <w:spacing w:val="1"/>
                <w:sz w:val="20"/>
              </w:rPr>
              <w:t> </w:t>
            </w:r>
            <w:r>
              <w:rPr>
                <w:color w:val="231F20"/>
                <w:sz w:val="20"/>
              </w:rPr>
              <w:t>opioid</w:t>
            </w:r>
            <w:r>
              <w:rPr>
                <w:color w:val="231F20"/>
                <w:spacing w:val="2"/>
                <w:sz w:val="20"/>
              </w:rPr>
              <w:t> </w:t>
            </w:r>
            <w:r>
              <w:rPr>
                <w:color w:val="231F20"/>
                <w:sz w:val="20"/>
              </w:rPr>
              <w:t>treatment</w:t>
            </w:r>
            <w:r>
              <w:rPr>
                <w:color w:val="231F20"/>
                <w:spacing w:val="2"/>
                <w:sz w:val="20"/>
              </w:rPr>
              <w:t> </w:t>
            </w:r>
            <w:r>
              <w:rPr>
                <w:color w:val="231F20"/>
                <w:sz w:val="20"/>
              </w:rPr>
              <w:t>programs</w:t>
            </w:r>
            <w:r>
              <w:rPr>
                <w:color w:val="231F20"/>
                <w:position w:val="7"/>
                <w:sz w:val="11"/>
              </w:rPr>
              <w:t>25</w:t>
            </w:r>
          </w:p>
          <w:p>
            <w:pPr>
              <w:pStyle w:val="TableParagraph"/>
              <w:numPr>
                <w:ilvl w:val="0"/>
                <w:numId w:val="18"/>
              </w:numPr>
              <w:tabs>
                <w:tab w:pos="439" w:val="left" w:leader="none"/>
                <w:tab w:pos="440" w:val="left" w:leader="none"/>
              </w:tabs>
              <w:spacing w:line="247" w:lineRule="auto" w:before="0" w:after="0"/>
              <w:ind w:left="440" w:right="672" w:hanging="360"/>
              <w:jc w:val="left"/>
              <w:rPr>
                <w:sz w:val="20"/>
              </w:rPr>
            </w:pPr>
            <w:r>
              <w:rPr>
                <w:color w:val="231F20"/>
                <w:sz w:val="20"/>
              </w:rPr>
              <w:t>Social</w:t>
            </w:r>
            <w:r>
              <w:rPr>
                <w:color w:val="231F20"/>
                <w:spacing w:val="-2"/>
                <w:sz w:val="20"/>
              </w:rPr>
              <w:t> </w:t>
            </w:r>
            <w:r>
              <w:rPr>
                <w:color w:val="231F20"/>
                <w:sz w:val="20"/>
              </w:rPr>
              <w:t>workers,</w:t>
            </w:r>
            <w:r>
              <w:rPr>
                <w:color w:val="231F20"/>
                <w:spacing w:val="-2"/>
                <w:sz w:val="20"/>
              </w:rPr>
              <w:t> </w:t>
            </w:r>
            <w:r>
              <w:rPr>
                <w:color w:val="231F20"/>
                <w:sz w:val="20"/>
              </w:rPr>
              <w:t>peer</w:t>
            </w:r>
            <w:r>
              <w:rPr>
                <w:color w:val="231F20"/>
                <w:spacing w:val="-2"/>
                <w:sz w:val="20"/>
              </w:rPr>
              <w:t> </w:t>
            </w:r>
            <w:r>
              <w:rPr>
                <w:color w:val="231F20"/>
                <w:sz w:val="20"/>
              </w:rPr>
              <w:t>recovery</w:t>
            </w:r>
            <w:r>
              <w:rPr>
                <w:color w:val="231F20"/>
                <w:spacing w:val="-2"/>
                <w:sz w:val="20"/>
              </w:rPr>
              <w:t> </w:t>
            </w:r>
            <w:r>
              <w:rPr>
                <w:color w:val="231F20"/>
                <w:sz w:val="20"/>
              </w:rPr>
              <w:t>counselors,</w:t>
            </w:r>
            <w:r>
              <w:rPr>
                <w:color w:val="231F20"/>
                <w:spacing w:val="-2"/>
                <w:sz w:val="20"/>
              </w:rPr>
              <w:t> </w:t>
            </w:r>
            <w:r>
              <w:rPr>
                <w:color w:val="231F20"/>
                <w:sz w:val="20"/>
              </w:rPr>
              <w:t>addiction</w:t>
            </w:r>
            <w:r>
              <w:rPr>
                <w:color w:val="231F20"/>
                <w:spacing w:val="-2"/>
                <w:sz w:val="20"/>
              </w:rPr>
              <w:t> </w:t>
            </w:r>
            <w:r>
              <w:rPr>
                <w:color w:val="231F20"/>
                <w:sz w:val="20"/>
              </w:rPr>
              <w:t>counselors,</w:t>
            </w:r>
            <w:r>
              <w:rPr>
                <w:color w:val="231F20"/>
                <w:spacing w:val="-2"/>
                <w:sz w:val="20"/>
              </w:rPr>
              <w:t> </w:t>
            </w:r>
            <w:r>
              <w:rPr>
                <w:color w:val="231F20"/>
                <w:sz w:val="20"/>
              </w:rPr>
              <w:t>outreach</w:t>
            </w:r>
            <w:r>
              <w:rPr>
                <w:color w:val="231F20"/>
                <w:spacing w:val="-1"/>
                <w:sz w:val="20"/>
              </w:rPr>
              <w:t> </w:t>
            </w:r>
            <w:r>
              <w:rPr>
                <w:color w:val="231F20"/>
                <w:sz w:val="20"/>
              </w:rPr>
              <w:t>workers,</w:t>
            </w:r>
            <w:r>
              <w:rPr>
                <w:color w:val="231F20"/>
                <w:spacing w:val="-2"/>
                <w:sz w:val="20"/>
              </w:rPr>
              <w:t> </w:t>
            </w:r>
            <w:r>
              <w:rPr>
                <w:color w:val="231F20"/>
                <w:sz w:val="20"/>
              </w:rPr>
              <w:t>and</w:t>
            </w:r>
            <w:r>
              <w:rPr>
                <w:color w:val="231F20"/>
                <w:spacing w:val="-53"/>
                <w:sz w:val="20"/>
              </w:rPr>
              <w:t> </w:t>
            </w:r>
            <w:r>
              <w:rPr>
                <w:color w:val="231F20"/>
                <w:sz w:val="20"/>
              </w:rPr>
              <w:t>nurses</w:t>
            </w:r>
          </w:p>
          <w:p>
            <w:pPr>
              <w:pStyle w:val="TableParagraph"/>
              <w:numPr>
                <w:ilvl w:val="0"/>
                <w:numId w:val="18"/>
              </w:numPr>
              <w:tabs>
                <w:tab w:pos="439" w:val="left" w:leader="none"/>
                <w:tab w:pos="440" w:val="left" w:leader="none"/>
              </w:tabs>
              <w:spacing w:line="236" w:lineRule="exact" w:before="0" w:after="0"/>
              <w:ind w:left="440" w:right="0" w:hanging="360"/>
              <w:jc w:val="left"/>
              <w:rPr>
                <w:sz w:val="11"/>
              </w:rPr>
            </w:pPr>
            <w:r>
              <w:rPr>
                <w:color w:val="231F20"/>
                <w:sz w:val="20"/>
              </w:rPr>
              <w:t>Pharmacists</w:t>
            </w:r>
            <w:r>
              <w:rPr>
                <w:color w:val="231F20"/>
                <w:position w:val="7"/>
                <w:sz w:val="11"/>
              </w:rPr>
              <w:t>26</w:t>
            </w:r>
          </w:p>
        </w:tc>
      </w:tr>
      <w:tr>
        <w:trPr>
          <w:trHeight w:val="357" w:hRule="atLeast"/>
        </w:trPr>
        <w:tc>
          <w:tcPr>
            <w:tcW w:w="1980" w:type="dxa"/>
          </w:tcPr>
          <w:p>
            <w:pPr>
              <w:pStyle w:val="TableParagraph"/>
              <w:spacing w:before="33"/>
              <w:ind w:left="79"/>
              <w:rPr>
                <w:b/>
                <w:sz w:val="20"/>
              </w:rPr>
            </w:pPr>
            <w:r>
              <w:rPr>
                <w:b/>
                <w:color w:val="231F20"/>
                <w:sz w:val="20"/>
              </w:rPr>
              <w:t>Technology</w:t>
            </w:r>
            <w:r>
              <w:rPr>
                <w:b/>
                <w:color w:val="231F20"/>
                <w:spacing w:val="-7"/>
                <w:sz w:val="20"/>
              </w:rPr>
              <w:t> </w:t>
            </w:r>
            <w:r>
              <w:rPr>
                <w:b/>
                <w:color w:val="231F20"/>
                <w:sz w:val="20"/>
              </w:rPr>
              <w:t>used</w:t>
            </w:r>
          </w:p>
        </w:tc>
        <w:tc>
          <w:tcPr>
            <w:tcW w:w="8805" w:type="dxa"/>
          </w:tcPr>
          <w:p>
            <w:pPr>
              <w:pStyle w:val="TableParagraph"/>
              <w:numPr>
                <w:ilvl w:val="0"/>
                <w:numId w:val="19"/>
              </w:numPr>
              <w:tabs>
                <w:tab w:pos="439" w:val="left" w:leader="none"/>
                <w:tab w:pos="440" w:val="left" w:leader="none"/>
              </w:tabs>
              <w:spacing w:line="240" w:lineRule="auto" w:before="19" w:after="0"/>
              <w:ind w:left="439" w:right="0" w:hanging="361"/>
              <w:jc w:val="left"/>
              <w:rPr>
                <w:sz w:val="11"/>
              </w:rPr>
            </w:pPr>
            <w:r>
              <w:rPr>
                <w:color w:val="231F20"/>
                <w:sz w:val="20"/>
              </w:rPr>
              <w:t>Videoconferencing</w:t>
            </w:r>
            <w:r>
              <w:rPr>
                <w:color w:val="231F20"/>
                <w:spacing w:val="2"/>
                <w:sz w:val="20"/>
              </w:rPr>
              <w:t> </w:t>
            </w:r>
            <w:r>
              <w:rPr>
                <w:color w:val="231F20"/>
                <w:sz w:val="20"/>
              </w:rPr>
              <w:t>and</w:t>
            </w:r>
            <w:r>
              <w:rPr>
                <w:color w:val="231F20"/>
                <w:spacing w:val="2"/>
                <w:sz w:val="20"/>
              </w:rPr>
              <w:t> </w:t>
            </w:r>
            <w:r>
              <w:rPr>
                <w:color w:val="231F20"/>
                <w:sz w:val="20"/>
              </w:rPr>
              <w:t>web-based</w:t>
            </w:r>
            <w:r>
              <w:rPr>
                <w:color w:val="231F20"/>
                <w:spacing w:val="3"/>
                <w:sz w:val="20"/>
              </w:rPr>
              <w:t> </w:t>
            </w:r>
            <w:r>
              <w:rPr>
                <w:color w:val="231F20"/>
                <w:sz w:val="20"/>
              </w:rPr>
              <w:t>applications</w:t>
            </w:r>
            <w:r>
              <w:rPr>
                <w:color w:val="231F20"/>
                <w:position w:val="7"/>
                <w:sz w:val="11"/>
              </w:rPr>
              <w:t>22,</w:t>
            </w:r>
            <w:r>
              <w:rPr>
                <w:color w:val="231F20"/>
                <w:spacing w:val="2"/>
                <w:position w:val="7"/>
                <w:sz w:val="11"/>
              </w:rPr>
              <w:t> </w:t>
            </w:r>
            <w:r>
              <w:rPr>
                <w:color w:val="231F20"/>
                <w:position w:val="7"/>
                <w:sz w:val="11"/>
              </w:rPr>
              <w:t>27</w:t>
            </w:r>
          </w:p>
        </w:tc>
      </w:tr>
      <w:tr>
        <w:trPr>
          <w:trHeight w:val="2215" w:hRule="atLeast"/>
        </w:trPr>
        <w:tc>
          <w:tcPr>
            <w:tcW w:w="1980" w:type="dxa"/>
          </w:tcPr>
          <w:p>
            <w:pPr>
              <w:pStyle w:val="TableParagraph"/>
              <w:spacing w:line="249" w:lineRule="auto" w:before="33"/>
              <w:ind w:left="80" w:right="101"/>
              <w:rPr>
                <w:b/>
                <w:sz w:val="20"/>
              </w:rPr>
            </w:pPr>
            <w:r>
              <w:rPr>
                <w:b/>
                <w:color w:val="231F20"/>
                <w:spacing w:val="-1"/>
                <w:sz w:val="20"/>
              </w:rPr>
              <w:t>Intensity, duration,</w:t>
            </w:r>
            <w:r>
              <w:rPr>
                <w:b/>
                <w:color w:val="231F20"/>
                <w:spacing w:val="-53"/>
                <w:sz w:val="20"/>
              </w:rPr>
              <w:t> </w:t>
            </w:r>
            <w:r>
              <w:rPr>
                <w:b/>
                <w:color w:val="231F20"/>
                <w:sz w:val="20"/>
              </w:rPr>
              <w:t>and frequency</w:t>
            </w:r>
          </w:p>
        </w:tc>
        <w:tc>
          <w:tcPr>
            <w:tcW w:w="8805" w:type="dxa"/>
          </w:tcPr>
          <w:p>
            <w:pPr>
              <w:pStyle w:val="TableParagraph"/>
              <w:numPr>
                <w:ilvl w:val="0"/>
                <w:numId w:val="20"/>
              </w:numPr>
              <w:tabs>
                <w:tab w:pos="439" w:val="left" w:leader="none"/>
                <w:tab w:pos="440" w:val="left" w:leader="none"/>
              </w:tabs>
              <w:spacing w:line="240" w:lineRule="auto" w:before="19" w:after="0"/>
              <w:ind w:left="440" w:right="0" w:hanging="360"/>
              <w:jc w:val="left"/>
              <w:rPr>
                <w:sz w:val="20"/>
              </w:rPr>
            </w:pPr>
            <w:r>
              <w:rPr>
                <w:color w:val="231F20"/>
                <w:sz w:val="20"/>
              </w:rPr>
              <w:t>MAT</w:t>
            </w:r>
            <w:r>
              <w:rPr>
                <w:color w:val="231F20"/>
                <w:spacing w:val="-7"/>
                <w:sz w:val="20"/>
              </w:rPr>
              <w:t> </w:t>
            </w:r>
            <w:r>
              <w:rPr>
                <w:color w:val="231F20"/>
                <w:sz w:val="20"/>
              </w:rPr>
              <w:t>is</w:t>
            </w:r>
            <w:r>
              <w:rPr>
                <w:color w:val="231F20"/>
                <w:spacing w:val="-3"/>
                <w:sz w:val="20"/>
              </w:rPr>
              <w:t> </w:t>
            </w:r>
            <w:r>
              <w:rPr>
                <w:color w:val="231F20"/>
                <w:sz w:val="20"/>
              </w:rPr>
              <w:t>designed</w:t>
            </w:r>
            <w:r>
              <w:rPr>
                <w:color w:val="231F20"/>
                <w:spacing w:val="-4"/>
                <w:sz w:val="20"/>
              </w:rPr>
              <w:t> </w:t>
            </w:r>
            <w:r>
              <w:rPr>
                <w:color w:val="231F20"/>
                <w:sz w:val="20"/>
              </w:rPr>
              <w:t>to</w:t>
            </w:r>
            <w:r>
              <w:rPr>
                <w:color w:val="231F20"/>
                <w:spacing w:val="-3"/>
                <w:sz w:val="20"/>
              </w:rPr>
              <w:t> </w:t>
            </w:r>
            <w:r>
              <w:rPr>
                <w:color w:val="231F20"/>
                <w:sz w:val="20"/>
              </w:rPr>
              <w:t>meet</w:t>
            </w:r>
            <w:r>
              <w:rPr>
                <w:color w:val="231F20"/>
                <w:spacing w:val="-2"/>
                <w:sz w:val="20"/>
              </w:rPr>
              <w:t> </w:t>
            </w:r>
            <w:r>
              <w:rPr>
                <w:color w:val="231F20"/>
                <w:sz w:val="20"/>
              </w:rPr>
              <w:t>clients’</w:t>
            </w:r>
            <w:r>
              <w:rPr>
                <w:color w:val="231F20"/>
                <w:spacing w:val="-10"/>
                <w:sz w:val="20"/>
              </w:rPr>
              <w:t> </w:t>
            </w:r>
            <w:r>
              <w:rPr>
                <w:color w:val="231F20"/>
                <w:sz w:val="20"/>
              </w:rPr>
              <w:t>clinical</w:t>
            </w:r>
            <w:r>
              <w:rPr>
                <w:color w:val="231F20"/>
                <w:spacing w:val="-3"/>
                <w:sz w:val="20"/>
              </w:rPr>
              <w:t> </w:t>
            </w:r>
            <w:r>
              <w:rPr>
                <w:color w:val="231F20"/>
                <w:sz w:val="20"/>
              </w:rPr>
              <w:t>needs,</w:t>
            </w:r>
            <w:r>
              <w:rPr>
                <w:color w:val="231F20"/>
                <w:spacing w:val="-3"/>
                <w:sz w:val="20"/>
              </w:rPr>
              <w:t> </w:t>
            </w:r>
            <w:r>
              <w:rPr>
                <w:color w:val="231F20"/>
                <w:sz w:val="20"/>
              </w:rPr>
              <w:t>so</w:t>
            </w:r>
            <w:r>
              <w:rPr>
                <w:color w:val="231F20"/>
                <w:spacing w:val="-3"/>
                <w:sz w:val="20"/>
              </w:rPr>
              <w:t> </w:t>
            </w:r>
            <w:r>
              <w:rPr>
                <w:color w:val="231F20"/>
                <w:sz w:val="20"/>
              </w:rPr>
              <w:t>there</w:t>
            </w:r>
            <w:r>
              <w:rPr>
                <w:color w:val="231F20"/>
                <w:spacing w:val="-3"/>
                <w:sz w:val="20"/>
              </w:rPr>
              <w:t> </w:t>
            </w:r>
            <w:r>
              <w:rPr>
                <w:color w:val="231F20"/>
                <w:sz w:val="20"/>
              </w:rPr>
              <w:t>is</w:t>
            </w:r>
            <w:r>
              <w:rPr>
                <w:color w:val="231F20"/>
                <w:spacing w:val="-3"/>
                <w:sz w:val="20"/>
              </w:rPr>
              <w:t> </w:t>
            </w:r>
            <w:r>
              <w:rPr>
                <w:color w:val="231F20"/>
                <w:sz w:val="20"/>
              </w:rPr>
              <w:t>no</w:t>
            </w:r>
            <w:r>
              <w:rPr>
                <w:color w:val="231F20"/>
                <w:spacing w:val="-4"/>
                <w:sz w:val="20"/>
              </w:rPr>
              <w:t> </w:t>
            </w:r>
            <w:r>
              <w:rPr>
                <w:color w:val="231F20"/>
                <w:sz w:val="20"/>
              </w:rPr>
              <w:t>protocolized</w:t>
            </w:r>
            <w:r>
              <w:rPr>
                <w:color w:val="231F20"/>
                <w:spacing w:val="-3"/>
                <w:sz w:val="20"/>
              </w:rPr>
              <w:t> </w:t>
            </w:r>
            <w:r>
              <w:rPr>
                <w:color w:val="231F20"/>
                <w:sz w:val="20"/>
              </w:rPr>
              <w:t>model</w:t>
            </w:r>
            <w:r>
              <w:rPr>
                <w:color w:val="231F20"/>
                <w:spacing w:val="-3"/>
                <w:sz w:val="20"/>
              </w:rPr>
              <w:t> </w:t>
            </w:r>
            <w:r>
              <w:rPr>
                <w:color w:val="231F20"/>
                <w:sz w:val="20"/>
              </w:rPr>
              <w:t>for</w:t>
            </w:r>
            <w:r>
              <w:rPr>
                <w:color w:val="231F20"/>
                <w:spacing w:val="-2"/>
                <w:sz w:val="20"/>
              </w:rPr>
              <w:t> </w:t>
            </w:r>
            <w:r>
              <w:rPr>
                <w:color w:val="231F20"/>
                <w:sz w:val="20"/>
              </w:rPr>
              <w:t>the</w:t>
            </w:r>
          </w:p>
          <w:p>
            <w:pPr>
              <w:pStyle w:val="TableParagraph"/>
              <w:spacing w:line="228" w:lineRule="exact" w:before="9"/>
              <w:rPr>
                <w:sz w:val="20"/>
              </w:rPr>
            </w:pPr>
            <w:r>
              <w:rPr>
                <w:color w:val="231F20"/>
                <w:sz w:val="20"/>
              </w:rPr>
              <w:t>intensity</w:t>
            </w:r>
            <w:r>
              <w:rPr>
                <w:color w:val="231F20"/>
                <w:spacing w:val="-1"/>
                <w:sz w:val="20"/>
              </w:rPr>
              <w:t> </w:t>
            </w:r>
            <w:r>
              <w:rPr>
                <w:color w:val="231F20"/>
                <w:sz w:val="20"/>
              </w:rPr>
              <w:t>and duration of the program</w:t>
            </w:r>
          </w:p>
          <w:p>
            <w:pPr>
              <w:pStyle w:val="TableParagraph"/>
              <w:numPr>
                <w:ilvl w:val="0"/>
                <w:numId w:val="20"/>
              </w:numPr>
              <w:tabs>
                <w:tab w:pos="439" w:val="left" w:leader="none"/>
                <w:tab w:pos="440" w:val="left" w:leader="none"/>
              </w:tabs>
              <w:spacing w:line="247" w:lineRule="auto" w:before="0" w:after="0"/>
              <w:ind w:left="440" w:right="361" w:hanging="360"/>
              <w:jc w:val="left"/>
              <w:rPr>
                <w:sz w:val="11"/>
              </w:rPr>
            </w:pPr>
            <w:r>
              <w:rPr>
                <w:color w:val="231F20"/>
                <w:sz w:val="20"/>
              </w:rPr>
              <w:t>Clients</w:t>
            </w:r>
            <w:r>
              <w:rPr>
                <w:color w:val="231F20"/>
                <w:spacing w:val="-2"/>
                <w:sz w:val="20"/>
              </w:rPr>
              <w:t> </w:t>
            </w:r>
            <w:r>
              <w:rPr>
                <w:color w:val="231F20"/>
                <w:sz w:val="20"/>
              </w:rPr>
              <w:t>may</w:t>
            </w:r>
            <w:r>
              <w:rPr>
                <w:color w:val="231F20"/>
                <w:spacing w:val="-1"/>
                <w:sz w:val="20"/>
              </w:rPr>
              <w:t> </w:t>
            </w:r>
            <w:r>
              <w:rPr>
                <w:color w:val="231F20"/>
                <w:sz w:val="20"/>
              </w:rPr>
              <w:t>vary</w:t>
            </w:r>
            <w:r>
              <w:rPr>
                <w:color w:val="231F20"/>
                <w:spacing w:val="-1"/>
                <w:sz w:val="20"/>
              </w:rPr>
              <w:t> </w:t>
            </w:r>
            <w:r>
              <w:rPr>
                <w:color w:val="231F20"/>
                <w:sz w:val="20"/>
              </w:rPr>
              <w:t>in</w:t>
            </w:r>
            <w:r>
              <w:rPr>
                <w:color w:val="231F20"/>
                <w:spacing w:val="-1"/>
                <w:sz w:val="20"/>
              </w:rPr>
              <w:t> </w:t>
            </w:r>
            <w:r>
              <w:rPr>
                <w:color w:val="231F20"/>
                <w:sz w:val="20"/>
              </w:rPr>
              <w:t>the</w:t>
            </w:r>
            <w:r>
              <w:rPr>
                <w:color w:val="231F20"/>
                <w:spacing w:val="-1"/>
                <w:sz w:val="20"/>
              </w:rPr>
              <w:t> </w:t>
            </w:r>
            <w:r>
              <w:rPr>
                <w:color w:val="231F20"/>
                <w:sz w:val="20"/>
              </w:rPr>
              <w:t>types</w:t>
            </w:r>
            <w:r>
              <w:rPr>
                <w:color w:val="231F20"/>
                <w:spacing w:val="-1"/>
                <w:sz w:val="20"/>
              </w:rPr>
              <w:t> </w:t>
            </w:r>
            <w:r>
              <w:rPr>
                <w:color w:val="231F20"/>
                <w:sz w:val="20"/>
              </w:rPr>
              <w:t>of</w:t>
            </w:r>
            <w:r>
              <w:rPr>
                <w:color w:val="231F20"/>
                <w:spacing w:val="-1"/>
                <w:sz w:val="20"/>
              </w:rPr>
              <w:t> </w:t>
            </w:r>
            <w:r>
              <w:rPr>
                <w:color w:val="231F20"/>
                <w:sz w:val="20"/>
              </w:rPr>
              <w:t>supports</w:t>
            </w:r>
            <w:r>
              <w:rPr>
                <w:color w:val="231F20"/>
                <w:spacing w:val="-2"/>
                <w:sz w:val="20"/>
              </w:rPr>
              <w:t> </w:t>
            </w:r>
            <w:r>
              <w:rPr>
                <w:color w:val="231F20"/>
                <w:sz w:val="20"/>
              </w:rPr>
              <w:t>they</w:t>
            </w:r>
            <w:r>
              <w:rPr>
                <w:color w:val="231F20"/>
                <w:spacing w:val="-1"/>
                <w:sz w:val="20"/>
              </w:rPr>
              <w:t> </w:t>
            </w:r>
            <w:r>
              <w:rPr>
                <w:color w:val="231F20"/>
                <w:sz w:val="20"/>
              </w:rPr>
              <w:t>need</w:t>
            </w:r>
            <w:r>
              <w:rPr>
                <w:color w:val="231F20"/>
                <w:spacing w:val="-1"/>
                <w:sz w:val="20"/>
              </w:rPr>
              <w:t> </w:t>
            </w:r>
            <w:r>
              <w:rPr>
                <w:color w:val="231F20"/>
                <w:sz w:val="20"/>
              </w:rPr>
              <w:t>and</w:t>
            </w:r>
            <w:r>
              <w:rPr>
                <w:color w:val="231F20"/>
                <w:spacing w:val="-1"/>
                <w:sz w:val="20"/>
              </w:rPr>
              <w:t> </w:t>
            </w:r>
            <w:r>
              <w:rPr>
                <w:color w:val="231F20"/>
                <w:sz w:val="20"/>
              </w:rPr>
              <w:t>those</w:t>
            </w:r>
            <w:r>
              <w:rPr>
                <w:color w:val="231F20"/>
                <w:spacing w:val="-1"/>
                <w:sz w:val="20"/>
              </w:rPr>
              <w:t> </w:t>
            </w:r>
            <w:r>
              <w:rPr>
                <w:color w:val="231F20"/>
                <w:sz w:val="20"/>
              </w:rPr>
              <w:t>needs</w:t>
            </w:r>
            <w:r>
              <w:rPr>
                <w:color w:val="231F20"/>
                <w:spacing w:val="-1"/>
                <w:sz w:val="20"/>
              </w:rPr>
              <w:t> </w:t>
            </w:r>
            <w:r>
              <w:rPr>
                <w:color w:val="231F20"/>
                <w:sz w:val="20"/>
              </w:rPr>
              <w:t>may</w:t>
            </w:r>
            <w:r>
              <w:rPr>
                <w:color w:val="231F20"/>
                <w:spacing w:val="-1"/>
                <w:sz w:val="20"/>
              </w:rPr>
              <w:t> </w:t>
            </w:r>
            <w:r>
              <w:rPr>
                <w:color w:val="231F20"/>
                <w:sz w:val="20"/>
              </w:rPr>
              <w:t>change</w:t>
            </w:r>
            <w:r>
              <w:rPr>
                <w:color w:val="231F20"/>
                <w:spacing w:val="-1"/>
                <w:sz w:val="20"/>
              </w:rPr>
              <w:t> </w:t>
            </w:r>
            <w:r>
              <w:rPr>
                <w:color w:val="231F20"/>
                <w:sz w:val="20"/>
              </w:rPr>
              <w:t>over</w:t>
            </w:r>
            <w:r>
              <w:rPr>
                <w:color w:val="231F20"/>
                <w:spacing w:val="-2"/>
                <w:sz w:val="20"/>
              </w:rPr>
              <w:t> </w:t>
            </w:r>
            <w:r>
              <w:rPr>
                <w:color w:val="231F20"/>
                <w:sz w:val="20"/>
              </w:rPr>
              <w:t>the</w:t>
            </w:r>
            <w:r>
              <w:rPr>
                <w:color w:val="231F20"/>
                <w:spacing w:val="-52"/>
                <w:sz w:val="20"/>
              </w:rPr>
              <w:t> </w:t>
            </w:r>
            <w:r>
              <w:rPr>
                <w:color w:val="231F20"/>
                <w:sz w:val="20"/>
              </w:rPr>
              <w:t>course</w:t>
            </w:r>
            <w:r>
              <w:rPr>
                <w:color w:val="231F20"/>
                <w:spacing w:val="-1"/>
                <w:sz w:val="20"/>
              </w:rPr>
              <w:t> </w:t>
            </w:r>
            <w:r>
              <w:rPr>
                <w:color w:val="231F20"/>
                <w:sz w:val="20"/>
              </w:rPr>
              <w:t>of treatment and recovery</w:t>
            </w:r>
            <w:r>
              <w:rPr>
                <w:color w:val="231F20"/>
                <w:position w:val="7"/>
                <w:sz w:val="11"/>
              </w:rPr>
              <w:t>11</w:t>
            </w:r>
          </w:p>
          <w:p>
            <w:pPr>
              <w:pStyle w:val="TableParagraph"/>
              <w:numPr>
                <w:ilvl w:val="0"/>
                <w:numId w:val="20"/>
              </w:numPr>
              <w:tabs>
                <w:tab w:pos="439" w:val="left" w:leader="none"/>
                <w:tab w:pos="440" w:val="left" w:leader="none"/>
              </w:tabs>
              <w:spacing w:line="249" w:lineRule="auto" w:before="0" w:after="0"/>
              <w:ind w:left="440" w:right="635" w:hanging="360"/>
              <w:jc w:val="left"/>
              <w:rPr>
                <w:sz w:val="11"/>
              </w:rPr>
            </w:pPr>
            <w:r>
              <w:rPr>
                <w:color w:val="231F20"/>
                <w:sz w:val="20"/>
              </w:rPr>
              <w:t>MAT</w:t>
            </w:r>
            <w:r>
              <w:rPr>
                <w:color w:val="231F20"/>
                <w:spacing w:val="-8"/>
                <w:sz w:val="20"/>
              </w:rPr>
              <w:t> </w:t>
            </w:r>
            <w:r>
              <w:rPr>
                <w:color w:val="231F20"/>
                <w:sz w:val="20"/>
              </w:rPr>
              <w:t>begins</w:t>
            </w:r>
            <w:r>
              <w:rPr>
                <w:color w:val="231F20"/>
                <w:spacing w:val="-5"/>
                <w:sz w:val="20"/>
              </w:rPr>
              <w:t> </w:t>
            </w:r>
            <w:r>
              <w:rPr>
                <w:color w:val="231F20"/>
                <w:sz w:val="20"/>
              </w:rPr>
              <w:t>with</w:t>
            </w:r>
            <w:r>
              <w:rPr>
                <w:color w:val="231F20"/>
                <w:spacing w:val="-5"/>
                <w:sz w:val="20"/>
              </w:rPr>
              <w:t> </w:t>
            </w:r>
            <w:r>
              <w:rPr>
                <w:color w:val="231F20"/>
                <w:sz w:val="20"/>
              </w:rPr>
              <w:t>treatment</w:t>
            </w:r>
            <w:r>
              <w:rPr>
                <w:color w:val="231F20"/>
                <w:spacing w:val="-4"/>
                <w:sz w:val="20"/>
              </w:rPr>
              <w:t> </w:t>
            </w:r>
            <w:r>
              <w:rPr>
                <w:color w:val="231F20"/>
                <w:sz w:val="20"/>
              </w:rPr>
              <w:t>initiation,</w:t>
            </w:r>
            <w:r>
              <w:rPr>
                <w:color w:val="231F20"/>
                <w:spacing w:val="-5"/>
                <w:sz w:val="20"/>
              </w:rPr>
              <w:t> </w:t>
            </w:r>
            <w:r>
              <w:rPr>
                <w:color w:val="231F20"/>
                <w:sz w:val="20"/>
              </w:rPr>
              <w:t>followed</w:t>
            </w:r>
            <w:r>
              <w:rPr>
                <w:color w:val="231F20"/>
                <w:spacing w:val="-4"/>
                <w:sz w:val="20"/>
              </w:rPr>
              <w:t> </w:t>
            </w:r>
            <w:r>
              <w:rPr>
                <w:color w:val="231F20"/>
                <w:sz w:val="20"/>
              </w:rPr>
              <w:t>by</w:t>
            </w:r>
            <w:r>
              <w:rPr>
                <w:color w:val="231F20"/>
                <w:spacing w:val="-5"/>
                <w:sz w:val="20"/>
              </w:rPr>
              <w:t> </w:t>
            </w:r>
            <w:r>
              <w:rPr>
                <w:color w:val="231F20"/>
                <w:sz w:val="20"/>
              </w:rPr>
              <w:t>weekly</w:t>
            </w:r>
            <w:r>
              <w:rPr>
                <w:color w:val="231F20"/>
                <w:spacing w:val="-5"/>
                <w:sz w:val="20"/>
              </w:rPr>
              <w:t> </w:t>
            </w:r>
            <w:r>
              <w:rPr>
                <w:color w:val="231F20"/>
                <w:sz w:val="20"/>
              </w:rPr>
              <w:t>urine</w:t>
            </w:r>
            <w:r>
              <w:rPr>
                <w:color w:val="231F20"/>
                <w:spacing w:val="-5"/>
                <w:sz w:val="20"/>
              </w:rPr>
              <w:t> </w:t>
            </w:r>
            <w:r>
              <w:rPr>
                <w:color w:val="231F20"/>
                <w:sz w:val="20"/>
              </w:rPr>
              <w:t>drug</w:t>
            </w:r>
            <w:r>
              <w:rPr>
                <w:color w:val="231F20"/>
                <w:spacing w:val="-5"/>
                <w:sz w:val="20"/>
              </w:rPr>
              <w:t> </w:t>
            </w:r>
            <w:r>
              <w:rPr>
                <w:color w:val="231F20"/>
                <w:sz w:val="20"/>
              </w:rPr>
              <w:t>screens,</w:t>
            </w:r>
            <w:r>
              <w:rPr>
                <w:color w:val="231F20"/>
                <w:spacing w:val="-4"/>
                <w:sz w:val="20"/>
              </w:rPr>
              <w:t> </w:t>
            </w:r>
            <w:r>
              <w:rPr>
                <w:color w:val="231F20"/>
                <w:sz w:val="20"/>
              </w:rPr>
              <w:t>medication</w:t>
            </w:r>
            <w:r>
              <w:rPr>
                <w:color w:val="231F20"/>
                <w:spacing w:val="-52"/>
                <w:sz w:val="20"/>
              </w:rPr>
              <w:t> </w:t>
            </w:r>
            <w:r>
              <w:rPr>
                <w:color w:val="231F20"/>
                <w:sz w:val="20"/>
              </w:rPr>
              <w:t>monitoring, and counseling sessions that taper to monthly depending on response to</w:t>
            </w:r>
            <w:r>
              <w:rPr>
                <w:color w:val="231F20"/>
                <w:spacing w:val="1"/>
                <w:sz w:val="20"/>
              </w:rPr>
              <w:t> </w:t>
            </w:r>
            <w:r>
              <w:rPr>
                <w:color w:val="231F20"/>
                <w:sz w:val="20"/>
              </w:rPr>
              <w:t>treatment</w:t>
            </w:r>
            <w:r>
              <w:rPr>
                <w:color w:val="231F20"/>
                <w:position w:val="7"/>
                <w:sz w:val="11"/>
              </w:rPr>
              <w:t>22,</w:t>
            </w:r>
            <w:r>
              <w:rPr>
                <w:color w:val="231F20"/>
                <w:spacing w:val="1"/>
                <w:position w:val="7"/>
                <w:sz w:val="11"/>
              </w:rPr>
              <w:t> </w:t>
            </w:r>
            <w:r>
              <w:rPr>
                <w:color w:val="231F20"/>
                <w:position w:val="7"/>
                <w:sz w:val="11"/>
              </w:rPr>
              <w:t>23</w:t>
            </w:r>
          </w:p>
          <w:p>
            <w:pPr>
              <w:pStyle w:val="TableParagraph"/>
              <w:numPr>
                <w:ilvl w:val="0"/>
                <w:numId w:val="20"/>
              </w:numPr>
              <w:tabs>
                <w:tab w:pos="439" w:val="left" w:leader="none"/>
                <w:tab w:pos="440" w:val="left" w:leader="none"/>
              </w:tabs>
              <w:spacing w:line="232" w:lineRule="exact" w:before="0" w:after="0"/>
              <w:ind w:left="440" w:right="0" w:hanging="360"/>
              <w:jc w:val="left"/>
              <w:rPr>
                <w:sz w:val="20"/>
              </w:rPr>
            </w:pPr>
            <w:r>
              <w:rPr>
                <w:color w:val="231F20"/>
                <w:sz w:val="20"/>
              </w:rPr>
              <w:t>Medications</w:t>
            </w:r>
            <w:r>
              <w:rPr>
                <w:color w:val="231F20"/>
                <w:spacing w:val="-6"/>
                <w:sz w:val="20"/>
              </w:rPr>
              <w:t> </w:t>
            </w:r>
            <w:r>
              <w:rPr>
                <w:color w:val="231F20"/>
                <w:sz w:val="20"/>
              </w:rPr>
              <w:t>are</w:t>
            </w:r>
            <w:r>
              <w:rPr>
                <w:color w:val="231F20"/>
                <w:spacing w:val="-7"/>
                <w:sz w:val="20"/>
              </w:rPr>
              <w:t> </w:t>
            </w:r>
            <w:r>
              <w:rPr>
                <w:color w:val="231F20"/>
                <w:sz w:val="20"/>
              </w:rPr>
              <w:t>often</w:t>
            </w:r>
            <w:r>
              <w:rPr>
                <w:color w:val="231F20"/>
                <w:spacing w:val="-6"/>
                <w:sz w:val="20"/>
              </w:rPr>
              <w:t> </w:t>
            </w:r>
            <w:r>
              <w:rPr>
                <w:color w:val="231F20"/>
                <w:sz w:val="20"/>
              </w:rPr>
              <w:t>administered</w:t>
            </w:r>
            <w:r>
              <w:rPr>
                <w:color w:val="231F20"/>
                <w:spacing w:val="-7"/>
                <w:sz w:val="20"/>
              </w:rPr>
              <w:t> </w:t>
            </w:r>
            <w:r>
              <w:rPr>
                <w:color w:val="231F20"/>
                <w:sz w:val="20"/>
              </w:rPr>
              <w:t>gradually,</w:t>
            </w:r>
            <w:r>
              <w:rPr>
                <w:color w:val="231F20"/>
                <w:spacing w:val="-6"/>
                <w:sz w:val="20"/>
              </w:rPr>
              <w:t> </w:t>
            </w:r>
            <w:r>
              <w:rPr>
                <w:color w:val="231F20"/>
                <w:sz w:val="20"/>
              </w:rPr>
              <w:t>and</w:t>
            </w:r>
            <w:r>
              <w:rPr>
                <w:color w:val="231F20"/>
                <w:spacing w:val="-6"/>
                <w:sz w:val="20"/>
              </w:rPr>
              <w:t> </w:t>
            </w:r>
            <w:r>
              <w:rPr>
                <w:color w:val="231F20"/>
                <w:sz w:val="20"/>
              </w:rPr>
              <w:t>providers</w:t>
            </w:r>
            <w:r>
              <w:rPr>
                <w:color w:val="231F20"/>
                <w:spacing w:val="-7"/>
                <w:sz w:val="20"/>
              </w:rPr>
              <w:t> </w:t>
            </w:r>
            <w:r>
              <w:rPr>
                <w:color w:val="231F20"/>
                <w:sz w:val="20"/>
              </w:rPr>
              <w:t>work</w:t>
            </w:r>
            <w:r>
              <w:rPr>
                <w:color w:val="231F20"/>
                <w:spacing w:val="-7"/>
                <w:sz w:val="20"/>
              </w:rPr>
              <w:t> </w:t>
            </w:r>
            <w:r>
              <w:rPr>
                <w:color w:val="231F20"/>
                <w:sz w:val="20"/>
              </w:rPr>
              <w:t>with</w:t>
            </w:r>
            <w:r>
              <w:rPr>
                <w:color w:val="231F20"/>
                <w:spacing w:val="-6"/>
                <w:sz w:val="20"/>
              </w:rPr>
              <w:t> </w:t>
            </w:r>
            <w:r>
              <w:rPr>
                <w:color w:val="231F20"/>
                <w:sz w:val="20"/>
              </w:rPr>
              <w:t>clients</w:t>
            </w:r>
            <w:r>
              <w:rPr>
                <w:color w:val="231F20"/>
                <w:spacing w:val="-6"/>
                <w:sz w:val="20"/>
              </w:rPr>
              <w:t> </w:t>
            </w:r>
            <w:r>
              <w:rPr>
                <w:color w:val="231F20"/>
                <w:sz w:val="20"/>
              </w:rPr>
              <w:t>to</w:t>
            </w:r>
            <w:r>
              <w:rPr>
                <w:color w:val="231F20"/>
                <w:spacing w:val="-6"/>
                <w:sz w:val="20"/>
              </w:rPr>
              <w:t> </w:t>
            </w:r>
            <w:r>
              <w:rPr>
                <w:color w:val="231F20"/>
                <w:sz w:val="20"/>
              </w:rPr>
              <w:t>appropriately</w:t>
            </w:r>
          </w:p>
          <w:p>
            <w:pPr>
              <w:pStyle w:val="TableParagraph"/>
              <w:rPr>
                <w:sz w:val="11"/>
              </w:rPr>
            </w:pPr>
            <w:r>
              <w:rPr>
                <w:color w:val="231F20"/>
                <w:sz w:val="20"/>
              </w:rPr>
              <w:t>adjust the</w:t>
            </w:r>
            <w:r>
              <w:rPr>
                <w:color w:val="231F20"/>
                <w:spacing w:val="1"/>
                <w:sz w:val="20"/>
              </w:rPr>
              <w:t> </w:t>
            </w:r>
            <w:r>
              <w:rPr>
                <w:color w:val="231F20"/>
                <w:sz w:val="20"/>
              </w:rPr>
              <w:t>dosage</w:t>
            </w:r>
            <w:r>
              <w:rPr>
                <w:color w:val="231F20"/>
                <w:spacing w:val="1"/>
                <w:sz w:val="20"/>
              </w:rPr>
              <w:t> </w:t>
            </w:r>
            <w:r>
              <w:rPr>
                <w:color w:val="231F20"/>
                <w:sz w:val="20"/>
              </w:rPr>
              <w:t>between</w:t>
            </w:r>
            <w:r>
              <w:rPr>
                <w:color w:val="231F20"/>
                <w:spacing w:val="1"/>
                <w:sz w:val="20"/>
              </w:rPr>
              <w:t> </w:t>
            </w:r>
            <w:r>
              <w:rPr>
                <w:color w:val="231F20"/>
                <w:sz w:val="20"/>
              </w:rPr>
              <w:t>initiation</w:t>
            </w:r>
            <w:r>
              <w:rPr>
                <w:color w:val="231F20"/>
                <w:spacing w:val="1"/>
                <w:sz w:val="20"/>
              </w:rPr>
              <w:t> </w:t>
            </w:r>
            <w:r>
              <w:rPr>
                <w:color w:val="231F20"/>
                <w:sz w:val="20"/>
              </w:rPr>
              <w:t>and</w:t>
            </w:r>
            <w:r>
              <w:rPr>
                <w:color w:val="231F20"/>
                <w:spacing w:val="1"/>
                <w:sz w:val="20"/>
              </w:rPr>
              <w:t> </w:t>
            </w:r>
            <w:r>
              <w:rPr>
                <w:color w:val="231F20"/>
                <w:sz w:val="20"/>
              </w:rPr>
              <w:t>stabilization</w:t>
            </w:r>
            <w:r>
              <w:rPr>
                <w:color w:val="231F20"/>
                <w:position w:val="7"/>
                <w:sz w:val="11"/>
              </w:rPr>
              <w:t>28</w:t>
            </w:r>
          </w:p>
        </w:tc>
      </w:tr>
      <w:tr>
        <w:trPr>
          <w:trHeight w:val="1698" w:hRule="atLeast"/>
        </w:trPr>
        <w:tc>
          <w:tcPr>
            <w:tcW w:w="1980" w:type="dxa"/>
          </w:tcPr>
          <w:p>
            <w:pPr>
              <w:pStyle w:val="TableParagraph"/>
              <w:spacing w:line="249" w:lineRule="auto" w:before="33"/>
              <w:ind w:left="80" w:right="158"/>
              <w:rPr>
                <w:b/>
                <w:sz w:val="20"/>
              </w:rPr>
            </w:pPr>
            <w:r>
              <w:rPr>
                <w:b/>
                <w:color w:val="231F20"/>
                <w:sz w:val="20"/>
              </w:rPr>
              <w:t>Lessons learned</w:t>
            </w:r>
            <w:r>
              <w:rPr>
                <w:b/>
                <w:color w:val="231F20"/>
                <w:spacing w:val="1"/>
                <w:sz w:val="20"/>
              </w:rPr>
              <w:t> </w:t>
            </w:r>
            <w:r>
              <w:rPr>
                <w:b/>
                <w:color w:val="231F20"/>
                <w:sz w:val="20"/>
              </w:rPr>
              <w:t>from transitioning</w:t>
            </w:r>
            <w:r>
              <w:rPr>
                <w:b/>
                <w:color w:val="231F20"/>
                <w:spacing w:val="-54"/>
                <w:sz w:val="20"/>
              </w:rPr>
              <w:t> </w:t>
            </w:r>
            <w:r>
              <w:rPr>
                <w:b/>
                <w:color w:val="231F20"/>
                <w:sz w:val="20"/>
              </w:rPr>
              <w:t>from in-person</w:t>
            </w:r>
            <w:r>
              <w:rPr>
                <w:b/>
                <w:color w:val="231F20"/>
                <w:spacing w:val="1"/>
                <w:sz w:val="20"/>
              </w:rPr>
              <w:t> </w:t>
            </w:r>
            <w:r>
              <w:rPr>
                <w:b/>
                <w:color w:val="231F20"/>
                <w:sz w:val="20"/>
              </w:rPr>
              <w:t>care</w:t>
            </w:r>
            <w:r>
              <w:rPr>
                <w:b/>
                <w:color w:val="231F20"/>
                <w:spacing w:val="-1"/>
                <w:sz w:val="20"/>
              </w:rPr>
              <w:t> </w:t>
            </w:r>
            <w:r>
              <w:rPr>
                <w:b/>
                <w:color w:val="231F20"/>
                <w:sz w:val="20"/>
              </w:rPr>
              <w:t>to telehealth</w:t>
            </w:r>
          </w:p>
        </w:tc>
        <w:tc>
          <w:tcPr>
            <w:tcW w:w="8805" w:type="dxa"/>
          </w:tcPr>
          <w:p>
            <w:pPr>
              <w:pStyle w:val="TableParagraph"/>
              <w:numPr>
                <w:ilvl w:val="0"/>
                <w:numId w:val="21"/>
              </w:numPr>
              <w:tabs>
                <w:tab w:pos="439" w:val="left" w:leader="none"/>
                <w:tab w:pos="440" w:val="left" w:leader="none"/>
              </w:tabs>
              <w:spacing w:line="240" w:lineRule="auto" w:before="19" w:after="0"/>
              <w:ind w:left="440" w:right="0" w:hanging="360"/>
              <w:jc w:val="left"/>
              <w:rPr>
                <w:sz w:val="20"/>
              </w:rPr>
            </w:pPr>
            <w:r>
              <w:rPr>
                <w:color w:val="231F20"/>
                <w:sz w:val="20"/>
              </w:rPr>
              <w:t>Telehealth</w:t>
            </w:r>
            <w:r>
              <w:rPr>
                <w:color w:val="231F20"/>
                <w:spacing w:val="-2"/>
                <w:sz w:val="20"/>
              </w:rPr>
              <w:t> </w:t>
            </w:r>
            <w:r>
              <w:rPr>
                <w:color w:val="231F20"/>
                <w:sz w:val="20"/>
              </w:rPr>
              <w:t>can</w:t>
            </w:r>
            <w:r>
              <w:rPr>
                <w:color w:val="231F20"/>
                <w:spacing w:val="-1"/>
                <w:sz w:val="20"/>
              </w:rPr>
              <w:t> </w:t>
            </w:r>
            <w:r>
              <w:rPr>
                <w:color w:val="231F20"/>
                <w:sz w:val="20"/>
              </w:rPr>
              <w:t>be</w:t>
            </w:r>
            <w:r>
              <w:rPr>
                <w:color w:val="231F20"/>
                <w:spacing w:val="-2"/>
                <w:sz w:val="20"/>
              </w:rPr>
              <w:t> </w:t>
            </w:r>
            <w:r>
              <w:rPr>
                <w:color w:val="231F20"/>
                <w:sz w:val="20"/>
              </w:rPr>
              <w:t>used</w:t>
            </w:r>
            <w:r>
              <w:rPr>
                <w:color w:val="231F20"/>
                <w:spacing w:val="-1"/>
                <w:sz w:val="20"/>
              </w:rPr>
              <w:t> </w:t>
            </w:r>
            <w:r>
              <w:rPr>
                <w:color w:val="231F20"/>
                <w:sz w:val="20"/>
              </w:rPr>
              <w:t>to</w:t>
            </w:r>
            <w:r>
              <w:rPr>
                <w:color w:val="231F20"/>
                <w:spacing w:val="-2"/>
                <w:sz w:val="20"/>
              </w:rPr>
              <w:t> </w:t>
            </w:r>
            <w:r>
              <w:rPr>
                <w:color w:val="231F20"/>
                <w:sz w:val="20"/>
              </w:rPr>
              <w:t>integrate</w:t>
            </w:r>
            <w:r>
              <w:rPr>
                <w:color w:val="231F20"/>
                <w:spacing w:val="-1"/>
                <w:sz w:val="20"/>
              </w:rPr>
              <w:t> </w:t>
            </w:r>
            <w:r>
              <w:rPr>
                <w:color w:val="231F20"/>
                <w:sz w:val="20"/>
              </w:rPr>
              <w:t>care</w:t>
            </w:r>
            <w:r>
              <w:rPr>
                <w:color w:val="231F20"/>
                <w:spacing w:val="-2"/>
                <w:sz w:val="20"/>
              </w:rPr>
              <w:t> </w:t>
            </w:r>
            <w:r>
              <w:rPr>
                <w:color w:val="231F20"/>
                <w:sz w:val="20"/>
              </w:rPr>
              <w:t>and</w:t>
            </w:r>
            <w:r>
              <w:rPr>
                <w:color w:val="231F20"/>
                <w:spacing w:val="-1"/>
                <w:sz w:val="20"/>
              </w:rPr>
              <w:t> </w:t>
            </w:r>
            <w:r>
              <w:rPr>
                <w:color w:val="231F20"/>
                <w:sz w:val="20"/>
              </w:rPr>
              <w:t>extend</w:t>
            </w:r>
            <w:r>
              <w:rPr>
                <w:color w:val="231F20"/>
                <w:spacing w:val="-2"/>
                <w:sz w:val="20"/>
              </w:rPr>
              <w:t> </w:t>
            </w:r>
            <w:r>
              <w:rPr>
                <w:color w:val="231F20"/>
                <w:sz w:val="20"/>
              </w:rPr>
              <w:t>the</w:t>
            </w:r>
            <w:r>
              <w:rPr>
                <w:color w:val="231F20"/>
                <w:spacing w:val="-1"/>
                <w:sz w:val="20"/>
              </w:rPr>
              <w:t> </w:t>
            </w:r>
            <w:r>
              <w:rPr>
                <w:color w:val="231F20"/>
                <w:sz w:val="20"/>
              </w:rPr>
              <w:t>reach</w:t>
            </w:r>
            <w:r>
              <w:rPr>
                <w:color w:val="231F20"/>
                <w:spacing w:val="-2"/>
                <w:sz w:val="20"/>
              </w:rPr>
              <w:t> </w:t>
            </w:r>
            <w:r>
              <w:rPr>
                <w:color w:val="231F20"/>
                <w:sz w:val="20"/>
              </w:rPr>
              <w:t>of</w:t>
            </w:r>
            <w:r>
              <w:rPr>
                <w:color w:val="231F20"/>
                <w:spacing w:val="-1"/>
                <w:sz w:val="20"/>
              </w:rPr>
              <w:t> </w:t>
            </w:r>
            <w:r>
              <w:rPr>
                <w:color w:val="231F20"/>
                <w:sz w:val="20"/>
              </w:rPr>
              <w:t>specialty</w:t>
            </w:r>
            <w:r>
              <w:rPr>
                <w:color w:val="231F20"/>
                <w:spacing w:val="-2"/>
                <w:sz w:val="20"/>
              </w:rPr>
              <w:t> </w:t>
            </w:r>
            <w:r>
              <w:rPr>
                <w:color w:val="231F20"/>
                <w:sz w:val="20"/>
              </w:rPr>
              <w:t>providers</w:t>
            </w:r>
            <w:r>
              <w:rPr>
                <w:color w:val="231F20"/>
                <w:spacing w:val="-1"/>
                <w:sz w:val="20"/>
              </w:rPr>
              <w:t> </w:t>
            </w:r>
            <w:r>
              <w:rPr>
                <w:color w:val="231F20"/>
                <w:sz w:val="20"/>
              </w:rPr>
              <w:t>to</w:t>
            </w:r>
            <w:r>
              <w:rPr>
                <w:color w:val="231F20"/>
                <w:spacing w:val="-2"/>
                <w:sz w:val="20"/>
              </w:rPr>
              <w:t> </w:t>
            </w:r>
            <w:r>
              <w:rPr>
                <w:color w:val="231F20"/>
                <w:sz w:val="20"/>
              </w:rPr>
              <w:t>make</w:t>
            </w:r>
          </w:p>
          <w:p>
            <w:pPr>
              <w:pStyle w:val="TableParagraph"/>
              <w:spacing w:line="228" w:lineRule="exact" w:before="9"/>
              <w:rPr>
                <w:sz w:val="11"/>
              </w:rPr>
            </w:pPr>
            <w:r>
              <w:rPr>
                <w:color w:val="231F20"/>
                <w:sz w:val="20"/>
              </w:rPr>
              <w:t>MAT</w:t>
            </w:r>
            <w:r>
              <w:rPr>
                <w:color w:val="231F20"/>
                <w:spacing w:val="-11"/>
                <w:sz w:val="20"/>
              </w:rPr>
              <w:t> </w:t>
            </w:r>
            <w:r>
              <w:rPr>
                <w:color w:val="231F20"/>
                <w:sz w:val="20"/>
              </w:rPr>
              <w:t>available</w:t>
            </w:r>
            <w:r>
              <w:rPr>
                <w:color w:val="231F20"/>
                <w:spacing w:val="-8"/>
                <w:sz w:val="20"/>
              </w:rPr>
              <w:t> </w:t>
            </w:r>
            <w:r>
              <w:rPr>
                <w:color w:val="231F20"/>
                <w:sz w:val="20"/>
              </w:rPr>
              <w:t>to</w:t>
            </w:r>
            <w:r>
              <w:rPr>
                <w:color w:val="231F20"/>
                <w:spacing w:val="-6"/>
                <w:sz w:val="20"/>
              </w:rPr>
              <w:t> </w:t>
            </w:r>
            <w:r>
              <w:rPr>
                <w:color w:val="231F20"/>
                <w:sz w:val="20"/>
              </w:rPr>
              <w:t>underserved</w:t>
            </w:r>
            <w:r>
              <w:rPr>
                <w:color w:val="231F20"/>
                <w:spacing w:val="-8"/>
                <w:sz w:val="20"/>
              </w:rPr>
              <w:t> </w:t>
            </w:r>
            <w:r>
              <w:rPr>
                <w:color w:val="231F20"/>
                <w:sz w:val="20"/>
              </w:rPr>
              <w:t>populations</w:t>
            </w:r>
            <w:r>
              <w:rPr>
                <w:color w:val="231F20"/>
                <w:position w:val="7"/>
                <w:sz w:val="11"/>
              </w:rPr>
              <w:t>22</w:t>
            </w:r>
          </w:p>
          <w:p>
            <w:pPr>
              <w:pStyle w:val="TableParagraph"/>
              <w:numPr>
                <w:ilvl w:val="0"/>
                <w:numId w:val="21"/>
              </w:numPr>
              <w:tabs>
                <w:tab w:pos="439" w:val="left" w:leader="none"/>
                <w:tab w:pos="440" w:val="left" w:leader="none"/>
              </w:tabs>
              <w:spacing w:line="247" w:lineRule="auto" w:before="0" w:after="0"/>
              <w:ind w:left="439" w:right="493" w:hanging="360"/>
              <w:jc w:val="left"/>
              <w:rPr>
                <w:sz w:val="11"/>
              </w:rPr>
            </w:pPr>
            <w:r>
              <w:rPr>
                <w:color w:val="231F20"/>
                <w:sz w:val="20"/>
              </w:rPr>
              <w:t>Although</w:t>
            </w:r>
            <w:r>
              <w:rPr>
                <w:color w:val="231F20"/>
                <w:spacing w:val="-2"/>
                <w:sz w:val="20"/>
              </w:rPr>
              <w:t> </w:t>
            </w:r>
            <w:r>
              <w:rPr>
                <w:color w:val="231F20"/>
                <w:sz w:val="20"/>
              </w:rPr>
              <w:t>some</w:t>
            </w:r>
            <w:r>
              <w:rPr>
                <w:color w:val="231F20"/>
                <w:spacing w:val="-2"/>
                <w:sz w:val="20"/>
              </w:rPr>
              <w:t> </w:t>
            </w:r>
            <w:r>
              <w:rPr>
                <w:color w:val="231F20"/>
                <w:sz w:val="20"/>
              </w:rPr>
              <w:t>clients</w:t>
            </w:r>
            <w:r>
              <w:rPr>
                <w:color w:val="231F20"/>
                <w:spacing w:val="-1"/>
                <w:sz w:val="20"/>
              </w:rPr>
              <w:t> </w:t>
            </w:r>
            <w:r>
              <w:rPr>
                <w:color w:val="231F20"/>
                <w:sz w:val="20"/>
              </w:rPr>
              <w:t>experienced</w:t>
            </w:r>
            <w:r>
              <w:rPr>
                <w:color w:val="231F20"/>
                <w:spacing w:val="-2"/>
                <w:sz w:val="20"/>
              </w:rPr>
              <w:t> </w:t>
            </w:r>
            <w:r>
              <w:rPr>
                <w:color w:val="231F20"/>
                <w:sz w:val="20"/>
              </w:rPr>
              <w:t>technical</w:t>
            </w:r>
            <w:r>
              <w:rPr>
                <w:color w:val="231F20"/>
                <w:spacing w:val="-2"/>
                <w:sz w:val="20"/>
              </w:rPr>
              <w:t> </w:t>
            </w:r>
            <w:r>
              <w:rPr>
                <w:color w:val="231F20"/>
                <w:sz w:val="20"/>
              </w:rPr>
              <w:t>problems,</w:t>
            </w:r>
            <w:r>
              <w:rPr>
                <w:color w:val="231F20"/>
                <w:spacing w:val="-1"/>
                <w:sz w:val="20"/>
              </w:rPr>
              <w:t> </w:t>
            </w:r>
            <w:r>
              <w:rPr>
                <w:color w:val="231F20"/>
                <w:sz w:val="20"/>
              </w:rPr>
              <w:t>most</w:t>
            </w:r>
            <w:r>
              <w:rPr>
                <w:color w:val="231F20"/>
                <w:spacing w:val="-2"/>
                <w:sz w:val="20"/>
              </w:rPr>
              <w:t> </w:t>
            </w:r>
            <w:r>
              <w:rPr>
                <w:color w:val="231F20"/>
                <w:sz w:val="20"/>
              </w:rPr>
              <w:t>enjoyed</w:t>
            </w:r>
            <w:r>
              <w:rPr>
                <w:color w:val="231F20"/>
                <w:spacing w:val="-2"/>
                <w:sz w:val="20"/>
              </w:rPr>
              <w:t> </w:t>
            </w:r>
            <w:r>
              <w:rPr>
                <w:color w:val="231F20"/>
                <w:sz w:val="20"/>
              </w:rPr>
              <w:t>the</w:t>
            </w:r>
            <w:r>
              <w:rPr>
                <w:color w:val="231F20"/>
                <w:spacing w:val="-1"/>
                <w:sz w:val="20"/>
              </w:rPr>
              <w:t> </w:t>
            </w:r>
            <w:r>
              <w:rPr>
                <w:color w:val="231F20"/>
                <w:sz w:val="20"/>
              </w:rPr>
              <w:t>convenience</w:t>
            </w:r>
            <w:r>
              <w:rPr>
                <w:color w:val="231F20"/>
                <w:spacing w:val="-2"/>
                <w:sz w:val="20"/>
              </w:rPr>
              <w:t> </w:t>
            </w:r>
            <w:r>
              <w:rPr>
                <w:color w:val="231F20"/>
                <w:sz w:val="20"/>
              </w:rPr>
              <w:t>of</w:t>
            </w:r>
            <w:r>
              <w:rPr>
                <w:color w:val="231F20"/>
                <w:spacing w:val="-53"/>
                <w:sz w:val="20"/>
              </w:rPr>
              <w:t> </w:t>
            </w:r>
            <w:r>
              <w:rPr>
                <w:color w:val="231F20"/>
                <w:sz w:val="20"/>
              </w:rPr>
              <w:t>telehealth services</w:t>
            </w:r>
            <w:r>
              <w:rPr>
                <w:color w:val="231F20"/>
                <w:position w:val="7"/>
                <w:sz w:val="11"/>
              </w:rPr>
              <w:t>23</w:t>
            </w:r>
          </w:p>
          <w:p>
            <w:pPr>
              <w:pStyle w:val="TableParagraph"/>
              <w:numPr>
                <w:ilvl w:val="0"/>
                <w:numId w:val="21"/>
              </w:numPr>
              <w:tabs>
                <w:tab w:pos="439" w:val="left" w:leader="none"/>
                <w:tab w:pos="440" w:val="left" w:leader="none"/>
              </w:tabs>
              <w:spacing w:line="247" w:lineRule="auto" w:before="0" w:after="0"/>
              <w:ind w:left="439" w:right="579" w:hanging="360"/>
              <w:jc w:val="left"/>
              <w:rPr>
                <w:sz w:val="11"/>
              </w:rPr>
            </w:pPr>
            <w:r>
              <w:rPr>
                <w:color w:val="231F20"/>
                <w:sz w:val="20"/>
              </w:rPr>
              <w:t>Providing</w:t>
            </w:r>
            <w:r>
              <w:rPr>
                <w:color w:val="231F20"/>
                <w:spacing w:val="-4"/>
                <w:sz w:val="20"/>
              </w:rPr>
              <w:t> </w:t>
            </w:r>
            <w:r>
              <w:rPr>
                <w:color w:val="231F20"/>
                <w:sz w:val="20"/>
              </w:rPr>
              <w:t>MAT</w:t>
            </w:r>
            <w:r>
              <w:rPr>
                <w:color w:val="231F20"/>
                <w:spacing w:val="-7"/>
                <w:sz w:val="20"/>
              </w:rPr>
              <w:t> </w:t>
            </w:r>
            <w:r>
              <w:rPr>
                <w:color w:val="231F20"/>
                <w:sz w:val="20"/>
              </w:rPr>
              <w:t>via</w:t>
            </w:r>
            <w:r>
              <w:rPr>
                <w:color w:val="231F20"/>
                <w:spacing w:val="-3"/>
                <w:sz w:val="20"/>
              </w:rPr>
              <w:t> </w:t>
            </w:r>
            <w:r>
              <w:rPr>
                <w:color w:val="231F20"/>
                <w:sz w:val="20"/>
              </w:rPr>
              <w:t>telehealth</w:t>
            </w:r>
            <w:r>
              <w:rPr>
                <w:color w:val="231F20"/>
                <w:spacing w:val="-3"/>
                <w:sz w:val="20"/>
              </w:rPr>
              <w:t> </w:t>
            </w:r>
            <w:r>
              <w:rPr>
                <w:color w:val="231F20"/>
                <w:sz w:val="20"/>
              </w:rPr>
              <w:t>is</w:t>
            </w:r>
            <w:r>
              <w:rPr>
                <w:color w:val="231F20"/>
                <w:spacing w:val="-4"/>
                <w:sz w:val="20"/>
              </w:rPr>
              <w:t> </w:t>
            </w:r>
            <w:r>
              <w:rPr>
                <w:color w:val="231F20"/>
                <w:sz w:val="20"/>
              </w:rPr>
              <w:t>limited</w:t>
            </w:r>
            <w:r>
              <w:rPr>
                <w:color w:val="231F20"/>
                <w:spacing w:val="-5"/>
                <w:sz w:val="20"/>
              </w:rPr>
              <w:t> </w:t>
            </w:r>
            <w:r>
              <w:rPr>
                <w:color w:val="231F20"/>
                <w:sz w:val="20"/>
              </w:rPr>
              <w:t>by</w:t>
            </w:r>
            <w:r>
              <w:rPr>
                <w:color w:val="231F20"/>
                <w:spacing w:val="-4"/>
                <w:sz w:val="20"/>
              </w:rPr>
              <w:t> </w:t>
            </w:r>
            <w:r>
              <w:rPr>
                <w:color w:val="231F20"/>
                <w:sz w:val="20"/>
              </w:rPr>
              <w:t>regulatory</w:t>
            </w:r>
            <w:r>
              <w:rPr>
                <w:color w:val="231F20"/>
                <w:spacing w:val="-3"/>
                <w:sz w:val="20"/>
              </w:rPr>
              <w:t> </w:t>
            </w:r>
            <w:r>
              <w:rPr>
                <w:color w:val="231F20"/>
                <w:sz w:val="20"/>
              </w:rPr>
              <w:t>constraints</w:t>
            </w:r>
            <w:r>
              <w:rPr>
                <w:color w:val="231F20"/>
                <w:spacing w:val="-3"/>
                <w:sz w:val="20"/>
              </w:rPr>
              <w:t> </w:t>
            </w:r>
            <w:r>
              <w:rPr>
                <w:color w:val="231F20"/>
                <w:sz w:val="20"/>
              </w:rPr>
              <w:t>and</w:t>
            </w:r>
            <w:r>
              <w:rPr>
                <w:color w:val="231F20"/>
                <w:spacing w:val="-5"/>
                <w:sz w:val="20"/>
              </w:rPr>
              <w:t> </w:t>
            </w:r>
            <w:r>
              <w:rPr>
                <w:color w:val="231F20"/>
                <w:sz w:val="20"/>
              </w:rPr>
              <w:t>practitioners</w:t>
            </w:r>
            <w:r>
              <w:rPr>
                <w:color w:val="231F20"/>
                <w:spacing w:val="-4"/>
                <w:sz w:val="20"/>
              </w:rPr>
              <w:t> </w:t>
            </w:r>
            <w:r>
              <w:rPr>
                <w:color w:val="231F20"/>
                <w:sz w:val="20"/>
              </w:rPr>
              <w:t>should</w:t>
            </w:r>
            <w:r>
              <w:rPr>
                <w:color w:val="231F20"/>
                <w:spacing w:val="-52"/>
                <w:sz w:val="20"/>
              </w:rPr>
              <w:t> </w:t>
            </w:r>
            <w:r>
              <w:rPr>
                <w:color w:val="231F20"/>
                <w:sz w:val="20"/>
              </w:rPr>
              <w:t>consult</w:t>
            </w:r>
            <w:r>
              <w:rPr>
                <w:color w:val="231F20"/>
                <w:spacing w:val="-3"/>
                <w:sz w:val="20"/>
              </w:rPr>
              <w:t> </w:t>
            </w:r>
            <w:r>
              <w:rPr>
                <w:color w:val="231F20"/>
                <w:sz w:val="20"/>
              </w:rPr>
              <w:t>state</w:t>
            </w:r>
            <w:r>
              <w:rPr>
                <w:color w:val="231F20"/>
                <w:spacing w:val="-3"/>
                <w:sz w:val="20"/>
              </w:rPr>
              <w:t> </w:t>
            </w:r>
            <w:r>
              <w:rPr>
                <w:color w:val="231F20"/>
                <w:sz w:val="20"/>
              </w:rPr>
              <w:t>and</w:t>
            </w:r>
            <w:r>
              <w:rPr>
                <w:color w:val="231F20"/>
                <w:spacing w:val="-4"/>
                <w:sz w:val="20"/>
              </w:rPr>
              <w:t> </w:t>
            </w:r>
            <w:r>
              <w:rPr>
                <w:color w:val="231F20"/>
                <w:sz w:val="20"/>
              </w:rPr>
              <w:t>federal</w:t>
            </w:r>
            <w:r>
              <w:rPr>
                <w:color w:val="231F20"/>
                <w:spacing w:val="-2"/>
                <w:sz w:val="20"/>
              </w:rPr>
              <w:t> </w:t>
            </w:r>
            <w:r>
              <w:rPr>
                <w:color w:val="231F20"/>
                <w:sz w:val="20"/>
              </w:rPr>
              <w:t>prescribing</w:t>
            </w:r>
            <w:r>
              <w:rPr>
                <w:color w:val="231F20"/>
                <w:spacing w:val="-4"/>
                <w:sz w:val="20"/>
              </w:rPr>
              <w:t> </w:t>
            </w:r>
            <w:r>
              <w:rPr>
                <w:color w:val="231F20"/>
                <w:sz w:val="20"/>
              </w:rPr>
              <w:t>laws</w:t>
            </w:r>
            <w:r>
              <w:rPr>
                <w:color w:val="231F20"/>
                <w:spacing w:val="-4"/>
                <w:sz w:val="20"/>
              </w:rPr>
              <w:t> </w:t>
            </w:r>
            <w:r>
              <w:rPr>
                <w:color w:val="231F20"/>
                <w:sz w:val="20"/>
              </w:rPr>
              <w:t>prior</w:t>
            </w:r>
            <w:r>
              <w:rPr>
                <w:color w:val="231F20"/>
                <w:spacing w:val="-3"/>
                <w:sz w:val="20"/>
              </w:rPr>
              <w:t> </w:t>
            </w:r>
            <w:r>
              <w:rPr>
                <w:color w:val="231F20"/>
                <w:sz w:val="20"/>
              </w:rPr>
              <w:t>to</w:t>
            </w:r>
            <w:r>
              <w:rPr>
                <w:color w:val="231F20"/>
                <w:spacing w:val="-3"/>
                <w:sz w:val="20"/>
              </w:rPr>
              <w:t> </w:t>
            </w:r>
            <w:r>
              <w:rPr>
                <w:color w:val="231F20"/>
                <w:sz w:val="20"/>
              </w:rPr>
              <w:t>initiating</w:t>
            </w:r>
            <w:r>
              <w:rPr>
                <w:color w:val="231F20"/>
                <w:spacing w:val="-4"/>
                <w:sz w:val="20"/>
              </w:rPr>
              <w:t> </w:t>
            </w:r>
            <w:r>
              <w:rPr>
                <w:color w:val="231F20"/>
                <w:sz w:val="20"/>
              </w:rPr>
              <w:t>telehealth</w:t>
            </w:r>
            <w:r>
              <w:rPr>
                <w:color w:val="231F20"/>
                <w:spacing w:val="-2"/>
                <w:sz w:val="20"/>
              </w:rPr>
              <w:t> </w:t>
            </w:r>
            <w:r>
              <w:rPr>
                <w:color w:val="231F20"/>
                <w:sz w:val="20"/>
              </w:rPr>
              <w:t>MAT</w:t>
            </w:r>
            <w:r>
              <w:rPr>
                <w:color w:val="231F20"/>
                <w:spacing w:val="-7"/>
                <w:sz w:val="20"/>
              </w:rPr>
              <w:t> </w:t>
            </w:r>
            <w:r>
              <w:rPr>
                <w:color w:val="231F20"/>
                <w:sz w:val="20"/>
              </w:rPr>
              <w:t>programs</w:t>
            </w:r>
            <w:r>
              <w:rPr>
                <w:color w:val="231F20"/>
                <w:position w:val="7"/>
                <w:sz w:val="11"/>
              </w:rPr>
              <w:t>29</w:t>
            </w:r>
          </w:p>
        </w:tc>
      </w:tr>
      <w:tr>
        <w:trPr>
          <w:trHeight w:val="535" w:hRule="atLeast"/>
        </w:trPr>
        <w:tc>
          <w:tcPr>
            <w:tcW w:w="10785" w:type="dxa"/>
            <w:gridSpan w:val="2"/>
            <w:tcBorders>
              <w:right w:val="single" w:sz="8" w:space="0" w:color="231F20"/>
            </w:tcBorders>
          </w:tcPr>
          <w:p>
            <w:pPr>
              <w:pStyle w:val="TableParagraph"/>
              <w:spacing w:line="249" w:lineRule="auto" w:before="33"/>
              <w:ind w:left="75"/>
              <w:rPr>
                <w:sz w:val="20"/>
              </w:rPr>
            </w:pPr>
            <w:r>
              <w:rPr>
                <w:color w:val="231F20"/>
                <w:sz w:val="20"/>
              </w:rPr>
              <w:t>Four</w:t>
            </w:r>
            <w:r>
              <w:rPr>
                <w:color w:val="231F20"/>
                <w:spacing w:val="-2"/>
                <w:sz w:val="20"/>
              </w:rPr>
              <w:t> </w:t>
            </w:r>
            <w:r>
              <w:rPr>
                <w:color w:val="231F20"/>
                <w:sz w:val="20"/>
              </w:rPr>
              <w:t>studies</w:t>
            </w:r>
            <w:r>
              <w:rPr>
                <w:color w:val="231F20"/>
                <w:spacing w:val="-2"/>
                <w:sz w:val="20"/>
              </w:rPr>
              <w:t> </w:t>
            </w:r>
            <w:r>
              <w:rPr>
                <w:color w:val="231F20"/>
                <w:sz w:val="20"/>
              </w:rPr>
              <w:t>met</w:t>
            </w:r>
            <w:r>
              <w:rPr>
                <w:color w:val="231F20"/>
                <w:spacing w:val="-2"/>
                <w:sz w:val="20"/>
              </w:rPr>
              <w:t> </w:t>
            </w:r>
            <w:r>
              <w:rPr>
                <w:color w:val="231F20"/>
                <w:sz w:val="20"/>
              </w:rPr>
              <w:t>criteria</w:t>
            </w:r>
            <w:r>
              <w:rPr>
                <w:color w:val="231F20"/>
                <w:spacing w:val="-2"/>
                <w:sz w:val="20"/>
              </w:rPr>
              <w:t> </w:t>
            </w:r>
            <w:r>
              <w:rPr>
                <w:color w:val="231F20"/>
                <w:sz w:val="20"/>
              </w:rPr>
              <w:t>for</w:t>
            </w:r>
            <w:r>
              <w:rPr>
                <w:color w:val="231F20"/>
                <w:spacing w:val="-2"/>
                <w:sz w:val="20"/>
              </w:rPr>
              <w:t> </w:t>
            </w:r>
            <w:r>
              <w:rPr>
                <w:color w:val="231F20"/>
                <w:sz w:val="20"/>
              </w:rPr>
              <w:t>review</w:t>
            </w:r>
            <w:r>
              <w:rPr>
                <w:color w:val="231F20"/>
                <w:spacing w:val="-2"/>
                <w:sz w:val="20"/>
              </w:rPr>
              <w:t> </w:t>
            </w:r>
            <w:r>
              <w:rPr>
                <w:color w:val="231F20"/>
                <w:sz w:val="20"/>
              </w:rPr>
              <w:t>(one</w:t>
            </w:r>
            <w:r>
              <w:rPr>
                <w:color w:val="231F20"/>
                <w:spacing w:val="-2"/>
                <w:sz w:val="20"/>
              </w:rPr>
              <w:t> </w:t>
            </w:r>
            <w:r>
              <w:rPr>
                <w:color w:val="231F20"/>
                <w:sz w:val="20"/>
              </w:rPr>
              <w:t>RCT,</w:t>
            </w:r>
            <w:r>
              <w:rPr>
                <w:color w:val="231F20"/>
                <w:spacing w:val="-2"/>
                <w:sz w:val="20"/>
              </w:rPr>
              <w:t> </w:t>
            </w:r>
            <w:r>
              <w:rPr>
                <w:color w:val="231F20"/>
                <w:sz w:val="20"/>
              </w:rPr>
              <w:t>two</w:t>
            </w:r>
            <w:r>
              <w:rPr>
                <w:color w:val="231F20"/>
                <w:spacing w:val="-2"/>
                <w:sz w:val="20"/>
              </w:rPr>
              <w:t> </w:t>
            </w:r>
            <w:r>
              <w:rPr>
                <w:color w:val="231F20"/>
                <w:sz w:val="20"/>
              </w:rPr>
              <w:t>QEDs,</w:t>
            </w:r>
            <w:r>
              <w:rPr>
                <w:color w:val="231F20"/>
                <w:spacing w:val="-2"/>
                <w:sz w:val="20"/>
              </w:rPr>
              <w:t> </w:t>
            </w:r>
            <w:r>
              <w:rPr>
                <w:color w:val="231F20"/>
                <w:sz w:val="20"/>
              </w:rPr>
              <w:t>and</w:t>
            </w:r>
            <w:r>
              <w:rPr>
                <w:color w:val="231F20"/>
                <w:spacing w:val="-2"/>
                <w:sz w:val="20"/>
              </w:rPr>
              <w:t> </w:t>
            </w:r>
            <w:r>
              <w:rPr>
                <w:color w:val="231F20"/>
                <w:sz w:val="20"/>
              </w:rPr>
              <w:t>one</w:t>
            </w:r>
            <w:r>
              <w:rPr>
                <w:color w:val="231F20"/>
                <w:spacing w:val="-2"/>
                <w:sz w:val="20"/>
              </w:rPr>
              <w:t> </w:t>
            </w:r>
            <w:r>
              <w:rPr>
                <w:color w:val="231F20"/>
                <w:sz w:val="20"/>
              </w:rPr>
              <w:t>single</w:t>
            </w:r>
            <w:r>
              <w:rPr>
                <w:color w:val="231F20"/>
                <w:spacing w:val="-2"/>
                <w:sz w:val="20"/>
              </w:rPr>
              <w:t> </w:t>
            </w:r>
            <w:r>
              <w:rPr>
                <w:color w:val="231F20"/>
                <w:sz w:val="20"/>
              </w:rPr>
              <w:t>sample</w:t>
            </w:r>
            <w:r>
              <w:rPr>
                <w:color w:val="231F20"/>
                <w:spacing w:val="-2"/>
                <w:sz w:val="20"/>
              </w:rPr>
              <w:t> </w:t>
            </w:r>
            <w:r>
              <w:rPr>
                <w:color w:val="231F20"/>
                <w:sz w:val="20"/>
              </w:rPr>
              <w:t>pre-post),</w:t>
            </w:r>
            <w:r>
              <w:rPr>
                <w:color w:val="231F20"/>
                <w:spacing w:val="-2"/>
                <w:sz w:val="20"/>
              </w:rPr>
              <w:t> </w:t>
            </w:r>
            <w:r>
              <w:rPr>
                <w:color w:val="231F20"/>
                <w:sz w:val="20"/>
              </w:rPr>
              <w:t>resulting</w:t>
            </w:r>
            <w:r>
              <w:rPr>
                <w:color w:val="231F20"/>
                <w:spacing w:val="-2"/>
                <w:sz w:val="20"/>
              </w:rPr>
              <w:t> </w:t>
            </w:r>
            <w:r>
              <w:rPr>
                <w:color w:val="231F20"/>
                <w:sz w:val="20"/>
              </w:rPr>
              <w:t>in</w:t>
            </w:r>
            <w:r>
              <w:rPr>
                <w:color w:val="231F20"/>
                <w:spacing w:val="-2"/>
                <w:sz w:val="20"/>
              </w:rPr>
              <w:t> </w:t>
            </w:r>
            <w:r>
              <w:rPr>
                <w:color w:val="231F20"/>
                <w:sz w:val="20"/>
              </w:rPr>
              <w:t>a</w:t>
            </w:r>
            <w:r>
              <w:rPr>
                <w:color w:val="231F20"/>
                <w:spacing w:val="-2"/>
                <w:sz w:val="20"/>
              </w:rPr>
              <w:t> </w:t>
            </w:r>
            <w:r>
              <w:rPr>
                <w:color w:val="231F20"/>
                <w:sz w:val="20"/>
              </w:rPr>
              <w:t>rating</w:t>
            </w:r>
            <w:r>
              <w:rPr>
                <w:color w:val="231F20"/>
                <w:spacing w:val="-2"/>
                <w:sz w:val="20"/>
              </w:rPr>
              <w:t> </w:t>
            </w:r>
            <w:r>
              <w:rPr>
                <w:color w:val="231F20"/>
                <w:sz w:val="20"/>
              </w:rPr>
              <w:t>of</w:t>
            </w:r>
            <w:r>
              <w:rPr>
                <w:color w:val="231F20"/>
                <w:spacing w:val="-2"/>
                <w:sz w:val="20"/>
              </w:rPr>
              <w:t> </w:t>
            </w:r>
            <w:r>
              <w:rPr>
                <w:color w:val="231F20"/>
                <w:sz w:val="20"/>
              </w:rPr>
              <w:t>Strong</w:t>
            </w:r>
            <w:r>
              <w:rPr>
                <w:color w:val="231F20"/>
                <w:spacing w:val="-52"/>
                <w:sz w:val="20"/>
              </w:rPr>
              <w:t> </w:t>
            </w:r>
            <w:r>
              <w:rPr>
                <w:color w:val="231F20"/>
                <w:sz w:val="20"/>
              </w:rPr>
              <w:t>Support for Causal Evidence.</w:t>
            </w:r>
          </w:p>
        </w:tc>
      </w:tr>
    </w:tbl>
    <w:p>
      <w:pPr>
        <w:spacing w:after="0" w:line="249" w:lineRule="auto"/>
        <w:rPr>
          <w:sz w:val="20"/>
        </w:rPr>
        <w:sectPr>
          <w:pgSz w:w="12240" w:h="15840"/>
          <w:pgMar w:header="0" w:footer="666" w:top="380" w:bottom="860" w:left="600" w:right="0"/>
        </w:sectPr>
      </w:pPr>
    </w:p>
    <w:p>
      <w:pPr>
        <w:pStyle w:val="BodyText"/>
        <w:rPr>
          <w:rFonts w:ascii="Arial"/>
          <w:b/>
          <w:sz w:val="20"/>
        </w:rPr>
      </w:pPr>
    </w:p>
    <w:p>
      <w:pPr>
        <w:pStyle w:val="BodyText"/>
        <w:spacing w:before="10"/>
        <w:rPr>
          <w:rFonts w:ascii="Arial"/>
          <w:b/>
          <w:sz w:val="26"/>
        </w:rPr>
      </w:pPr>
    </w:p>
    <w:p>
      <w:pPr>
        <w:spacing w:after="0"/>
        <w:rPr>
          <w:rFonts w:ascii="Arial"/>
          <w:sz w:val="26"/>
        </w:rPr>
        <w:sectPr>
          <w:pgSz w:w="12240" w:h="15840"/>
          <w:pgMar w:header="0" w:footer="666" w:top="380" w:bottom="860" w:left="600" w:right="0"/>
        </w:sectPr>
      </w:pPr>
    </w:p>
    <w:p>
      <w:pPr>
        <w:pStyle w:val="BodyText"/>
        <w:spacing w:line="266" w:lineRule="auto" w:before="91"/>
        <w:ind w:left="119" w:right="78"/>
      </w:pPr>
      <w:r>
        <w:rPr>
          <w:b/>
          <w:color w:val="231F20"/>
        </w:rPr>
        <w:t>Medication management </w:t>
      </w:r>
      <w:r>
        <w:rPr>
          <w:color w:val="231F20"/>
        </w:rPr>
        <w:t>via telehealth ranges from</w:t>
      </w:r>
      <w:r>
        <w:rPr>
          <w:color w:val="231F20"/>
          <w:spacing w:val="1"/>
        </w:rPr>
        <w:t> </w:t>
      </w:r>
      <w:r>
        <w:rPr>
          <w:color w:val="231F20"/>
        </w:rPr>
        <w:t>automated, non-specific text messages to adherence</w:t>
      </w:r>
      <w:r>
        <w:rPr>
          <w:color w:val="231F20"/>
          <w:spacing w:val="1"/>
        </w:rPr>
        <w:t> </w:t>
      </w:r>
      <w:r>
        <w:rPr>
          <w:color w:val="231F20"/>
          <w:w w:val="95"/>
        </w:rPr>
        <w:t>counseling</w:t>
      </w:r>
      <w:r>
        <w:rPr>
          <w:color w:val="231F20"/>
          <w:spacing w:val="34"/>
          <w:w w:val="95"/>
        </w:rPr>
        <w:t> </w:t>
      </w:r>
      <w:r>
        <w:rPr>
          <w:color w:val="231F20"/>
          <w:w w:val="95"/>
        </w:rPr>
        <w:t>conducted</w:t>
      </w:r>
      <w:r>
        <w:rPr>
          <w:color w:val="231F20"/>
          <w:spacing w:val="35"/>
          <w:w w:val="95"/>
        </w:rPr>
        <w:t> </w:t>
      </w:r>
      <w:r>
        <w:rPr>
          <w:color w:val="231F20"/>
          <w:w w:val="95"/>
        </w:rPr>
        <w:t>over</w:t>
      </w:r>
      <w:r>
        <w:rPr>
          <w:color w:val="231F20"/>
          <w:spacing w:val="35"/>
          <w:w w:val="95"/>
        </w:rPr>
        <w:t> </w:t>
      </w:r>
      <w:r>
        <w:rPr>
          <w:color w:val="231F20"/>
          <w:w w:val="95"/>
        </w:rPr>
        <w:t>the</w:t>
      </w:r>
      <w:r>
        <w:rPr>
          <w:color w:val="231F20"/>
          <w:spacing w:val="34"/>
          <w:w w:val="95"/>
        </w:rPr>
        <w:t> </w:t>
      </w:r>
      <w:r>
        <w:rPr>
          <w:color w:val="231F20"/>
          <w:w w:val="95"/>
        </w:rPr>
        <w:t>telephone.</w:t>
      </w:r>
      <w:r>
        <w:rPr>
          <w:color w:val="231F20"/>
          <w:w w:val="95"/>
          <w:vertAlign w:val="superscript"/>
        </w:rPr>
        <w:t>7,</w:t>
      </w:r>
      <w:r>
        <w:rPr>
          <w:color w:val="231F20"/>
          <w:spacing w:val="-1"/>
          <w:w w:val="95"/>
          <w:vertAlign w:val="baseline"/>
        </w:rPr>
        <w:t> </w:t>
      </w:r>
      <w:r>
        <w:rPr>
          <w:color w:val="231F20"/>
          <w:w w:val="95"/>
          <w:vertAlign w:val="superscript"/>
        </w:rPr>
        <w:t>30</w:t>
      </w:r>
      <w:r>
        <w:rPr>
          <w:color w:val="231F20"/>
          <w:spacing w:val="34"/>
          <w:w w:val="95"/>
          <w:vertAlign w:val="baseline"/>
        </w:rPr>
        <w:t> </w:t>
      </w:r>
      <w:r>
        <w:rPr>
          <w:color w:val="231F20"/>
          <w:w w:val="95"/>
          <w:vertAlign w:val="baseline"/>
        </w:rPr>
        <w:t>Examples</w:t>
      </w:r>
      <w:r>
        <w:rPr>
          <w:color w:val="231F20"/>
          <w:spacing w:val="-49"/>
          <w:w w:val="95"/>
          <w:vertAlign w:val="baseline"/>
        </w:rPr>
        <w:t> </w:t>
      </w:r>
      <w:r>
        <w:rPr>
          <w:color w:val="231F20"/>
          <w:vertAlign w:val="baseline"/>
        </w:rPr>
        <w:t>of telehealth modalities for conducting medication</w:t>
      </w:r>
      <w:r>
        <w:rPr>
          <w:color w:val="231F20"/>
          <w:spacing w:val="1"/>
          <w:vertAlign w:val="baseline"/>
        </w:rPr>
        <w:t> </w:t>
      </w:r>
      <w:r>
        <w:rPr>
          <w:color w:val="231F20"/>
          <w:vertAlign w:val="baseline"/>
        </w:rPr>
        <w:t>management are described below:</w:t>
      </w:r>
    </w:p>
    <w:p>
      <w:pPr>
        <w:pStyle w:val="ListParagraph"/>
        <w:numPr>
          <w:ilvl w:val="0"/>
          <w:numId w:val="13"/>
        </w:numPr>
        <w:tabs>
          <w:tab w:pos="839" w:val="left" w:leader="none"/>
          <w:tab w:pos="840" w:val="left" w:leader="none"/>
        </w:tabs>
        <w:spacing w:line="266" w:lineRule="auto" w:before="160" w:after="0"/>
        <w:ind w:left="839" w:right="38" w:hanging="360"/>
        <w:jc w:val="left"/>
        <w:rPr>
          <w:sz w:val="22"/>
        </w:rPr>
      </w:pPr>
      <w:r>
        <w:rPr>
          <w:b/>
          <w:color w:val="010202"/>
          <w:sz w:val="22"/>
        </w:rPr>
        <w:t>Text message </w:t>
      </w:r>
      <w:r>
        <w:rPr>
          <w:color w:val="010202"/>
          <w:sz w:val="22"/>
        </w:rPr>
        <w:t>interventions, designed to remind</w:t>
      </w:r>
      <w:r>
        <w:rPr>
          <w:color w:val="010202"/>
          <w:spacing w:val="-52"/>
          <w:sz w:val="22"/>
        </w:rPr>
        <w:t> </w:t>
      </w:r>
      <w:r>
        <w:rPr>
          <w:color w:val="010202"/>
          <w:sz w:val="22"/>
        </w:rPr>
        <w:t>clients to take their medication, have been found</w:t>
      </w:r>
      <w:r>
        <w:rPr>
          <w:color w:val="010202"/>
          <w:spacing w:val="-52"/>
          <w:sz w:val="22"/>
        </w:rPr>
        <w:t> </w:t>
      </w:r>
      <w:r>
        <w:rPr>
          <w:color w:val="010202"/>
          <w:sz w:val="22"/>
        </w:rPr>
        <w:t>to</w:t>
      </w:r>
      <w:r>
        <w:rPr>
          <w:color w:val="010202"/>
          <w:spacing w:val="2"/>
          <w:sz w:val="22"/>
        </w:rPr>
        <w:t> </w:t>
      </w:r>
      <w:r>
        <w:rPr>
          <w:color w:val="010202"/>
          <w:sz w:val="22"/>
        </w:rPr>
        <w:t>be</w:t>
      </w:r>
      <w:r>
        <w:rPr>
          <w:color w:val="010202"/>
          <w:spacing w:val="3"/>
          <w:sz w:val="22"/>
        </w:rPr>
        <w:t> </w:t>
      </w:r>
      <w:r>
        <w:rPr>
          <w:color w:val="010202"/>
          <w:sz w:val="22"/>
        </w:rPr>
        <w:t>effective</w:t>
      </w:r>
      <w:r>
        <w:rPr>
          <w:color w:val="010202"/>
          <w:spacing w:val="3"/>
          <w:sz w:val="22"/>
        </w:rPr>
        <w:t> </w:t>
      </w:r>
      <w:r>
        <w:rPr>
          <w:color w:val="010202"/>
          <w:sz w:val="22"/>
        </w:rPr>
        <w:t>for</w:t>
      </w:r>
      <w:r>
        <w:rPr>
          <w:color w:val="010202"/>
          <w:spacing w:val="3"/>
          <w:sz w:val="22"/>
        </w:rPr>
        <w:t> </w:t>
      </w:r>
      <w:r>
        <w:rPr>
          <w:color w:val="010202"/>
          <w:sz w:val="22"/>
        </w:rPr>
        <w:t>people</w:t>
      </w:r>
      <w:r>
        <w:rPr>
          <w:color w:val="010202"/>
          <w:spacing w:val="3"/>
          <w:sz w:val="22"/>
        </w:rPr>
        <w:t> </w:t>
      </w:r>
      <w:r>
        <w:rPr>
          <w:color w:val="010202"/>
          <w:sz w:val="22"/>
        </w:rPr>
        <w:t>experiencing</w:t>
      </w:r>
      <w:r>
        <w:rPr>
          <w:color w:val="010202"/>
          <w:spacing w:val="3"/>
          <w:sz w:val="22"/>
        </w:rPr>
        <w:t> </w:t>
      </w:r>
      <w:r>
        <w:rPr>
          <w:color w:val="010202"/>
          <w:sz w:val="22"/>
        </w:rPr>
        <w:t>SMI</w:t>
      </w:r>
      <w:r>
        <w:rPr>
          <w:color w:val="010202"/>
          <w:spacing w:val="1"/>
          <w:sz w:val="22"/>
        </w:rPr>
        <w:t> </w:t>
      </w:r>
      <w:r>
        <w:rPr>
          <w:color w:val="010202"/>
          <w:sz w:val="22"/>
        </w:rPr>
        <w:t>even if the messages were not customized or</w:t>
      </w:r>
      <w:r>
        <w:rPr>
          <w:color w:val="010202"/>
          <w:spacing w:val="1"/>
          <w:sz w:val="22"/>
        </w:rPr>
        <w:t> </w:t>
      </w:r>
      <w:r>
        <w:rPr>
          <w:color w:val="010202"/>
          <w:sz w:val="22"/>
        </w:rPr>
        <w:t>specific to the dosage, timing, or medication</w:t>
      </w:r>
      <w:r>
        <w:rPr>
          <w:color w:val="010202"/>
          <w:spacing w:val="1"/>
          <w:sz w:val="22"/>
        </w:rPr>
        <w:t> </w:t>
      </w:r>
      <w:r>
        <w:rPr>
          <w:color w:val="010202"/>
          <w:w w:val="95"/>
          <w:sz w:val="22"/>
        </w:rPr>
        <w:t>prescribed.</w:t>
      </w:r>
      <w:r>
        <w:rPr>
          <w:color w:val="010202"/>
          <w:w w:val="95"/>
          <w:sz w:val="22"/>
          <w:vertAlign w:val="superscript"/>
        </w:rPr>
        <w:t>31,</w:t>
      </w:r>
      <w:r>
        <w:rPr>
          <w:color w:val="010202"/>
          <w:spacing w:val="-20"/>
          <w:w w:val="95"/>
          <w:sz w:val="22"/>
          <w:vertAlign w:val="baseline"/>
        </w:rPr>
        <w:t> </w:t>
      </w:r>
      <w:r>
        <w:rPr>
          <w:color w:val="010202"/>
          <w:w w:val="95"/>
          <w:sz w:val="22"/>
          <w:vertAlign w:val="superscript"/>
        </w:rPr>
        <w:t>32</w:t>
      </w:r>
    </w:p>
    <w:p>
      <w:pPr>
        <w:pStyle w:val="ListParagraph"/>
        <w:numPr>
          <w:ilvl w:val="0"/>
          <w:numId w:val="13"/>
        </w:numPr>
        <w:tabs>
          <w:tab w:pos="839" w:val="left" w:leader="none"/>
          <w:tab w:pos="841" w:val="left" w:leader="none"/>
        </w:tabs>
        <w:spacing w:line="266" w:lineRule="auto" w:before="23" w:after="0"/>
        <w:ind w:left="840" w:right="68" w:hanging="360"/>
        <w:jc w:val="left"/>
        <w:rPr>
          <w:sz w:val="22"/>
        </w:rPr>
      </w:pPr>
      <w:r>
        <w:rPr>
          <w:b/>
          <w:color w:val="010202"/>
          <w:sz w:val="22"/>
        </w:rPr>
        <w:t>Smart pill containers </w:t>
      </w:r>
      <w:r>
        <w:rPr>
          <w:color w:val="010202"/>
          <w:sz w:val="22"/>
        </w:rPr>
        <w:t>remind clients to take</w:t>
      </w:r>
      <w:r>
        <w:rPr>
          <w:color w:val="010202"/>
          <w:spacing w:val="1"/>
          <w:sz w:val="22"/>
        </w:rPr>
        <w:t> </w:t>
      </w:r>
      <w:r>
        <w:rPr>
          <w:color w:val="010202"/>
          <w:sz w:val="22"/>
        </w:rPr>
        <w:t>their medication, provide alerts about taking the</w:t>
      </w:r>
      <w:r>
        <w:rPr>
          <w:color w:val="010202"/>
          <w:spacing w:val="-52"/>
          <w:sz w:val="22"/>
        </w:rPr>
        <w:t> </w:t>
      </w:r>
      <w:r>
        <w:rPr>
          <w:color w:val="010202"/>
          <w:sz w:val="22"/>
        </w:rPr>
        <w:t>wrong medication, and are linked to programs</w:t>
      </w:r>
      <w:r>
        <w:rPr>
          <w:color w:val="010202"/>
          <w:spacing w:val="1"/>
          <w:sz w:val="22"/>
        </w:rPr>
        <w:t> </w:t>
      </w:r>
      <w:r>
        <w:rPr>
          <w:color w:val="010202"/>
          <w:sz w:val="22"/>
        </w:rPr>
        <w:t>for the client to report side effects to providers.</w:t>
      </w:r>
      <w:r>
        <w:rPr>
          <w:color w:val="010202"/>
          <w:spacing w:val="1"/>
          <w:sz w:val="22"/>
        </w:rPr>
        <w:t> </w:t>
      </w:r>
      <w:r>
        <w:rPr>
          <w:color w:val="010202"/>
          <w:sz w:val="22"/>
        </w:rPr>
        <w:t>Used together with telephone support, smart pill</w:t>
      </w:r>
      <w:r>
        <w:rPr>
          <w:color w:val="010202"/>
          <w:spacing w:val="-52"/>
          <w:sz w:val="22"/>
        </w:rPr>
        <w:t> </w:t>
      </w:r>
      <w:r>
        <w:rPr>
          <w:color w:val="010202"/>
          <w:sz w:val="22"/>
        </w:rPr>
        <w:t>containers have shown statistically significant</w:t>
      </w:r>
      <w:r>
        <w:rPr>
          <w:color w:val="010202"/>
          <w:spacing w:val="1"/>
          <w:sz w:val="22"/>
        </w:rPr>
        <w:t> </w:t>
      </w:r>
      <w:r>
        <w:rPr>
          <w:color w:val="010202"/>
          <w:sz w:val="22"/>
        </w:rPr>
        <w:t>improvement</w:t>
      </w:r>
      <w:r>
        <w:rPr>
          <w:color w:val="010202"/>
          <w:spacing w:val="-1"/>
          <w:sz w:val="22"/>
        </w:rPr>
        <w:t> </w:t>
      </w:r>
      <w:r>
        <w:rPr>
          <w:color w:val="010202"/>
          <w:sz w:val="22"/>
        </w:rPr>
        <w:t>in</w:t>
      </w:r>
      <w:r>
        <w:rPr>
          <w:color w:val="010202"/>
          <w:spacing w:val="-1"/>
          <w:sz w:val="22"/>
        </w:rPr>
        <w:t> </w:t>
      </w:r>
      <w:r>
        <w:rPr>
          <w:color w:val="010202"/>
          <w:sz w:val="22"/>
        </w:rPr>
        <w:t>medication</w:t>
      </w:r>
      <w:r>
        <w:rPr>
          <w:color w:val="010202"/>
          <w:spacing w:val="-1"/>
          <w:sz w:val="22"/>
        </w:rPr>
        <w:t> </w:t>
      </w:r>
      <w:r>
        <w:rPr>
          <w:color w:val="010202"/>
          <w:sz w:val="22"/>
        </w:rPr>
        <w:t>adherence.</w:t>
      </w:r>
      <w:r>
        <w:rPr>
          <w:color w:val="010202"/>
          <w:sz w:val="22"/>
          <w:vertAlign w:val="superscript"/>
        </w:rPr>
        <w:t>33</w:t>
      </w:r>
    </w:p>
    <w:p>
      <w:pPr>
        <w:pStyle w:val="ListParagraph"/>
        <w:numPr>
          <w:ilvl w:val="0"/>
          <w:numId w:val="13"/>
        </w:numPr>
        <w:tabs>
          <w:tab w:pos="839" w:val="left" w:leader="none"/>
          <w:tab w:pos="840" w:val="left" w:leader="none"/>
        </w:tabs>
        <w:spacing w:line="266" w:lineRule="auto" w:before="23" w:after="0"/>
        <w:ind w:left="839" w:right="220" w:hanging="360"/>
        <w:jc w:val="left"/>
        <w:rPr>
          <w:sz w:val="22"/>
        </w:rPr>
      </w:pPr>
      <w:r>
        <w:rPr>
          <w:b/>
          <w:color w:val="010202"/>
          <w:sz w:val="22"/>
        </w:rPr>
        <w:t>mHealth apps </w:t>
      </w:r>
      <w:r>
        <w:rPr>
          <w:color w:val="010202"/>
          <w:sz w:val="22"/>
        </w:rPr>
        <w:t>have been used in combination</w:t>
      </w:r>
      <w:r>
        <w:rPr>
          <w:color w:val="010202"/>
          <w:spacing w:val="-52"/>
          <w:sz w:val="22"/>
        </w:rPr>
        <w:t> </w:t>
      </w:r>
      <w:r>
        <w:rPr>
          <w:color w:val="010202"/>
          <w:sz w:val="22"/>
        </w:rPr>
        <w:t>with smart pill containers, in-home dispensing</w:t>
      </w:r>
      <w:r>
        <w:rPr>
          <w:color w:val="010202"/>
          <w:spacing w:val="-52"/>
          <w:sz w:val="22"/>
        </w:rPr>
        <w:t> </w:t>
      </w:r>
      <w:r>
        <w:rPr>
          <w:color w:val="010202"/>
          <w:sz w:val="22"/>
        </w:rPr>
        <w:t>devices, or other systems to dose medications.</w:t>
      </w:r>
      <w:r>
        <w:rPr>
          <w:color w:val="010202"/>
          <w:spacing w:val="-52"/>
          <w:sz w:val="22"/>
        </w:rPr>
        <w:t> </w:t>
      </w:r>
      <w:r>
        <w:rPr>
          <w:color w:val="010202"/>
          <w:sz w:val="22"/>
        </w:rPr>
        <w:t>These apps remind clients to take medications</w:t>
      </w:r>
      <w:r>
        <w:rPr>
          <w:color w:val="010202"/>
          <w:spacing w:val="-52"/>
          <w:sz w:val="22"/>
        </w:rPr>
        <w:t> </w:t>
      </w:r>
      <w:r>
        <w:rPr>
          <w:color w:val="010202"/>
          <w:sz w:val="22"/>
        </w:rPr>
        <w:t>and communicate medication use information</w:t>
      </w:r>
      <w:r>
        <w:rPr>
          <w:color w:val="010202"/>
          <w:spacing w:val="1"/>
          <w:sz w:val="22"/>
        </w:rPr>
        <w:t> </w:t>
      </w:r>
      <w:r>
        <w:rPr>
          <w:color w:val="010202"/>
          <w:sz w:val="22"/>
        </w:rPr>
        <w:t>to their healthcare provider through a client</w:t>
      </w:r>
      <w:r>
        <w:rPr>
          <w:color w:val="010202"/>
          <w:spacing w:val="1"/>
          <w:sz w:val="22"/>
        </w:rPr>
        <w:t> </w:t>
      </w:r>
      <w:r>
        <w:rPr>
          <w:color w:val="010202"/>
          <w:sz w:val="22"/>
        </w:rPr>
        <w:t>portal.</w:t>
      </w:r>
      <w:r>
        <w:rPr>
          <w:color w:val="010202"/>
          <w:sz w:val="22"/>
          <w:vertAlign w:val="superscript"/>
        </w:rPr>
        <w:t>34</w:t>
      </w:r>
    </w:p>
    <w:p>
      <w:pPr>
        <w:pStyle w:val="ListParagraph"/>
        <w:numPr>
          <w:ilvl w:val="0"/>
          <w:numId w:val="13"/>
        </w:numPr>
        <w:tabs>
          <w:tab w:pos="839" w:val="left" w:leader="none"/>
          <w:tab w:pos="840" w:val="left" w:leader="none"/>
        </w:tabs>
        <w:spacing w:line="266" w:lineRule="auto" w:before="23" w:after="0"/>
        <w:ind w:left="839" w:right="184" w:hanging="360"/>
        <w:jc w:val="left"/>
        <w:rPr>
          <w:sz w:val="22"/>
        </w:rPr>
      </w:pPr>
      <w:r>
        <w:rPr>
          <w:b/>
          <w:color w:val="010202"/>
          <w:sz w:val="22"/>
        </w:rPr>
        <w:t>Treatment</w:t>
      </w:r>
      <w:r>
        <w:rPr>
          <w:b/>
          <w:color w:val="010202"/>
          <w:spacing w:val="-5"/>
          <w:sz w:val="22"/>
        </w:rPr>
        <w:t> </w:t>
      </w:r>
      <w:r>
        <w:rPr>
          <w:b/>
          <w:color w:val="010202"/>
          <w:sz w:val="22"/>
        </w:rPr>
        <w:t>support</w:t>
      </w:r>
      <w:r>
        <w:rPr>
          <w:b/>
          <w:color w:val="010202"/>
          <w:spacing w:val="-6"/>
          <w:sz w:val="22"/>
        </w:rPr>
        <w:t> </w:t>
      </w:r>
      <w:r>
        <w:rPr>
          <w:b/>
          <w:color w:val="010202"/>
          <w:sz w:val="22"/>
        </w:rPr>
        <w:t>over</w:t>
      </w:r>
      <w:r>
        <w:rPr>
          <w:b/>
          <w:color w:val="010202"/>
          <w:spacing w:val="-9"/>
          <w:sz w:val="22"/>
        </w:rPr>
        <w:t> </w:t>
      </w:r>
      <w:r>
        <w:rPr>
          <w:b/>
          <w:color w:val="010202"/>
          <w:sz w:val="22"/>
        </w:rPr>
        <w:t>the</w:t>
      </w:r>
      <w:r>
        <w:rPr>
          <w:b/>
          <w:color w:val="010202"/>
          <w:spacing w:val="-5"/>
          <w:sz w:val="22"/>
        </w:rPr>
        <w:t> </w:t>
      </w:r>
      <w:r>
        <w:rPr>
          <w:b/>
          <w:color w:val="010202"/>
          <w:sz w:val="22"/>
        </w:rPr>
        <w:t>phone</w:t>
      </w:r>
      <w:r>
        <w:rPr>
          <w:b/>
          <w:color w:val="010202"/>
          <w:spacing w:val="-6"/>
          <w:sz w:val="22"/>
        </w:rPr>
        <w:t> </w:t>
      </w:r>
      <w:r>
        <w:rPr>
          <w:color w:val="010202"/>
          <w:sz w:val="22"/>
        </w:rPr>
        <w:t>from</w:t>
      </w:r>
      <w:r>
        <w:rPr>
          <w:color w:val="010202"/>
          <w:spacing w:val="-5"/>
          <w:sz w:val="22"/>
        </w:rPr>
        <w:t> </w:t>
      </w:r>
      <w:r>
        <w:rPr>
          <w:color w:val="010202"/>
          <w:sz w:val="22"/>
        </w:rPr>
        <w:t>case</w:t>
      </w:r>
      <w:r>
        <w:rPr>
          <w:color w:val="010202"/>
          <w:spacing w:val="-52"/>
          <w:sz w:val="22"/>
        </w:rPr>
        <w:t> </w:t>
      </w:r>
      <w:r>
        <w:rPr>
          <w:color w:val="010202"/>
          <w:sz w:val="22"/>
        </w:rPr>
        <w:t>managers, nurses, or other health professionals</w:t>
      </w:r>
      <w:r>
        <w:rPr>
          <w:color w:val="010202"/>
          <w:spacing w:val="-52"/>
          <w:sz w:val="22"/>
        </w:rPr>
        <w:t> </w:t>
      </w:r>
      <w:r>
        <w:rPr>
          <w:color w:val="010202"/>
          <w:sz w:val="22"/>
        </w:rPr>
        <w:t>offers clients prescribed medications for SMI</w:t>
      </w:r>
      <w:r>
        <w:rPr>
          <w:color w:val="010202"/>
          <w:spacing w:val="1"/>
          <w:sz w:val="22"/>
        </w:rPr>
        <w:t> </w:t>
      </w:r>
      <w:r>
        <w:rPr>
          <w:color w:val="010202"/>
          <w:sz w:val="22"/>
        </w:rPr>
        <w:t>and SUD information and adherence support.</w:t>
      </w:r>
      <w:r>
        <w:rPr>
          <w:color w:val="010202"/>
          <w:spacing w:val="1"/>
          <w:sz w:val="22"/>
        </w:rPr>
        <w:t> </w:t>
      </w:r>
      <w:r>
        <w:rPr>
          <w:color w:val="010202"/>
          <w:sz w:val="22"/>
        </w:rPr>
        <w:t>These approaches have shown statistically</w:t>
      </w:r>
      <w:r>
        <w:rPr>
          <w:color w:val="010202"/>
          <w:spacing w:val="1"/>
          <w:sz w:val="22"/>
        </w:rPr>
        <w:t> </w:t>
      </w:r>
      <w:r>
        <w:rPr>
          <w:color w:val="010202"/>
          <w:sz w:val="22"/>
        </w:rPr>
        <w:t>significant improvements on medication</w:t>
      </w:r>
      <w:r>
        <w:rPr>
          <w:color w:val="010202"/>
          <w:spacing w:val="1"/>
          <w:sz w:val="22"/>
        </w:rPr>
        <w:t> </w:t>
      </w:r>
      <w:r>
        <w:rPr>
          <w:color w:val="010202"/>
          <w:sz w:val="22"/>
        </w:rPr>
        <w:t>adherence</w:t>
      </w:r>
      <w:r>
        <w:rPr>
          <w:color w:val="010202"/>
          <w:spacing w:val="-1"/>
          <w:sz w:val="22"/>
        </w:rPr>
        <w:t> </w:t>
      </w:r>
      <w:r>
        <w:rPr>
          <w:color w:val="010202"/>
          <w:sz w:val="22"/>
        </w:rPr>
        <w:t>rates.</w:t>
      </w:r>
      <w:r>
        <w:rPr>
          <w:color w:val="010202"/>
          <w:sz w:val="22"/>
          <w:vertAlign w:val="superscript"/>
        </w:rPr>
        <w:t>35-37</w:t>
      </w:r>
    </w:p>
    <w:p>
      <w:pPr>
        <w:pStyle w:val="BodyText"/>
        <w:spacing w:line="266" w:lineRule="auto" w:before="114"/>
        <w:ind w:left="119" w:right="831"/>
      </w:pPr>
      <w:r>
        <w:rPr/>
        <w:br w:type="column"/>
      </w:r>
      <w:r>
        <w:rPr>
          <w:color w:val="231F20"/>
        </w:rPr>
        <w:t>Medication monitoring, including both support for</w:t>
      </w:r>
      <w:r>
        <w:rPr>
          <w:color w:val="231F20"/>
          <w:spacing w:val="1"/>
        </w:rPr>
        <w:t> </w:t>
      </w:r>
      <w:r>
        <w:rPr>
          <w:color w:val="231F20"/>
        </w:rPr>
        <w:t>medication adherence of the prescribed treatment and</w:t>
      </w:r>
      <w:r>
        <w:rPr>
          <w:color w:val="231F20"/>
          <w:spacing w:val="1"/>
        </w:rPr>
        <w:t> </w:t>
      </w:r>
      <w:r>
        <w:rPr>
          <w:color w:val="231F20"/>
        </w:rPr>
        <w:t>prevention</w:t>
      </w:r>
      <w:r>
        <w:rPr>
          <w:color w:val="231F20"/>
          <w:spacing w:val="4"/>
        </w:rPr>
        <w:t> </w:t>
      </w:r>
      <w:r>
        <w:rPr>
          <w:color w:val="231F20"/>
        </w:rPr>
        <w:t>of</w:t>
      </w:r>
      <w:r>
        <w:rPr>
          <w:color w:val="231F20"/>
          <w:spacing w:val="5"/>
        </w:rPr>
        <w:t> </w:t>
      </w:r>
      <w:r>
        <w:rPr>
          <w:color w:val="231F20"/>
        </w:rPr>
        <w:t>non-prescribed</w:t>
      </w:r>
      <w:r>
        <w:rPr>
          <w:color w:val="231F20"/>
          <w:spacing w:val="5"/>
        </w:rPr>
        <w:t> </w:t>
      </w:r>
      <w:r>
        <w:rPr>
          <w:color w:val="231F20"/>
        </w:rPr>
        <w:t>or</w:t>
      </w:r>
      <w:r>
        <w:rPr>
          <w:color w:val="231F20"/>
          <w:spacing w:val="5"/>
        </w:rPr>
        <w:t> </w:t>
      </w:r>
      <w:r>
        <w:rPr>
          <w:color w:val="231F20"/>
        </w:rPr>
        <w:t>illicit</w:t>
      </w:r>
      <w:r>
        <w:rPr>
          <w:color w:val="231F20"/>
          <w:spacing w:val="5"/>
        </w:rPr>
        <w:t> </w:t>
      </w:r>
      <w:r>
        <w:rPr>
          <w:color w:val="231F20"/>
        </w:rPr>
        <w:t>substance</w:t>
      </w:r>
      <w:r>
        <w:rPr>
          <w:color w:val="231F20"/>
          <w:spacing w:val="5"/>
        </w:rPr>
        <w:t> </w:t>
      </w:r>
      <w:r>
        <w:rPr>
          <w:color w:val="231F20"/>
        </w:rPr>
        <w:t>use</w:t>
      </w:r>
      <w:r>
        <w:rPr>
          <w:color w:val="231F20"/>
          <w:spacing w:val="1"/>
        </w:rPr>
        <w:t> </w:t>
      </w:r>
      <w:r>
        <w:rPr>
          <w:color w:val="231F20"/>
        </w:rPr>
        <w:t>that may cause dangerous interactions, is an essential</w:t>
      </w:r>
      <w:r>
        <w:rPr>
          <w:color w:val="231F20"/>
          <w:spacing w:val="1"/>
        </w:rPr>
        <w:t> </w:t>
      </w:r>
      <w:r>
        <w:rPr>
          <w:color w:val="231F20"/>
        </w:rPr>
        <w:t>component</w:t>
      </w:r>
      <w:r>
        <w:rPr>
          <w:color w:val="231F20"/>
          <w:spacing w:val="-5"/>
        </w:rPr>
        <w:t> </w:t>
      </w:r>
      <w:r>
        <w:rPr>
          <w:color w:val="231F20"/>
        </w:rPr>
        <w:t>of</w:t>
      </w:r>
      <w:r>
        <w:rPr>
          <w:color w:val="231F20"/>
          <w:spacing w:val="-5"/>
        </w:rPr>
        <w:t> </w:t>
      </w:r>
      <w:r>
        <w:rPr>
          <w:color w:val="231F20"/>
        </w:rPr>
        <w:t>MAT.</w:t>
      </w:r>
      <w:r>
        <w:rPr>
          <w:color w:val="231F20"/>
          <w:spacing w:val="-5"/>
        </w:rPr>
        <w:t> </w:t>
      </w:r>
      <w:r>
        <w:rPr>
          <w:color w:val="231F20"/>
        </w:rPr>
        <w:t>Clinics</w:t>
      </w:r>
      <w:r>
        <w:rPr>
          <w:color w:val="231F20"/>
          <w:spacing w:val="-5"/>
        </w:rPr>
        <w:t> </w:t>
      </w:r>
      <w:r>
        <w:rPr>
          <w:color w:val="231F20"/>
        </w:rPr>
        <w:t>or</w:t>
      </w:r>
      <w:r>
        <w:rPr>
          <w:color w:val="231F20"/>
          <w:spacing w:val="-5"/>
        </w:rPr>
        <w:t> </w:t>
      </w:r>
      <w:r>
        <w:rPr>
          <w:color w:val="231F20"/>
        </w:rPr>
        <w:t>other</w:t>
      </w:r>
      <w:r>
        <w:rPr>
          <w:color w:val="231F20"/>
          <w:spacing w:val="-4"/>
        </w:rPr>
        <w:t> </w:t>
      </w:r>
      <w:r>
        <w:rPr>
          <w:color w:val="231F20"/>
        </w:rPr>
        <w:t>agencies</w:t>
      </w:r>
      <w:r>
        <w:rPr>
          <w:color w:val="231F20"/>
          <w:spacing w:val="-5"/>
        </w:rPr>
        <w:t> </w:t>
      </w:r>
      <w:r>
        <w:rPr>
          <w:color w:val="231F20"/>
        </w:rPr>
        <w:t>without</w:t>
      </w:r>
      <w:r>
        <w:rPr>
          <w:color w:val="231F20"/>
          <w:spacing w:val="-5"/>
        </w:rPr>
        <w:t> </w:t>
      </w:r>
      <w:r>
        <w:rPr>
          <w:color w:val="231F20"/>
        </w:rPr>
        <w:t>a</w:t>
      </w:r>
      <w:r>
        <w:rPr>
          <w:color w:val="231F20"/>
          <w:spacing w:val="-52"/>
        </w:rPr>
        <w:t> </w:t>
      </w:r>
      <w:r>
        <w:rPr>
          <w:color w:val="231F20"/>
        </w:rPr>
        <w:t>local,</w:t>
      </w:r>
      <w:r>
        <w:rPr>
          <w:color w:val="231F20"/>
          <w:spacing w:val="-5"/>
        </w:rPr>
        <w:t> </w:t>
      </w:r>
      <w:r>
        <w:rPr>
          <w:color w:val="231F20"/>
        </w:rPr>
        <w:t>trained</w:t>
      </w:r>
      <w:r>
        <w:rPr>
          <w:color w:val="231F20"/>
          <w:spacing w:val="-5"/>
        </w:rPr>
        <w:t> </w:t>
      </w:r>
      <w:r>
        <w:rPr>
          <w:color w:val="231F20"/>
        </w:rPr>
        <w:t>MAT</w:t>
      </w:r>
      <w:r>
        <w:rPr>
          <w:color w:val="231F20"/>
          <w:spacing w:val="-9"/>
        </w:rPr>
        <w:t> </w:t>
      </w:r>
      <w:r>
        <w:rPr>
          <w:color w:val="231F20"/>
        </w:rPr>
        <w:t>provider</w:t>
      </w:r>
      <w:r>
        <w:rPr>
          <w:color w:val="231F20"/>
          <w:spacing w:val="-5"/>
        </w:rPr>
        <w:t> </w:t>
      </w:r>
      <w:r>
        <w:rPr>
          <w:color w:val="231F20"/>
        </w:rPr>
        <w:t>have</w:t>
      </w:r>
      <w:r>
        <w:rPr>
          <w:color w:val="231F20"/>
          <w:spacing w:val="-5"/>
        </w:rPr>
        <w:t> </w:t>
      </w:r>
      <w:r>
        <w:rPr>
          <w:color w:val="231F20"/>
        </w:rPr>
        <w:t>used</w:t>
      </w:r>
      <w:r>
        <w:rPr>
          <w:color w:val="231F20"/>
          <w:spacing w:val="-5"/>
        </w:rPr>
        <w:t> </w:t>
      </w:r>
      <w:r>
        <w:rPr>
          <w:color w:val="231F20"/>
        </w:rPr>
        <w:t>telehealth</w:t>
      </w:r>
      <w:r>
        <w:rPr>
          <w:color w:val="231F20"/>
          <w:spacing w:val="-4"/>
        </w:rPr>
        <w:t> </w:t>
      </w:r>
      <w:r>
        <w:rPr>
          <w:color w:val="231F20"/>
        </w:rPr>
        <w:t>to</w:t>
      </w:r>
      <w:r>
        <w:rPr>
          <w:color w:val="231F20"/>
          <w:spacing w:val="-5"/>
        </w:rPr>
        <w:t> </w:t>
      </w:r>
      <w:r>
        <w:rPr>
          <w:color w:val="231F20"/>
        </w:rPr>
        <w:t>link</w:t>
      </w:r>
      <w:r>
        <w:rPr>
          <w:color w:val="231F20"/>
          <w:spacing w:val="-52"/>
        </w:rPr>
        <w:t> </w:t>
      </w:r>
      <w:r>
        <w:rPr>
          <w:color w:val="231F20"/>
        </w:rPr>
        <w:t>clients</w:t>
      </w:r>
      <w:r>
        <w:rPr>
          <w:color w:val="231F20"/>
          <w:spacing w:val="-4"/>
        </w:rPr>
        <w:t> </w:t>
      </w:r>
      <w:r>
        <w:rPr>
          <w:color w:val="231F20"/>
        </w:rPr>
        <w:t>to</w:t>
      </w:r>
      <w:r>
        <w:rPr>
          <w:color w:val="231F20"/>
          <w:spacing w:val="-3"/>
        </w:rPr>
        <w:t> </w:t>
      </w:r>
      <w:r>
        <w:rPr>
          <w:color w:val="231F20"/>
        </w:rPr>
        <w:t>a</w:t>
      </w:r>
      <w:r>
        <w:rPr>
          <w:color w:val="231F20"/>
          <w:spacing w:val="-3"/>
        </w:rPr>
        <w:t> </w:t>
      </w:r>
      <w:r>
        <w:rPr>
          <w:color w:val="231F20"/>
        </w:rPr>
        <w:t>remote</w:t>
      </w:r>
      <w:r>
        <w:rPr>
          <w:color w:val="231F20"/>
          <w:spacing w:val="-3"/>
        </w:rPr>
        <w:t> </w:t>
      </w:r>
      <w:r>
        <w:rPr>
          <w:color w:val="231F20"/>
        </w:rPr>
        <w:t>MAT</w:t>
      </w:r>
      <w:r>
        <w:rPr>
          <w:color w:val="231F20"/>
          <w:spacing w:val="-7"/>
        </w:rPr>
        <w:t> </w:t>
      </w:r>
      <w:r>
        <w:rPr>
          <w:color w:val="231F20"/>
        </w:rPr>
        <w:t>provider.</w:t>
      </w:r>
      <w:r>
        <w:rPr>
          <w:color w:val="231F20"/>
          <w:spacing w:val="-7"/>
        </w:rPr>
        <w:t> </w:t>
      </w:r>
      <w:r>
        <w:rPr>
          <w:color w:val="231F20"/>
        </w:rPr>
        <w:t>The</w:t>
      </w:r>
      <w:r>
        <w:rPr>
          <w:color w:val="231F20"/>
          <w:spacing w:val="-4"/>
        </w:rPr>
        <w:t> </w:t>
      </w:r>
      <w:r>
        <w:rPr>
          <w:color w:val="231F20"/>
        </w:rPr>
        <w:t>local</w:t>
      </w:r>
      <w:r>
        <w:rPr>
          <w:color w:val="231F20"/>
          <w:spacing w:val="-3"/>
        </w:rPr>
        <w:t> </w:t>
      </w:r>
      <w:r>
        <w:rPr>
          <w:color w:val="231F20"/>
        </w:rPr>
        <w:t>clinic</w:t>
      </w:r>
      <w:r>
        <w:rPr>
          <w:color w:val="231F20"/>
          <w:spacing w:val="-3"/>
        </w:rPr>
        <w:t> </w:t>
      </w:r>
      <w:r>
        <w:rPr>
          <w:color w:val="231F20"/>
        </w:rPr>
        <w:t>and</w:t>
      </w:r>
    </w:p>
    <w:p>
      <w:pPr>
        <w:pStyle w:val="BodyText"/>
        <w:spacing w:line="266" w:lineRule="auto"/>
        <w:ind w:left="119" w:right="760"/>
      </w:pPr>
      <w:r>
        <w:rPr>
          <w:color w:val="231F20"/>
        </w:rPr>
        <w:t>agency can provide in-house medication monitoring and</w:t>
      </w:r>
      <w:r>
        <w:rPr>
          <w:color w:val="231F20"/>
          <w:spacing w:val="-52"/>
        </w:rPr>
        <w:t> </w:t>
      </w:r>
      <w:r>
        <w:rPr>
          <w:color w:val="231F20"/>
        </w:rPr>
        <w:t>urine toxicology screening while providing space for the</w:t>
      </w:r>
      <w:r>
        <w:rPr>
          <w:color w:val="231F20"/>
          <w:spacing w:val="-53"/>
        </w:rPr>
        <w:t> </w:t>
      </w:r>
      <w:r>
        <w:rPr>
          <w:color w:val="231F20"/>
        </w:rPr>
        <w:t>client to meet with the MAT provider using telehealth</w:t>
      </w:r>
      <w:r>
        <w:rPr>
          <w:color w:val="231F20"/>
          <w:spacing w:val="1"/>
        </w:rPr>
        <w:t> </w:t>
      </w:r>
      <w:r>
        <w:rPr>
          <w:color w:val="231F20"/>
        </w:rPr>
        <w:t>technology.</w:t>
      </w:r>
      <w:r>
        <w:rPr>
          <w:color w:val="231F20"/>
          <w:vertAlign w:val="superscript"/>
        </w:rPr>
        <w:t>25</w:t>
      </w:r>
      <w:r>
        <w:rPr>
          <w:color w:val="231F20"/>
          <w:vertAlign w:val="baseline"/>
        </w:rPr>
        <w:t> In some treatment models, monitoring</w:t>
      </w:r>
      <w:r>
        <w:rPr>
          <w:color w:val="231F20"/>
          <w:spacing w:val="1"/>
          <w:vertAlign w:val="baseline"/>
        </w:rPr>
        <w:t> </w:t>
      </w:r>
      <w:r>
        <w:rPr>
          <w:color w:val="231F20"/>
          <w:vertAlign w:val="baseline"/>
        </w:rPr>
        <w:t>visits are conducted using telehealth, but the client is</w:t>
      </w:r>
      <w:r>
        <w:rPr>
          <w:color w:val="231F20"/>
          <w:spacing w:val="1"/>
          <w:vertAlign w:val="baseline"/>
        </w:rPr>
        <w:t> </w:t>
      </w:r>
      <w:r>
        <w:rPr>
          <w:color w:val="231F20"/>
          <w:vertAlign w:val="baseline"/>
        </w:rPr>
        <w:t>required to report in-person for regular urine toxicology</w:t>
      </w:r>
      <w:r>
        <w:rPr>
          <w:color w:val="231F20"/>
          <w:spacing w:val="1"/>
          <w:vertAlign w:val="baseline"/>
        </w:rPr>
        <w:t> </w:t>
      </w:r>
      <w:r>
        <w:rPr>
          <w:color w:val="231F20"/>
          <w:vertAlign w:val="baseline"/>
        </w:rPr>
        <w:t>screening.</w:t>
      </w:r>
      <w:r>
        <w:rPr>
          <w:color w:val="231F20"/>
          <w:vertAlign w:val="superscript"/>
        </w:rPr>
        <w:t>20,</w:t>
      </w:r>
      <w:r>
        <w:rPr>
          <w:color w:val="231F20"/>
          <w:spacing w:val="-24"/>
          <w:vertAlign w:val="baseline"/>
        </w:rPr>
        <w:t> </w:t>
      </w:r>
      <w:r>
        <w:rPr>
          <w:color w:val="231F20"/>
          <w:vertAlign w:val="superscript"/>
        </w:rPr>
        <w:t>23,</w:t>
      </w:r>
      <w:r>
        <w:rPr>
          <w:color w:val="231F20"/>
          <w:spacing w:val="-23"/>
          <w:vertAlign w:val="baseline"/>
        </w:rPr>
        <w:t> </w:t>
      </w:r>
      <w:r>
        <w:rPr>
          <w:color w:val="231F20"/>
          <w:vertAlign w:val="superscript"/>
        </w:rPr>
        <w:t>38</w:t>
      </w:r>
    </w:p>
    <w:p>
      <w:pPr>
        <w:pStyle w:val="Heading4"/>
        <w:spacing w:before="157"/>
        <w:ind w:left="119"/>
        <w:rPr>
          <w:i/>
        </w:rPr>
      </w:pPr>
      <w:r>
        <w:rPr>
          <w:i/>
          <w:color w:val="1C384B"/>
        </w:rPr>
        <w:t>Behavioral</w:t>
      </w:r>
      <w:r>
        <w:rPr>
          <w:i/>
          <w:color w:val="1C384B"/>
          <w:spacing w:val="-1"/>
        </w:rPr>
        <w:t> </w:t>
      </w:r>
      <w:r>
        <w:rPr>
          <w:i/>
          <w:color w:val="1C384B"/>
        </w:rPr>
        <w:t>Therapies</w:t>
      </w:r>
    </w:p>
    <w:p>
      <w:pPr>
        <w:pStyle w:val="BodyText"/>
        <w:spacing w:line="266" w:lineRule="auto" w:before="184"/>
        <w:ind w:left="120" w:right="760" w:hanging="1"/>
      </w:pPr>
      <w:r>
        <w:rPr>
          <w:color w:val="231F20"/>
        </w:rPr>
        <w:t>Practitioners can implement psychotherapy</w:t>
      </w:r>
      <w:r>
        <w:rPr>
          <w:color w:val="231F20"/>
          <w:vertAlign w:val="superscript"/>
        </w:rPr>
        <w:t>39</w:t>
      </w:r>
      <w:r>
        <w:rPr>
          <w:color w:val="231F20"/>
          <w:vertAlign w:val="baseline"/>
        </w:rPr>
        <w:t> and</w:t>
      </w:r>
      <w:r>
        <w:rPr>
          <w:color w:val="231F20"/>
          <w:spacing w:val="1"/>
          <w:vertAlign w:val="baseline"/>
        </w:rPr>
        <w:t> </w:t>
      </w:r>
      <w:r>
        <w:rPr>
          <w:color w:val="231F20"/>
          <w:vertAlign w:val="baseline"/>
        </w:rPr>
        <w:t>behavioral therapies through synchronous telehealth</w:t>
      </w:r>
      <w:r>
        <w:rPr>
          <w:color w:val="231F20"/>
          <w:spacing w:val="1"/>
          <w:vertAlign w:val="baseline"/>
        </w:rPr>
        <w:t> </w:t>
      </w:r>
      <w:r>
        <w:rPr>
          <w:color w:val="231F20"/>
          <w:vertAlign w:val="baseline"/>
        </w:rPr>
        <w:t>modalities</w:t>
      </w:r>
      <w:r>
        <w:rPr>
          <w:color w:val="231F20"/>
          <w:spacing w:val="-5"/>
          <w:vertAlign w:val="baseline"/>
        </w:rPr>
        <w:t> </w:t>
      </w:r>
      <w:r>
        <w:rPr>
          <w:color w:val="231F20"/>
          <w:vertAlign w:val="baseline"/>
        </w:rPr>
        <w:t>while</w:t>
      </w:r>
      <w:r>
        <w:rPr>
          <w:color w:val="231F20"/>
          <w:spacing w:val="-6"/>
          <w:vertAlign w:val="baseline"/>
        </w:rPr>
        <w:t> </w:t>
      </w:r>
      <w:r>
        <w:rPr>
          <w:color w:val="231F20"/>
          <w:vertAlign w:val="baseline"/>
        </w:rPr>
        <w:t>adhering</w:t>
      </w:r>
      <w:r>
        <w:rPr>
          <w:color w:val="231F20"/>
          <w:spacing w:val="-4"/>
          <w:vertAlign w:val="baseline"/>
        </w:rPr>
        <w:t> </w:t>
      </w:r>
      <w:r>
        <w:rPr>
          <w:color w:val="231F20"/>
          <w:vertAlign w:val="baseline"/>
        </w:rPr>
        <w:t>to</w:t>
      </w:r>
      <w:r>
        <w:rPr>
          <w:color w:val="231F20"/>
          <w:spacing w:val="-5"/>
          <w:vertAlign w:val="baseline"/>
        </w:rPr>
        <w:t> </w:t>
      </w:r>
      <w:r>
        <w:rPr>
          <w:color w:val="231F20"/>
          <w:vertAlign w:val="baseline"/>
        </w:rPr>
        <w:t>clinical</w:t>
      </w:r>
      <w:r>
        <w:rPr>
          <w:color w:val="231F20"/>
          <w:spacing w:val="-4"/>
          <w:vertAlign w:val="baseline"/>
        </w:rPr>
        <w:t> </w:t>
      </w:r>
      <w:r>
        <w:rPr>
          <w:color w:val="231F20"/>
          <w:vertAlign w:val="baseline"/>
        </w:rPr>
        <w:t>specifications</w:t>
      </w:r>
      <w:r>
        <w:rPr>
          <w:color w:val="231F20"/>
          <w:spacing w:val="-6"/>
          <w:vertAlign w:val="baseline"/>
        </w:rPr>
        <w:t> </w:t>
      </w:r>
      <w:r>
        <w:rPr>
          <w:color w:val="231F20"/>
          <w:vertAlign w:val="baseline"/>
        </w:rPr>
        <w:t>and</w:t>
      </w:r>
      <w:r>
        <w:rPr>
          <w:color w:val="231F20"/>
          <w:spacing w:val="-52"/>
          <w:vertAlign w:val="baseline"/>
        </w:rPr>
        <w:t> </w:t>
      </w:r>
      <w:r>
        <w:rPr>
          <w:color w:val="231F20"/>
          <w:vertAlign w:val="baseline"/>
        </w:rPr>
        <w:t>producing clinical improvements similar to treatment</w:t>
      </w:r>
      <w:r>
        <w:rPr>
          <w:color w:val="231F20"/>
          <w:spacing w:val="1"/>
          <w:vertAlign w:val="baseline"/>
        </w:rPr>
        <w:t> </w:t>
      </w:r>
      <w:r>
        <w:rPr>
          <w:color w:val="231F20"/>
          <w:vertAlign w:val="baseline"/>
        </w:rPr>
        <w:t>outcomes</w:t>
      </w:r>
      <w:r>
        <w:rPr>
          <w:color w:val="231F20"/>
          <w:spacing w:val="-1"/>
          <w:vertAlign w:val="baseline"/>
        </w:rPr>
        <w:t> </w:t>
      </w:r>
      <w:r>
        <w:rPr>
          <w:color w:val="231F20"/>
          <w:vertAlign w:val="baseline"/>
        </w:rPr>
        <w:t>from in-person</w:t>
      </w:r>
      <w:r>
        <w:rPr>
          <w:color w:val="231F20"/>
          <w:spacing w:val="-1"/>
          <w:vertAlign w:val="baseline"/>
        </w:rPr>
        <w:t> </w:t>
      </w:r>
      <w:r>
        <w:rPr>
          <w:color w:val="231F20"/>
          <w:vertAlign w:val="baseline"/>
        </w:rPr>
        <w:t>care.</w:t>
      </w:r>
      <w:r>
        <w:rPr>
          <w:color w:val="231F20"/>
          <w:vertAlign w:val="superscript"/>
        </w:rPr>
        <w:t>40</w:t>
      </w:r>
    </w:p>
    <w:p>
      <w:pPr>
        <w:pStyle w:val="BodyText"/>
        <w:spacing w:line="266" w:lineRule="auto" w:before="176"/>
        <w:ind w:left="119" w:right="887"/>
      </w:pPr>
      <w:r>
        <w:rPr>
          <w:color w:val="231F20"/>
        </w:rPr>
        <w:t>This evidence review identified four interventions that</w:t>
      </w:r>
      <w:r>
        <w:rPr>
          <w:color w:val="231F20"/>
          <w:spacing w:val="1"/>
        </w:rPr>
        <w:t> </w:t>
      </w:r>
      <w:r>
        <w:rPr>
          <w:color w:val="231F20"/>
        </w:rPr>
        <w:t>met evidence review criteria (described above and in</w:t>
      </w:r>
      <w:r>
        <w:rPr>
          <w:color w:val="231F20"/>
          <w:spacing w:val="1"/>
        </w:rPr>
        <w:t> </w:t>
      </w:r>
      <w:r>
        <w:rPr>
          <w:color w:val="231F20"/>
        </w:rPr>
        <w:t>Appendix 2) and improved health outcomes for people</w:t>
      </w:r>
      <w:r>
        <w:rPr>
          <w:color w:val="231F20"/>
          <w:spacing w:val="-52"/>
        </w:rPr>
        <w:t> </w:t>
      </w:r>
      <w:r>
        <w:rPr>
          <w:color w:val="231F20"/>
        </w:rPr>
        <w:t>experiencing SMI, including Behavioral Activation</w:t>
      </w:r>
      <w:r>
        <w:rPr>
          <w:color w:val="231F20"/>
          <w:spacing w:val="1"/>
        </w:rPr>
        <w:t> </w:t>
      </w:r>
      <w:r>
        <w:rPr>
          <w:color w:val="231F20"/>
        </w:rPr>
        <w:t>(BA) Therapy, Cognitive Behavioral Therapy (CBT),</w:t>
      </w:r>
      <w:r>
        <w:rPr>
          <w:color w:val="231F20"/>
          <w:spacing w:val="1"/>
        </w:rPr>
        <w:t> </w:t>
      </w:r>
      <w:r>
        <w:rPr>
          <w:color w:val="231F20"/>
        </w:rPr>
        <w:t>Cognitive Processing Therapy (CPT), and Prolonged</w:t>
      </w:r>
      <w:r>
        <w:rPr>
          <w:color w:val="231F20"/>
          <w:spacing w:val="1"/>
        </w:rPr>
        <w:t> </w:t>
      </w:r>
      <w:r>
        <w:rPr>
          <w:color w:val="231F20"/>
        </w:rPr>
        <w:t>Exposure (PE) Therapy. Each behavioral therapy is</w:t>
      </w:r>
      <w:r>
        <w:rPr>
          <w:color w:val="231F20"/>
          <w:spacing w:val="1"/>
        </w:rPr>
        <w:t> </w:t>
      </w:r>
      <w:r>
        <w:rPr>
          <w:color w:val="231F20"/>
        </w:rPr>
        <w:t>described</w:t>
      </w:r>
      <w:r>
        <w:rPr>
          <w:color w:val="231F20"/>
          <w:spacing w:val="-6"/>
        </w:rPr>
        <w:t> </w:t>
      </w:r>
      <w:r>
        <w:rPr>
          <w:color w:val="231F20"/>
        </w:rPr>
        <w:t>below,</w:t>
      </w:r>
      <w:r>
        <w:rPr>
          <w:color w:val="231F20"/>
          <w:spacing w:val="-6"/>
        </w:rPr>
        <w:t> </w:t>
      </w:r>
      <w:r>
        <w:rPr>
          <w:color w:val="231F20"/>
        </w:rPr>
        <w:t>including</w:t>
      </w:r>
      <w:r>
        <w:rPr>
          <w:color w:val="231F20"/>
          <w:spacing w:val="-6"/>
        </w:rPr>
        <w:t> </w:t>
      </w:r>
      <w:r>
        <w:rPr>
          <w:color w:val="231F20"/>
        </w:rPr>
        <w:t>associated</w:t>
      </w:r>
      <w:r>
        <w:rPr>
          <w:color w:val="231F20"/>
          <w:spacing w:val="-5"/>
        </w:rPr>
        <w:t> </w:t>
      </w:r>
      <w:r>
        <w:rPr>
          <w:color w:val="231F20"/>
        </w:rPr>
        <w:t>health</w:t>
      </w:r>
      <w:r>
        <w:rPr>
          <w:color w:val="231F20"/>
          <w:spacing w:val="-6"/>
        </w:rPr>
        <w:t> </w:t>
      </w:r>
      <w:r>
        <w:rPr>
          <w:color w:val="231F20"/>
        </w:rPr>
        <w:t>outcomes,</w:t>
      </w:r>
      <w:r>
        <w:rPr>
          <w:color w:val="231F20"/>
          <w:spacing w:val="-52"/>
        </w:rPr>
        <w:t> </w:t>
      </w:r>
      <w:r>
        <w:rPr>
          <w:color w:val="231F20"/>
        </w:rPr>
        <w:t>populations that may benefit, and other important</w:t>
      </w:r>
      <w:r>
        <w:rPr>
          <w:color w:val="231F20"/>
          <w:spacing w:val="1"/>
        </w:rPr>
        <w:t> </w:t>
      </w:r>
      <w:r>
        <w:rPr>
          <w:color w:val="231F20"/>
        </w:rPr>
        <w:t>information for implementing these therapies using</w:t>
      </w:r>
      <w:r>
        <w:rPr>
          <w:color w:val="231F20"/>
          <w:spacing w:val="1"/>
        </w:rPr>
        <w:t> </w:t>
      </w:r>
      <w:r>
        <w:rPr>
          <w:color w:val="231F20"/>
        </w:rPr>
        <w:t>telehealth.</w:t>
      </w:r>
    </w:p>
    <w:p>
      <w:pPr>
        <w:spacing w:after="0" w:line="266" w:lineRule="auto"/>
        <w:sectPr>
          <w:type w:val="continuous"/>
          <w:pgSz w:w="12240" w:h="15840"/>
          <w:pgMar w:header="0" w:footer="666" w:top="1500" w:bottom="0" w:left="600" w:right="0"/>
          <w:cols w:num="2" w:equalWidth="0">
            <w:col w:w="5158" w:space="603"/>
            <w:col w:w="5879"/>
          </w:cols>
        </w:sectPr>
      </w:pPr>
    </w:p>
    <w:p>
      <w:pPr>
        <w:pStyle w:val="BodyText"/>
        <w:spacing w:before="4" w:after="1"/>
        <w:rPr>
          <w:sz w:val="27"/>
        </w:rPr>
      </w:pPr>
    </w:p>
    <w:p>
      <w:pPr>
        <w:pStyle w:val="BodyText"/>
        <w:ind w:left="120"/>
        <w:rPr>
          <w:sz w:val="20"/>
        </w:rPr>
      </w:pPr>
      <w:r>
        <w:rPr>
          <w:sz w:val="20"/>
        </w:rPr>
        <w:drawing>
          <wp:inline distT="0" distB="0" distL="0" distR="0">
            <wp:extent cx="6790014" cy="2598324"/>
            <wp:effectExtent l="0" t="0" r="0" b="0"/>
            <wp:docPr id="21" name="image14.png" descr="Picture of a person using a smartphone. The phone screen showing different icons related to healthcare.  "/>
            <wp:cNvGraphicFramePr>
              <a:graphicFrameLocks noChangeAspect="1"/>
            </wp:cNvGraphicFramePr>
            <a:graphic>
              <a:graphicData uri="http://schemas.openxmlformats.org/drawingml/2006/picture">
                <pic:pic>
                  <pic:nvPicPr>
                    <pic:cNvPr id="22" name="image14.png"/>
                    <pic:cNvPicPr/>
                  </pic:nvPicPr>
                  <pic:blipFill>
                    <a:blip r:embed="rId117" cstate="print"/>
                    <a:stretch>
                      <a:fillRect/>
                    </a:stretch>
                  </pic:blipFill>
                  <pic:spPr>
                    <a:xfrm>
                      <a:off x="0" y="0"/>
                      <a:ext cx="6790014" cy="2598324"/>
                    </a:xfrm>
                    <a:prstGeom prst="rect">
                      <a:avLst/>
                    </a:prstGeom>
                  </pic:spPr>
                </pic:pic>
              </a:graphicData>
            </a:graphic>
          </wp:inline>
        </w:drawing>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spacing w:before="6"/>
        <w:rPr>
          <w:sz w:val="27"/>
        </w:rPr>
      </w:pPr>
    </w:p>
    <w:p>
      <w:pPr>
        <w:pStyle w:val="Heading5"/>
      </w:pPr>
      <w:bookmarkStart w:name="Behavioral Activation (BA) Therapy via t" w:id="20"/>
      <w:bookmarkEnd w:id="20"/>
      <w:r>
        <w:rPr>
          <w:b w:val="0"/>
        </w:rPr>
      </w:r>
      <w:r>
        <w:rPr>
          <w:color w:val="CE384B"/>
        </w:rPr>
        <w:t>Behavioral</w:t>
      </w:r>
      <w:r>
        <w:rPr>
          <w:color w:val="CE384B"/>
          <w:spacing w:val="-10"/>
        </w:rPr>
        <w:t> </w:t>
      </w:r>
      <w:r>
        <w:rPr>
          <w:color w:val="CE384B"/>
        </w:rPr>
        <w:t>Activation (BA) Therapy via telehealth</w:t>
      </w:r>
    </w:p>
    <w:p>
      <w:pPr>
        <w:pStyle w:val="BodyText"/>
        <w:spacing w:before="9"/>
        <w:rPr>
          <w:rFonts w:ascii="Arial"/>
          <w:b/>
          <w:sz w:val="3"/>
        </w:rPr>
      </w:pPr>
      <w:r>
        <w:rPr/>
        <w:drawing>
          <wp:anchor distT="0" distB="0" distL="0" distR="0" allowOverlap="1" layoutInCell="1" locked="0" behindDoc="0" simplePos="0" relativeHeight="28">
            <wp:simplePos x="0" y="0"/>
            <wp:positionH relativeFrom="page">
              <wp:posOffset>457200</wp:posOffset>
            </wp:positionH>
            <wp:positionV relativeFrom="paragraph">
              <wp:posOffset>43264</wp:posOffset>
            </wp:positionV>
            <wp:extent cx="2979024" cy="384048"/>
            <wp:effectExtent l="0" t="0" r="0" b="0"/>
            <wp:wrapTopAndBottom/>
            <wp:docPr id="23" name="image13.jpeg" descr="Strong Evidence "/>
            <wp:cNvGraphicFramePr>
              <a:graphicFrameLocks noChangeAspect="1"/>
            </wp:cNvGraphicFramePr>
            <a:graphic>
              <a:graphicData uri="http://schemas.openxmlformats.org/drawingml/2006/picture">
                <pic:pic>
                  <pic:nvPicPr>
                    <pic:cNvPr id="24" name="image13.jpeg"/>
                    <pic:cNvPicPr/>
                  </pic:nvPicPr>
                  <pic:blipFill>
                    <a:blip r:embed="rId116" cstate="print"/>
                    <a:stretch>
                      <a:fillRect/>
                    </a:stretch>
                  </pic:blipFill>
                  <pic:spPr>
                    <a:xfrm>
                      <a:off x="0" y="0"/>
                      <a:ext cx="2979024" cy="384048"/>
                    </a:xfrm>
                    <a:prstGeom prst="rect">
                      <a:avLst/>
                    </a:prstGeom>
                  </pic:spPr>
                </pic:pic>
              </a:graphicData>
            </a:graphic>
          </wp:anchor>
        </w:drawing>
      </w:r>
    </w:p>
    <w:p>
      <w:pPr>
        <w:pStyle w:val="BodyText"/>
        <w:spacing w:before="1"/>
        <w:rPr>
          <w:rFonts w:ascii="Arial"/>
          <w:b/>
          <w:sz w:val="13"/>
        </w:rPr>
      </w:pPr>
    </w:p>
    <w:tbl>
      <w:tblPr>
        <w:tblW w:w="0" w:type="auto"/>
        <w:jc w:val="left"/>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018"/>
        <w:gridCol w:w="8767"/>
      </w:tblGrid>
      <w:tr>
        <w:trPr>
          <w:trHeight w:val="1255" w:hRule="atLeast"/>
        </w:trPr>
        <w:tc>
          <w:tcPr>
            <w:tcW w:w="10785" w:type="dxa"/>
            <w:gridSpan w:val="2"/>
          </w:tcPr>
          <w:p>
            <w:pPr>
              <w:pStyle w:val="TableParagraph"/>
              <w:spacing w:line="249" w:lineRule="auto" w:before="33"/>
              <w:ind w:left="80" w:right="68"/>
              <w:rPr>
                <w:sz w:val="11"/>
              </w:rPr>
            </w:pPr>
            <w:r>
              <w:rPr>
                <w:color w:val="231F20"/>
                <w:sz w:val="20"/>
              </w:rPr>
              <w:t>BA</w:t>
            </w:r>
            <w:r>
              <w:rPr>
                <w:color w:val="231F20"/>
                <w:spacing w:val="-12"/>
                <w:sz w:val="20"/>
              </w:rPr>
              <w:t> </w:t>
            </w:r>
            <w:r>
              <w:rPr>
                <w:color w:val="231F20"/>
                <w:sz w:val="20"/>
              </w:rPr>
              <w:t>is</w:t>
            </w:r>
            <w:r>
              <w:rPr>
                <w:color w:val="231F20"/>
                <w:spacing w:val="-2"/>
                <w:sz w:val="20"/>
              </w:rPr>
              <w:t> </w:t>
            </w:r>
            <w:r>
              <w:rPr>
                <w:color w:val="231F20"/>
                <w:sz w:val="20"/>
              </w:rPr>
              <w:t>a</w:t>
            </w:r>
            <w:r>
              <w:rPr>
                <w:color w:val="231F20"/>
                <w:spacing w:val="-1"/>
                <w:sz w:val="20"/>
              </w:rPr>
              <w:t> </w:t>
            </w:r>
            <w:r>
              <w:rPr>
                <w:color w:val="231F20"/>
                <w:sz w:val="20"/>
              </w:rPr>
              <w:t>treatment</w:t>
            </w:r>
            <w:r>
              <w:rPr>
                <w:color w:val="231F20"/>
                <w:spacing w:val="-1"/>
                <w:sz w:val="20"/>
              </w:rPr>
              <w:t> </w:t>
            </w:r>
            <w:r>
              <w:rPr>
                <w:color w:val="231F20"/>
                <w:sz w:val="20"/>
              </w:rPr>
              <w:t>component</w:t>
            </w:r>
            <w:r>
              <w:rPr>
                <w:color w:val="231F20"/>
                <w:spacing w:val="-1"/>
                <w:sz w:val="20"/>
              </w:rPr>
              <w:t> </w:t>
            </w:r>
            <w:r>
              <w:rPr>
                <w:color w:val="231F20"/>
                <w:sz w:val="20"/>
              </w:rPr>
              <w:t>based</w:t>
            </w:r>
            <w:r>
              <w:rPr>
                <w:color w:val="231F20"/>
                <w:spacing w:val="-2"/>
                <w:sz w:val="20"/>
              </w:rPr>
              <w:t> </w:t>
            </w:r>
            <w:r>
              <w:rPr>
                <w:color w:val="231F20"/>
                <w:sz w:val="20"/>
              </w:rPr>
              <w:t>on</w:t>
            </w:r>
            <w:r>
              <w:rPr>
                <w:color w:val="231F20"/>
                <w:spacing w:val="-1"/>
                <w:sz w:val="20"/>
              </w:rPr>
              <w:t> </w:t>
            </w:r>
            <w:r>
              <w:rPr>
                <w:color w:val="231F20"/>
                <w:sz w:val="20"/>
              </w:rPr>
              <w:t>changing</w:t>
            </w:r>
            <w:r>
              <w:rPr>
                <w:color w:val="231F20"/>
                <w:spacing w:val="-1"/>
                <w:sz w:val="20"/>
              </w:rPr>
              <w:t> </w:t>
            </w:r>
            <w:r>
              <w:rPr>
                <w:color w:val="231F20"/>
                <w:sz w:val="20"/>
              </w:rPr>
              <w:t>behavior</w:t>
            </w:r>
            <w:r>
              <w:rPr>
                <w:color w:val="231F20"/>
                <w:spacing w:val="-1"/>
                <w:sz w:val="20"/>
              </w:rPr>
              <w:t> </w:t>
            </w:r>
            <w:r>
              <w:rPr>
                <w:color w:val="231F20"/>
                <w:sz w:val="20"/>
              </w:rPr>
              <w:t>to</w:t>
            </w:r>
            <w:r>
              <w:rPr>
                <w:color w:val="231F20"/>
                <w:spacing w:val="-2"/>
                <w:sz w:val="20"/>
              </w:rPr>
              <w:t> </w:t>
            </w:r>
            <w:r>
              <w:rPr>
                <w:color w:val="231F20"/>
                <w:sz w:val="20"/>
              </w:rPr>
              <w:t>change</w:t>
            </w:r>
            <w:r>
              <w:rPr>
                <w:color w:val="231F20"/>
                <w:spacing w:val="-1"/>
                <w:sz w:val="20"/>
              </w:rPr>
              <w:t> </w:t>
            </w:r>
            <w:r>
              <w:rPr>
                <w:color w:val="231F20"/>
                <w:sz w:val="20"/>
              </w:rPr>
              <w:t>one’s</w:t>
            </w:r>
            <w:r>
              <w:rPr>
                <w:color w:val="231F20"/>
                <w:spacing w:val="-1"/>
                <w:sz w:val="20"/>
              </w:rPr>
              <w:t> </w:t>
            </w:r>
            <w:r>
              <w:rPr>
                <w:color w:val="231F20"/>
                <w:sz w:val="20"/>
              </w:rPr>
              <w:t>mood.</w:t>
            </w:r>
            <w:r>
              <w:rPr>
                <w:color w:val="231F20"/>
                <w:spacing w:val="-1"/>
                <w:sz w:val="20"/>
              </w:rPr>
              <w:t> </w:t>
            </w:r>
            <w:r>
              <w:rPr>
                <w:color w:val="231F20"/>
                <w:sz w:val="20"/>
              </w:rPr>
              <w:t>It</w:t>
            </w:r>
            <w:r>
              <w:rPr>
                <w:color w:val="231F20"/>
                <w:spacing w:val="-2"/>
                <w:sz w:val="20"/>
              </w:rPr>
              <w:t> </w:t>
            </w:r>
            <w:r>
              <w:rPr>
                <w:color w:val="231F20"/>
                <w:sz w:val="20"/>
              </w:rPr>
              <w:t>involves</w:t>
            </w:r>
            <w:r>
              <w:rPr>
                <w:color w:val="231F20"/>
                <w:spacing w:val="-2"/>
                <w:sz w:val="20"/>
              </w:rPr>
              <w:t> </w:t>
            </w:r>
            <w:r>
              <w:rPr>
                <w:color w:val="231F20"/>
                <w:sz w:val="20"/>
              </w:rPr>
              <w:t>identifying,</w:t>
            </w:r>
            <w:r>
              <w:rPr>
                <w:color w:val="231F20"/>
                <w:spacing w:val="-1"/>
                <w:sz w:val="20"/>
              </w:rPr>
              <w:t> </w:t>
            </w:r>
            <w:r>
              <w:rPr>
                <w:color w:val="231F20"/>
                <w:sz w:val="20"/>
              </w:rPr>
              <w:t>scheduling,</w:t>
            </w:r>
            <w:r>
              <w:rPr>
                <w:color w:val="231F20"/>
                <w:spacing w:val="-1"/>
                <w:sz w:val="20"/>
              </w:rPr>
              <w:t> </w:t>
            </w:r>
            <w:r>
              <w:rPr>
                <w:color w:val="231F20"/>
                <w:sz w:val="20"/>
              </w:rPr>
              <w:t>and</w:t>
            </w:r>
            <w:r>
              <w:rPr>
                <w:color w:val="231F20"/>
                <w:spacing w:val="-53"/>
                <w:sz w:val="20"/>
              </w:rPr>
              <w:t> </w:t>
            </w:r>
            <w:r>
              <w:rPr>
                <w:color w:val="231F20"/>
                <w:sz w:val="20"/>
              </w:rPr>
              <w:t>completing positive reinforcement activities.</w:t>
            </w:r>
            <w:r>
              <w:rPr>
                <w:color w:val="231F20"/>
                <w:position w:val="7"/>
                <w:sz w:val="11"/>
              </w:rPr>
              <w:t>41, 42</w:t>
            </w:r>
            <w:r>
              <w:rPr>
                <w:color w:val="231F20"/>
                <w:spacing w:val="1"/>
                <w:position w:val="7"/>
                <w:sz w:val="11"/>
              </w:rPr>
              <w:t> </w:t>
            </w:r>
            <w:r>
              <w:rPr>
                <w:i/>
                <w:color w:val="231F20"/>
                <w:sz w:val="20"/>
              </w:rPr>
              <w:t>Behavioral Activation-Therapeutic Exposure (BA-TE) </w:t>
            </w:r>
            <w:r>
              <w:rPr>
                <w:color w:val="231F20"/>
                <w:sz w:val="20"/>
              </w:rPr>
              <w:t>is an integrated,</w:t>
            </w:r>
            <w:r>
              <w:rPr>
                <w:color w:val="231F20"/>
                <w:spacing w:val="1"/>
                <w:sz w:val="20"/>
              </w:rPr>
              <w:t> </w:t>
            </w:r>
            <w:r>
              <w:rPr>
                <w:color w:val="231F20"/>
                <w:sz w:val="20"/>
              </w:rPr>
              <w:t>evidence-based treatment for Post-Traumatic Stress Disorder (PTSD) and Major Depressive Disorder (MDD). BA-TE</w:t>
            </w:r>
            <w:r>
              <w:rPr>
                <w:color w:val="231F20"/>
                <w:spacing w:val="1"/>
                <w:sz w:val="20"/>
              </w:rPr>
              <w:t> </w:t>
            </w:r>
            <w:r>
              <w:rPr>
                <w:color w:val="231F20"/>
                <w:sz w:val="20"/>
              </w:rPr>
              <w:t>combines BA with exposure-based therapy. It involves weekly BA activities along with situational exposure to clients’</w:t>
            </w:r>
            <w:r>
              <w:rPr>
                <w:color w:val="231F20"/>
                <w:spacing w:val="1"/>
                <w:sz w:val="20"/>
              </w:rPr>
              <w:t> </w:t>
            </w:r>
            <w:r>
              <w:rPr>
                <w:color w:val="231F20"/>
                <w:sz w:val="20"/>
              </w:rPr>
              <w:t>avoided stimuli and imaginal exposure to</w:t>
            </w:r>
            <w:r>
              <w:rPr>
                <w:color w:val="231F20"/>
                <w:spacing w:val="1"/>
                <w:sz w:val="20"/>
              </w:rPr>
              <w:t> </w:t>
            </w:r>
            <w:r>
              <w:rPr>
                <w:color w:val="231F20"/>
                <w:sz w:val="20"/>
              </w:rPr>
              <w:t>past traumatic events.</w:t>
            </w:r>
            <w:r>
              <w:rPr>
                <w:color w:val="231F20"/>
                <w:position w:val="7"/>
                <w:sz w:val="11"/>
              </w:rPr>
              <w:t>42,</w:t>
            </w:r>
            <w:r>
              <w:rPr>
                <w:color w:val="231F20"/>
                <w:spacing w:val="1"/>
                <w:position w:val="7"/>
                <w:sz w:val="11"/>
              </w:rPr>
              <w:t> </w:t>
            </w:r>
            <w:r>
              <w:rPr>
                <w:color w:val="231F20"/>
                <w:position w:val="7"/>
                <w:sz w:val="11"/>
              </w:rPr>
              <w:t>43</w:t>
            </w:r>
          </w:p>
        </w:tc>
      </w:tr>
      <w:tr>
        <w:trPr>
          <w:trHeight w:val="775" w:hRule="atLeast"/>
        </w:trPr>
        <w:tc>
          <w:tcPr>
            <w:tcW w:w="2018" w:type="dxa"/>
          </w:tcPr>
          <w:p>
            <w:pPr>
              <w:pStyle w:val="TableParagraph"/>
              <w:spacing w:before="33"/>
              <w:ind w:left="80"/>
              <w:rPr>
                <w:b/>
                <w:sz w:val="20"/>
              </w:rPr>
            </w:pPr>
            <w:r>
              <w:rPr>
                <w:b/>
                <w:color w:val="231F20"/>
                <w:sz w:val="20"/>
              </w:rPr>
              <w:t>Health</w:t>
            </w:r>
            <w:r>
              <w:rPr>
                <w:b/>
                <w:color w:val="231F20"/>
                <w:spacing w:val="-1"/>
                <w:sz w:val="20"/>
              </w:rPr>
              <w:t> </w:t>
            </w:r>
            <w:r>
              <w:rPr>
                <w:b/>
                <w:color w:val="231F20"/>
                <w:sz w:val="20"/>
              </w:rPr>
              <w:t>outcomes</w:t>
            </w:r>
          </w:p>
        </w:tc>
        <w:tc>
          <w:tcPr>
            <w:tcW w:w="8767" w:type="dxa"/>
          </w:tcPr>
          <w:p>
            <w:pPr>
              <w:pStyle w:val="TableParagraph"/>
              <w:numPr>
                <w:ilvl w:val="0"/>
                <w:numId w:val="22"/>
              </w:numPr>
              <w:tabs>
                <w:tab w:pos="439" w:val="left" w:leader="none"/>
                <w:tab w:pos="440" w:val="left" w:leader="none"/>
              </w:tabs>
              <w:spacing w:line="243" w:lineRule="exact" w:before="19" w:after="0"/>
              <w:ind w:left="440" w:right="0" w:hanging="360"/>
              <w:jc w:val="left"/>
              <w:rPr>
                <w:sz w:val="20"/>
              </w:rPr>
            </w:pPr>
            <w:r>
              <w:rPr>
                <w:color w:val="231F20"/>
                <w:sz w:val="20"/>
              </w:rPr>
              <w:t>Reduction</w:t>
            </w:r>
            <w:r>
              <w:rPr>
                <w:color w:val="231F20"/>
                <w:spacing w:val="2"/>
                <w:sz w:val="20"/>
              </w:rPr>
              <w:t> </w:t>
            </w:r>
            <w:r>
              <w:rPr>
                <w:color w:val="231F20"/>
                <w:sz w:val="20"/>
              </w:rPr>
              <w:t>in</w:t>
            </w:r>
            <w:r>
              <w:rPr>
                <w:color w:val="231F20"/>
                <w:spacing w:val="3"/>
                <w:sz w:val="20"/>
              </w:rPr>
              <w:t> </w:t>
            </w:r>
            <w:r>
              <w:rPr>
                <w:color w:val="231F20"/>
                <w:sz w:val="20"/>
              </w:rPr>
              <w:t>depression</w:t>
            </w:r>
            <w:r>
              <w:rPr>
                <w:color w:val="231F20"/>
                <w:position w:val="7"/>
                <w:sz w:val="11"/>
              </w:rPr>
              <w:t>41</w:t>
            </w:r>
            <w:r>
              <w:rPr>
                <w:color w:val="231F20"/>
                <w:spacing w:val="28"/>
                <w:position w:val="7"/>
                <w:sz w:val="11"/>
              </w:rPr>
              <w:t> </w:t>
            </w:r>
            <w:r>
              <w:rPr>
                <w:color w:val="231F20"/>
                <w:sz w:val="20"/>
              </w:rPr>
              <w:t>and</w:t>
            </w:r>
            <w:r>
              <w:rPr>
                <w:color w:val="231F20"/>
                <w:spacing w:val="3"/>
                <w:sz w:val="20"/>
              </w:rPr>
              <w:t> </w:t>
            </w:r>
            <w:r>
              <w:rPr>
                <w:color w:val="231F20"/>
                <w:sz w:val="20"/>
              </w:rPr>
              <w:t>major</w:t>
            </w:r>
            <w:r>
              <w:rPr>
                <w:color w:val="231F20"/>
                <w:spacing w:val="3"/>
                <w:sz w:val="20"/>
              </w:rPr>
              <w:t> </w:t>
            </w:r>
            <w:r>
              <w:rPr>
                <w:color w:val="231F20"/>
                <w:sz w:val="20"/>
              </w:rPr>
              <w:t>depression</w:t>
            </w:r>
            <w:r>
              <w:rPr>
                <w:color w:val="231F20"/>
                <w:position w:val="7"/>
                <w:sz w:val="11"/>
              </w:rPr>
              <w:t>42,</w:t>
            </w:r>
            <w:r>
              <w:rPr>
                <w:color w:val="231F20"/>
                <w:spacing w:val="2"/>
                <w:position w:val="7"/>
                <w:sz w:val="11"/>
              </w:rPr>
              <w:t> </w:t>
            </w:r>
            <w:r>
              <w:rPr>
                <w:color w:val="231F20"/>
                <w:position w:val="7"/>
                <w:sz w:val="11"/>
              </w:rPr>
              <w:t>43</w:t>
            </w:r>
            <w:r>
              <w:rPr>
                <w:color w:val="231F20"/>
                <w:spacing w:val="28"/>
                <w:position w:val="7"/>
                <w:sz w:val="11"/>
              </w:rPr>
              <w:t> </w:t>
            </w:r>
            <w:r>
              <w:rPr>
                <w:color w:val="231F20"/>
                <w:sz w:val="20"/>
              </w:rPr>
              <w:t>symptoms</w:t>
            </w:r>
          </w:p>
          <w:p>
            <w:pPr>
              <w:pStyle w:val="TableParagraph"/>
              <w:numPr>
                <w:ilvl w:val="0"/>
                <w:numId w:val="22"/>
              </w:numPr>
              <w:tabs>
                <w:tab w:pos="439" w:val="left" w:leader="none"/>
                <w:tab w:pos="440" w:val="left" w:leader="none"/>
              </w:tabs>
              <w:spacing w:line="240" w:lineRule="exact" w:before="0" w:after="0"/>
              <w:ind w:left="439" w:right="0" w:hanging="361"/>
              <w:jc w:val="left"/>
              <w:rPr>
                <w:sz w:val="11"/>
              </w:rPr>
            </w:pPr>
            <w:r>
              <w:rPr>
                <w:color w:val="231F20"/>
                <w:sz w:val="20"/>
              </w:rPr>
              <w:t>Reductions</w:t>
            </w:r>
            <w:r>
              <w:rPr>
                <w:color w:val="231F20"/>
                <w:spacing w:val="3"/>
                <w:sz w:val="20"/>
              </w:rPr>
              <w:t> </w:t>
            </w:r>
            <w:r>
              <w:rPr>
                <w:color w:val="231F20"/>
                <w:sz w:val="20"/>
              </w:rPr>
              <w:t>in</w:t>
            </w:r>
            <w:r>
              <w:rPr>
                <w:color w:val="231F20"/>
                <w:spacing w:val="3"/>
                <w:sz w:val="20"/>
              </w:rPr>
              <w:t> </w:t>
            </w:r>
            <w:r>
              <w:rPr>
                <w:color w:val="231F20"/>
                <w:sz w:val="20"/>
              </w:rPr>
              <w:t>PTSD</w:t>
            </w:r>
            <w:r>
              <w:rPr>
                <w:color w:val="231F20"/>
                <w:spacing w:val="4"/>
                <w:sz w:val="20"/>
              </w:rPr>
              <w:t> </w:t>
            </w:r>
            <w:r>
              <w:rPr>
                <w:color w:val="231F20"/>
                <w:sz w:val="20"/>
              </w:rPr>
              <w:t>symptoms</w:t>
            </w:r>
            <w:r>
              <w:rPr>
                <w:color w:val="231F20"/>
                <w:position w:val="7"/>
                <w:sz w:val="11"/>
              </w:rPr>
              <w:t>42,</w:t>
            </w:r>
            <w:r>
              <w:rPr>
                <w:color w:val="231F20"/>
                <w:spacing w:val="3"/>
                <w:position w:val="7"/>
                <w:sz w:val="11"/>
              </w:rPr>
              <w:t> </w:t>
            </w:r>
            <w:r>
              <w:rPr>
                <w:color w:val="231F20"/>
                <w:position w:val="7"/>
                <w:sz w:val="11"/>
              </w:rPr>
              <w:t>43</w:t>
            </w:r>
          </w:p>
          <w:p>
            <w:pPr>
              <w:pStyle w:val="TableParagraph"/>
              <w:numPr>
                <w:ilvl w:val="0"/>
                <w:numId w:val="22"/>
              </w:numPr>
              <w:tabs>
                <w:tab w:pos="439" w:val="left" w:leader="none"/>
                <w:tab w:pos="440" w:val="left" w:leader="none"/>
              </w:tabs>
              <w:spacing w:line="243" w:lineRule="exact" w:before="0" w:after="0"/>
              <w:ind w:left="439" w:right="0" w:hanging="361"/>
              <w:jc w:val="left"/>
              <w:rPr>
                <w:sz w:val="11"/>
              </w:rPr>
            </w:pPr>
            <w:r>
              <w:rPr>
                <w:color w:val="231F20"/>
                <w:sz w:val="20"/>
              </w:rPr>
              <w:t>Reduction</w:t>
            </w:r>
            <w:r>
              <w:rPr>
                <w:color w:val="231F20"/>
                <w:spacing w:val="2"/>
                <w:sz w:val="20"/>
              </w:rPr>
              <w:t> </w:t>
            </w:r>
            <w:r>
              <w:rPr>
                <w:color w:val="231F20"/>
                <w:sz w:val="20"/>
              </w:rPr>
              <w:t>in</w:t>
            </w:r>
            <w:r>
              <w:rPr>
                <w:color w:val="231F20"/>
                <w:spacing w:val="2"/>
                <w:sz w:val="20"/>
              </w:rPr>
              <w:t> </w:t>
            </w:r>
            <w:r>
              <w:rPr>
                <w:color w:val="231F20"/>
                <w:sz w:val="20"/>
              </w:rPr>
              <w:t>anxiety</w:t>
            </w:r>
            <w:r>
              <w:rPr>
                <w:color w:val="231F20"/>
                <w:position w:val="7"/>
                <w:sz w:val="11"/>
              </w:rPr>
              <w:t>42</w:t>
            </w:r>
          </w:p>
        </w:tc>
      </w:tr>
      <w:tr>
        <w:trPr>
          <w:trHeight w:val="1105" w:hRule="atLeast"/>
        </w:trPr>
        <w:tc>
          <w:tcPr>
            <w:tcW w:w="2018" w:type="dxa"/>
          </w:tcPr>
          <w:p>
            <w:pPr>
              <w:pStyle w:val="TableParagraph"/>
              <w:spacing w:before="33"/>
              <w:ind w:left="80"/>
              <w:rPr>
                <w:b/>
                <w:sz w:val="20"/>
              </w:rPr>
            </w:pPr>
            <w:r>
              <w:rPr>
                <w:b/>
                <w:color w:val="231F20"/>
                <w:sz w:val="20"/>
              </w:rPr>
              <w:t>Telehealth-specific</w:t>
            </w:r>
          </w:p>
          <w:p>
            <w:pPr>
              <w:pStyle w:val="TableParagraph"/>
              <w:spacing w:before="10"/>
              <w:ind w:left="80"/>
              <w:rPr>
                <w:b/>
                <w:sz w:val="20"/>
              </w:rPr>
            </w:pPr>
            <w:r>
              <w:rPr>
                <w:b/>
                <w:color w:val="231F20"/>
                <w:sz w:val="20"/>
              </w:rPr>
              <w:t>outcomes</w:t>
            </w:r>
          </w:p>
        </w:tc>
        <w:tc>
          <w:tcPr>
            <w:tcW w:w="8767" w:type="dxa"/>
          </w:tcPr>
          <w:p>
            <w:pPr>
              <w:pStyle w:val="TableParagraph"/>
              <w:spacing w:before="33"/>
              <w:ind w:left="80"/>
              <w:rPr>
                <w:sz w:val="20"/>
              </w:rPr>
            </w:pPr>
            <w:r>
              <w:rPr>
                <w:color w:val="231F20"/>
                <w:sz w:val="20"/>
              </w:rPr>
              <w:t>When</w:t>
            </w:r>
            <w:r>
              <w:rPr>
                <w:color w:val="231F20"/>
                <w:spacing w:val="-1"/>
                <w:sz w:val="20"/>
              </w:rPr>
              <w:t> </w:t>
            </w:r>
            <w:r>
              <w:rPr>
                <w:color w:val="231F20"/>
                <w:sz w:val="20"/>
              </w:rPr>
              <w:t>compared to in-person treatments:</w:t>
            </w:r>
          </w:p>
          <w:p>
            <w:pPr>
              <w:pStyle w:val="TableParagraph"/>
              <w:numPr>
                <w:ilvl w:val="0"/>
                <w:numId w:val="23"/>
              </w:numPr>
              <w:tabs>
                <w:tab w:pos="439" w:val="left" w:leader="none"/>
                <w:tab w:pos="440" w:val="left" w:leader="none"/>
              </w:tabs>
              <w:spacing w:line="243" w:lineRule="exact" w:before="86" w:after="0"/>
              <w:ind w:left="440" w:right="0" w:hanging="360"/>
              <w:jc w:val="left"/>
              <w:rPr>
                <w:sz w:val="11"/>
              </w:rPr>
            </w:pPr>
            <w:r>
              <w:rPr>
                <w:color w:val="231F20"/>
                <w:spacing w:val="-1"/>
                <w:sz w:val="20"/>
              </w:rPr>
              <w:t>Reduction in Veteran’s</w:t>
            </w:r>
            <w:r>
              <w:rPr>
                <w:color w:val="231F20"/>
                <w:spacing w:val="-12"/>
                <w:sz w:val="20"/>
              </w:rPr>
              <w:t> </w:t>
            </w:r>
            <w:r>
              <w:rPr>
                <w:color w:val="231F20"/>
                <w:spacing w:val="-1"/>
                <w:sz w:val="20"/>
              </w:rPr>
              <w:t>Affairs</w:t>
            </w:r>
            <w:r>
              <w:rPr>
                <w:color w:val="231F20"/>
                <w:sz w:val="20"/>
              </w:rPr>
              <w:t> </w:t>
            </w:r>
            <w:r>
              <w:rPr>
                <w:color w:val="231F20"/>
                <w:spacing w:val="-1"/>
                <w:sz w:val="20"/>
              </w:rPr>
              <w:t>health utilization costs</w:t>
            </w:r>
            <w:r>
              <w:rPr>
                <w:color w:val="231F20"/>
                <w:sz w:val="20"/>
              </w:rPr>
              <w:t> </w:t>
            </w:r>
            <w:r>
              <w:rPr>
                <w:color w:val="231F20"/>
                <w:spacing w:val="-1"/>
                <w:sz w:val="20"/>
              </w:rPr>
              <w:t>one-year post-telehealth </w:t>
            </w:r>
            <w:r>
              <w:rPr>
                <w:color w:val="231F20"/>
                <w:sz w:val="20"/>
              </w:rPr>
              <w:t>intervention</w:t>
            </w:r>
            <w:r>
              <w:rPr>
                <w:color w:val="231F20"/>
                <w:position w:val="7"/>
                <w:sz w:val="11"/>
              </w:rPr>
              <w:t>44</w:t>
            </w:r>
          </w:p>
          <w:p>
            <w:pPr>
              <w:pStyle w:val="TableParagraph"/>
              <w:numPr>
                <w:ilvl w:val="0"/>
                <w:numId w:val="23"/>
              </w:numPr>
              <w:tabs>
                <w:tab w:pos="439" w:val="left" w:leader="none"/>
                <w:tab w:pos="440" w:val="left" w:leader="none"/>
              </w:tabs>
              <w:spacing w:line="247" w:lineRule="auto" w:before="0" w:after="0"/>
              <w:ind w:left="440" w:right="123" w:hanging="360"/>
              <w:jc w:val="left"/>
              <w:rPr>
                <w:sz w:val="11"/>
              </w:rPr>
            </w:pPr>
            <w:r>
              <w:rPr>
                <w:color w:val="231F20"/>
                <w:sz w:val="20"/>
              </w:rPr>
              <w:t>Similar rates reduction in PTSD symptoms (e.g., disturbing memories/thoughts about military</w:t>
            </w:r>
            <w:r>
              <w:rPr>
                <w:color w:val="231F20"/>
                <w:spacing w:val="-54"/>
                <w:sz w:val="20"/>
              </w:rPr>
              <w:t> </w:t>
            </w:r>
            <w:r>
              <w:rPr>
                <w:color w:val="231F20"/>
                <w:sz w:val="20"/>
              </w:rPr>
              <w:t>experience, avoidance</w:t>
            </w:r>
            <w:r>
              <w:rPr>
                <w:color w:val="231F20"/>
                <w:spacing w:val="1"/>
                <w:sz w:val="20"/>
              </w:rPr>
              <w:t> </w:t>
            </w:r>
            <w:r>
              <w:rPr>
                <w:color w:val="231F20"/>
                <w:sz w:val="20"/>
              </w:rPr>
              <w:t>of external</w:t>
            </w:r>
            <w:r>
              <w:rPr>
                <w:color w:val="231F20"/>
                <w:spacing w:val="1"/>
                <w:sz w:val="20"/>
              </w:rPr>
              <w:t> </w:t>
            </w:r>
            <w:r>
              <w:rPr>
                <w:color w:val="231F20"/>
                <w:sz w:val="20"/>
              </w:rPr>
              <w:t>stimuli, nightmares,</w:t>
            </w:r>
            <w:r>
              <w:rPr>
                <w:color w:val="231F20"/>
                <w:spacing w:val="1"/>
                <w:sz w:val="20"/>
              </w:rPr>
              <w:t> </w:t>
            </w:r>
            <w:r>
              <w:rPr>
                <w:color w:val="231F20"/>
                <w:sz w:val="20"/>
              </w:rPr>
              <w:t>and re-experiencing)</w:t>
            </w:r>
            <w:r>
              <w:rPr>
                <w:color w:val="231F20"/>
                <w:position w:val="7"/>
                <w:sz w:val="11"/>
              </w:rPr>
              <w:t>43,</w:t>
            </w:r>
            <w:r>
              <w:rPr>
                <w:color w:val="231F20"/>
                <w:spacing w:val="1"/>
                <w:position w:val="7"/>
                <w:sz w:val="11"/>
              </w:rPr>
              <w:t> </w:t>
            </w:r>
            <w:r>
              <w:rPr>
                <w:color w:val="231F20"/>
                <w:position w:val="7"/>
                <w:sz w:val="11"/>
              </w:rPr>
              <w:t>45</w:t>
            </w:r>
          </w:p>
        </w:tc>
      </w:tr>
      <w:tr>
        <w:trPr>
          <w:trHeight w:val="2335" w:hRule="atLeast"/>
        </w:trPr>
        <w:tc>
          <w:tcPr>
            <w:tcW w:w="2018" w:type="dxa"/>
          </w:tcPr>
          <w:p>
            <w:pPr>
              <w:pStyle w:val="TableParagraph"/>
              <w:spacing w:line="249" w:lineRule="auto" w:before="33"/>
              <w:ind w:left="80" w:right="359"/>
              <w:jc w:val="both"/>
              <w:rPr>
                <w:b/>
                <w:sz w:val="20"/>
              </w:rPr>
            </w:pPr>
            <w:r>
              <w:rPr>
                <w:b/>
                <w:color w:val="231F20"/>
                <w:sz w:val="20"/>
              </w:rPr>
              <w:t>Populations that</w:t>
            </w:r>
            <w:r>
              <w:rPr>
                <w:b/>
                <w:color w:val="231F20"/>
                <w:spacing w:val="-54"/>
                <w:sz w:val="20"/>
              </w:rPr>
              <w:t> </w:t>
            </w:r>
            <w:r>
              <w:rPr>
                <w:b/>
                <w:color w:val="231F20"/>
                <w:sz w:val="20"/>
              </w:rPr>
              <w:t>benefit from the</w:t>
            </w:r>
            <w:r>
              <w:rPr>
                <w:b/>
                <w:color w:val="231F20"/>
                <w:spacing w:val="1"/>
                <w:sz w:val="20"/>
              </w:rPr>
              <w:t> </w:t>
            </w:r>
            <w:r>
              <w:rPr>
                <w:b/>
                <w:color w:val="231F20"/>
                <w:sz w:val="20"/>
              </w:rPr>
              <w:t>treatment</w:t>
            </w:r>
          </w:p>
        </w:tc>
        <w:tc>
          <w:tcPr>
            <w:tcW w:w="8767" w:type="dxa"/>
          </w:tcPr>
          <w:p>
            <w:pPr>
              <w:pStyle w:val="TableParagraph"/>
              <w:spacing w:before="33"/>
              <w:ind w:left="80"/>
              <w:rPr>
                <w:sz w:val="20"/>
              </w:rPr>
            </w:pPr>
            <w:r>
              <w:rPr>
                <w:color w:val="231F20"/>
                <w:sz w:val="20"/>
              </w:rPr>
              <w:t>People</w:t>
            </w:r>
            <w:r>
              <w:rPr>
                <w:color w:val="231F20"/>
                <w:spacing w:val="-6"/>
                <w:sz w:val="20"/>
              </w:rPr>
              <w:t> </w:t>
            </w:r>
            <w:r>
              <w:rPr>
                <w:color w:val="231F20"/>
                <w:sz w:val="20"/>
              </w:rPr>
              <w:t>experiencing</w:t>
            </w:r>
            <w:r>
              <w:rPr>
                <w:color w:val="231F20"/>
                <w:spacing w:val="-5"/>
                <w:sz w:val="20"/>
              </w:rPr>
              <w:t> </w:t>
            </w:r>
            <w:r>
              <w:rPr>
                <w:color w:val="231F20"/>
                <w:sz w:val="20"/>
              </w:rPr>
              <w:t>MDD,</w:t>
            </w:r>
            <w:r>
              <w:rPr>
                <w:color w:val="231F20"/>
                <w:spacing w:val="-5"/>
                <w:sz w:val="20"/>
              </w:rPr>
              <w:t> </w:t>
            </w:r>
            <w:r>
              <w:rPr>
                <w:color w:val="231F20"/>
                <w:sz w:val="20"/>
              </w:rPr>
              <w:t>including:</w:t>
            </w:r>
          </w:p>
          <w:p>
            <w:pPr>
              <w:pStyle w:val="TableParagraph"/>
              <w:numPr>
                <w:ilvl w:val="0"/>
                <w:numId w:val="24"/>
              </w:numPr>
              <w:tabs>
                <w:tab w:pos="439" w:val="left" w:leader="none"/>
                <w:tab w:pos="440" w:val="left" w:leader="none"/>
              </w:tabs>
              <w:spacing w:line="243" w:lineRule="exact" w:before="86" w:after="0"/>
              <w:ind w:left="440" w:right="0" w:hanging="360"/>
              <w:jc w:val="left"/>
              <w:rPr>
                <w:sz w:val="11"/>
              </w:rPr>
            </w:pPr>
            <w:r>
              <w:rPr>
                <w:color w:val="231F20"/>
                <w:sz w:val="20"/>
              </w:rPr>
              <w:t>Older</w:t>
            </w:r>
            <w:r>
              <w:rPr>
                <w:color w:val="231F20"/>
                <w:spacing w:val="2"/>
                <w:sz w:val="20"/>
              </w:rPr>
              <w:t> </w:t>
            </w:r>
            <w:r>
              <w:rPr>
                <w:color w:val="231F20"/>
                <w:sz w:val="20"/>
              </w:rPr>
              <w:t>veterans</w:t>
            </w:r>
            <w:r>
              <w:rPr>
                <w:color w:val="231F20"/>
                <w:spacing w:val="2"/>
                <w:sz w:val="20"/>
              </w:rPr>
              <w:t> </w:t>
            </w:r>
            <w:r>
              <w:rPr>
                <w:color w:val="231F20"/>
                <w:sz w:val="20"/>
              </w:rPr>
              <w:t>(58+)</w:t>
            </w:r>
            <w:r>
              <w:rPr>
                <w:color w:val="231F20"/>
                <w:position w:val="7"/>
                <w:sz w:val="11"/>
              </w:rPr>
              <w:t>41</w:t>
            </w:r>
          </w:p>
          <w:p>
            <w:pPr>
              <w:pStyle w:val="TableParagraph"/>
              <w:numPr>
                <w:ilvl w:val="0"/>
                <w:numId w:val="24"/>
              </w:numPr>
              <w:tabs>
                <w:tab w:pos="439" w:val="left" w:leader="none"/>
                <w:tab w:pos="440" w:val="left" w:leader="none"/>
              </w:tabs>
              <w:spacing w:line="240" w:lineRule="exact" w:before="0" w:after="0"/>
              <w:ind w:left="440" w:right="0" w:hanging="360"/>
              <w:jc w:val="left"/>
              <w:rPr>
                <w:sz w:val="11"/>
              </w:rPr>
            </w:pPr>
            <w:r>
              <w:rPr>
                <w:color w:val="231F20"/>
                <w:sz w:val="20"/>
              </w:rPr>
              <w:t>Rural</w:t>
            </w:r>
            <w:r>
              <w:rPr>
                <w:color w:val="231F20"/>
                <w:spacing w:val="3"/>
                <w:sz w:val="20"/>
              </w:rPr>
              <w:t> </w:t>
            </w:r>
            <w:r>
              <w:rPr>
                <w:color w:val="231F20"/>
                <w:sz w:val="20"/>
              </w:rPr>
              <w:t>veterans</w:t>
            </w:r>
            <w:r>
              <w:rPr>
                <w:color w:val="231F20"/>
                <w:position w:val="7"/>
                <w:sz w:val="11"/>
              </w:rPr>
              <w:t>41</w:t>
            </w:r>
          </w:p>
          <w:p>
            <w:pPr>
              <w:pStyle w:val="TableParagraph"/>
              <w:numPr>
                <w:ilvl w:val="0"/>
                <w:numId w:val="24"/>
              </w:numPr>
              <w:tabs>
                <w:tab w:pos="439" w:val="left" w:leader="none"/>
                <w:tab w:pos="440" w:val="left" w:leader="none"/>
              </w:tabs>
              <w:spacing w:line="240" w:lineRule="exact" w:before="0" w:after="0"/>
              <w:ind w:left="440" w:right="0" w:hanging="360"/>
              <w:jc w:val="left"/>
              <w:rPr>
                <w:sz w:val="11"/>
              </w:rPr>
            </w:pPr>
            <w:r>
              <w:rPr>
                <w:color w:val="231F20"/>
                <w:sz w:val="20"/>
              </w:rPr>
              <w:t>Black/African</w:t>
            </w:r>
            <w:r>
              <w:rPr>
                <w:color w:val="231F20"/>
                <w:spacing w:val="-10"/>
                <w:sz w:val="20"/>
              </w:rPr>
              <w:t> </w:t>
            </w:r>
            <w:r>
              <w:rPr>
                <w:color w:val="231F20"/>
                <w:sz w:val="20"/>
              </w:rPr>
              <w:t>American</w:t>
            </w:r>
            <w:r>
              <w:rPr>
                <w:color w:val="231F20"/>
                <w:spacing w:val="3"/>
                <w:sz w:val="20"/>
              </w:rPr>
              <w:t> </w:t>
            </w:r>
            <w:r>
              <w:rPr>
                <w:color w:val="231F20"/>
                <w:sz w:val="20"/>
              </w:rPr>
              <w:t>veterans</w:t>
            </w:r>
            <w:r>
              <w:rPr>
                <w:color w:val="231F20"/>
                <w:position w:val="7"/>
                <w:sz w:val="11"/>
              </w:rPr>
              <w:t>41</w:t>
            </w:r>
          </w:p>
          <w:p>
            <w:pPr>
              <w:pStyle w:val="TableParagraph"/>
              <w:numPr>
                <w:ilvl w:val="0"/>
                <w:numId w:val="24"/>
              </w:numPr>
              <w:tabs>
                <w:tab w:pos="439" w:val="left" w:leader="none"/>
                <w:tab w:pos="440" w:val="left" w:leader="none"/>
              </w:tabs>
              <w:spacing w:line="243" w:lineRule="exact" w:before="0" w:after="0"/>
              <w:ind w:left="440" w:right="0" w:hanging="360"/>
              <w:jc w:val="left"/>
              <w:rPr>
                <w:sz w:val="11"/>
              </w:rPr>
            </w:pPr>
            <w:r>
              <w:rPr>
                <w:color w:val="231F20"/>
                <w:sz w:val="20"/>
              </w:rPr>
              <w:t>Male</w:t>
            </w:r>
            <w:r>
              <w:rPr>
                <w:color w:val="231F20"/>
                <w:spacing w:val="2"/>
                <w:sz w:val="20"/>
              </w:rPr>
              <w:t> </w:t>
            </w:r>
            <w:r>
              <w:rPr>
                <w:color w:val="231F20"/>
                <w:sz w:val="20"/>
              </w:rPr>
              <w:t>veterans</w:t>
            </w:r>
            <w:r>
              <w:rPr>
                <w:color w:val="231F20"/>
                <w:position w:val="7"/>
                <w:sz w:val="11"/>
              </w:rPr>
              <w:t>41</w:t>
            </w:r>
          </w:p>
          <w:p>
            <w:pPr>
              <w:pStyle w:val="TableParagraph"/>
              <w:spacing w:before="189"/>
              <w:ind w:left="80"/>
              <w:rPr>
                <w:sz w:val="20"/>
              </w:rPr>
            </w:pPr>
            <w:r>
              <w:rPr>
                <w:color w:val="231F20"/>
                <w:sz w:val="20"/>
              </w:rPr>
              <w:t>People</w:t>
            </w:r>
            <w:r>
              <w:rPr>
                <w:color w:val="231F20"/>
                <w:spacing w:val="-1"/>
                <w:sz w:val="20"/>
              </w:rPr>
              <w:t> </w:t>
            </w:r>
            <w:r>
              <w:rPr>
                <w:color w:val="231F20"/>
                <w:sz w:val="20"/>
              </w:rPr>
              <w:t>experiencing PTSD, including:</w:t>
            </w:r>
          </w:p>
          <w:p>
            <w:pPr>
              <w:pStyle w:val="TableParagraph"/>
              <w:numPr>
                <w:ilvl w:val="0"/>
                <w:numId w:val="24"/>
              </w:numPr>
              <w:tabs>
                <w:tab w:pos="439" w:val="left" w:leader="none"/>
                <w:tab w:pos="440" w:val="left" w:leader="none"/>
              </w:tabs>
              <w:spacing w:line="247" w:lineRule="auto" w:before="86" w:after="0"/>
              <w:ind w:left="440" w:right="269" w:hanging="361"/>
              <w:jc w:val="left"/>
              <w:rPr>
                <w:sz w:val="11"/>
              </w:rPr>
            </w:pPr>
            <w:r>
              <w:rPr>
                <w:color w:val="231F20"/>
                <w:sz w:val="20"/>
              </w:rPr>
              <w:t>Male</w:t>
            </w:r>
            <w:r>
              <w:rPr>
                <w:color w:val="231F20"/>
                <w:spacing w:val="-2"/>
                <w:sz w:val="20"/>
              </w:rPr>
              <w:t> </w:t>
            </w:r>
            <w:r>
              <w:rPr>
                <w:color w:val="231F20"/>
                <w:sz w:val="20"/>
              </w:rPr>
              <w:t>and</w:t>
            </w:r>
            <w:r>
              <w:rPr>
                <w:color w:val="231F20"/>
                <w:spacing w:val="-3"/>
                <w:sz w:val="20"/>
              </w:rPr>
              <w:t> </w:t>
            </w:r>
            <w:r>
              <w:rPr>
                <w:color w:val="231F20"/>
                <w:sz w:val="20"/>
              </w:rPr>
              <w:t>female</w:t>
            </w:r>
            <w:r>
              <w:rPr>
                <w:color w:val="231F20"/>
                <w:spacing w:val="-2"/>
                <w:sz w:val="20"/>
              </w:rPr>
              <w:t> </w:t>
            </w:r>
            <w:r>
              <w:rPr>
                <w:color w:val="231F20"/>
                <w:sz w:val="20"/>
              </w:rPr>
              <w:t>veterans</w:t>
            </w:r>
            <w:r>
              <w:rPr>
                <w:color w:val="231F20"/>
                <w:spacing w:val="-2"/>
                <w:sz w:val="20"/>
              </w:rPr>
              <w:t> </w:t>
            </w:r>
            <w:r>
              <w:rPr>
                <w:color w:val="231F20"/>
                <w:sz w:val="20"/>
              </w:rPr>
              <w:t>of</w:t>
            </w:r>
            <w:r>
              <w:rPr>
                <w:color w:val="231F20"/>
                <w:spacing w:val="-2"/>
                <w:sz w:val="20"/>
              </w:rPr>
              <w:t> </w:t>
            </w:r>
            <w:r>
              <w:rPr>
                <w:color w:val="231F20"/>
                <w:sz w:val="20"/>
              </w:rPr>
              <w:t>Operation</w:t>
            </w:r>
            <w:r>
              <w:rPr>
                <w:color w:val="231F20"/>
                <w:spacing w:val="-2"/>
                <w:sz w:val="20"/>
              </w:rPr>
              <w:t> </w:t>
            </w:r>
            <w:r>
              <w:rPr>
                <w:color w:val="231F20"/>
                <w:sz w:val="20"/>
              </w:rPr>
              <w:t>Enduring/Iraqi</w:t>
            </w:r>
            <w:r>
              <w:rPr>
                <w:color w:val="231F20"/>
                <w:spacing w:val="-2"/>
                <w:sz w:val="20"/>
              </w:rPr>
              <w:t> </w:t>
            </w:r>
            <w:r>
              <w:rPr>
                <w:color w:val="231F20"/>
                <w:sz w:val="20"/>
              </w:rPr>
              <w:t>Freedom</w:t>
            </w:r>
            <w:r>
              <w:rPr>
                <w:color w:val="231F20"/>
                <w:position w:val="7"/>
                <w:sz w:val="11"/>
              </w:rPr>
              <w:t>43</w:t>
            </w:r>
            <w:r>
              <w:rPr>
                <w:color w:val="231F20"/>
                <w:spacing w:val="23"/>
                <w:position w:val="7"/>
                <w:sz w:val="11"/>
              </w:rPr>
              <w:t> </w:t>
            </w:r>
            <w:r>
              <w:rPr>
                <w:color w:val="231F20"/>
                <w:sz w:val="20"/>
              </w:rPr>
              <w:t>and</w:t>
            </w:r>
            <w:r>
              <w:rPr>
                <w:color w:val="231F20"/>
                <w:spacing w:val="-2"/>
                <w:sz w:val="20"/>
              </w:rPr>
              <w:t> </w:t>
            </w:r>
            <w:r>
              <w:rPr>
                <w:color w:val="231F20"/>
                <w:sz w:val="20"/>
              </w:rPr>
              <w:t>the</w:t>
            </w:r>
            <w:r>
              <w:rPr>
                <w:color w:val="231F20"/>
                <w:spacing w:val="-2"/>
                <w:sz w:val="20"/>
              </w:rPr>
              <w:t> </w:t>
            </w:r>
            <w:r>
              <w:rPr>
                <w:color w:val="231F20"/>
                <w:sz w:val="20"/>
              </w:rPr>
              <w:t>Vietnam</w:t>
            </w:r>
            <w:r>
              <w:rPr>
                <w:color w:val="231F20"/>
                <w:spacing w:val="-2"/>
                <w:sz w:val="20"/>
              </w:rPr>
              <w:t> </w:t>
            </w:r>
            <w:r>
              <w:rPr>
                <w:color w:val="231F20"/>
                <w:sz w:val="20"/>
              </w:rPr>
              <w:t>War,</w:t>
            </w:r>
            <w:r>
              <w:rPr>
                <w:color w:val="231F20"/>
                <w:spacing w:val="-1"/>
                <w:sz w:val="20"/>
              </w:rPr>
              <w:t> </w:t>
            </w:r>
            <w:r>
              <w:rPr>
                <w:color w:val="231F20"/>
                <w:sz w:val="20"/>
              </w:rPr>
              <w:t>the</w:t>
            </w:r>
            <w:r>
              <w:rPr>
                <w:color w:val="231F20"/>
                <w:spacing w:val="-53"/>
                <w:sz w:val="20"/>
              </w:rPr>
              <w:t> </w:t>
            </w:r>
            <w:r>
              <w:rPr>
                <w:color w:val="231F20"/>
                <w:sz w:val="20"/>
              </w:rPr>
              <w:t>Persian</w:t>
            </w:r>
            <w:r>
              <w:rPr>
                <w:color w:val="231F20"/>
                <w:spacing w:val="-1"/>
                <w:sz w:val="20"/>
              </w:rPr>
              <w:t> </w:t>
            </w:r>
            <w:r>
              <w:rPr>
                <w:color w:val="231F20"/>
                <w:sz w:val="20"/>
              </w:rPr>
              <w:t>Gulf War, and Operation New Dawn</w:t>
            </w:r>
            <w:r>
              <w:rPr>
                <w:color w:val="231F20"/>
                <w:position w:val="7"/>
                <w:sz w:val="11"/>
              </w:rPr>
              <w:t>43</w:t>
            </w:r>
          </w:p>
        </w:tc>
      </w:tr>
      <w:tr>
        <w:trPr>
          <w:trHeight w:val="1495" w:hRule="atLeast"/>
        </w:trPr>
        <w:tc>
          <w:tcPr>
            <w:tcW w:w="2018" w:type="dxa"/>
          </w:tcPr>
          <w:p>
            <w:pPr>
              <w:pStyle w:val="TableParagraph"/>
              <w:spacing w:line="249" w:lineRule="auto" w:before="33"/>
              <w:ind w:left="79" w:right="130"/>
              <w:rPr>
                <w:b/>
                <w:sz w:val="20"/>
              </w:rPr>
            </w:pPr>
            <w:r>
              <w:rPr>
                <w:b/>
                <w:color w:val="231F20"/>
                <w:sz w:val="20"/>
              </w:rPr>
              <w:t>Providers who can</w:t>
            </w:r>
            <w:r>
              <w:rPr>
                <w:b/>
                <w:color w:val="231F20"/>
                <w:spacing w:val="-53"/>
                <w:sz w:val="20"/>
              </w:rPr>
              <w:t> </w:t>
            </w:r>
            <w:r>
              <w:rPr>
                <w:b/>
                <w:color w:val="231F20"/>
                <w:sz w:val="20"/>
              </w:rPr>
              <w:t>offer intervention</w:t>
            </w:r>
            <w:r>
              <w:rPr>
                <w:b/>
                <w:color w:val="231F20"/>
                <w:spacing w:val="1"/>
                <w:sz w:val="20"/>
              </w:rPr>
              <w:t> </w:t>
            </w:r>
            <w:r>
              <w:rPr>
                <w:b/>
                <w:color w:val="231F20"/>
                <w:sz w:val="20"/>
              </w:rPr>
              <w:t>services</w:t>
            </w:r>
          </w:p>
        </w:tc>
        <w:tc>
          <w:tcPr>
            <w:tcW w:w="8767" w:type="dxa"/>
          </w:tcPr>
          <w:p>
            <w:pPr>
              <w:pStyle w:val="TableParagraph"/>
              <w:numPr>
                <w:ilvl w:val="0"/>
                <w:numId w:val="25"/>
              </w:numPr>
              <w:tabs>
                <w:tab w:pos="439" w:val="left" w:leader="none"/>
                <w:tab w:pos="440" w:val="left" w:leader="none"/>
              </w:tabs>
              <w:spacing w:line="240" w:lineRule="auto" w:before="19" w:after="0"/>
              <w:ind w:left="439" w:right="0" w:hanging="361"/>
              <w:jc w:val="left"/>
              <w:rPr>
                <w:sz w:val="20"/>
              </w:rPr>
            </w:pPr>
            <w:r>
              <w:rPr>
                <w:color w:val="231F20"/>
                <w:sz w:val="20"/>
              </w:rPr>
              <w:t>Master’s-level</w:t>
            </w:r>
            <w:r>
              <w:rPr>
                <w:color w:val="231F20"/>
                <w:spacing w:val="-2"/>
                <w:sz w:val="20"/>
              </w:rPr>
              <w:t> </w:t>
            </w:r>
            <w:r>
              <w:rPr>
                <w:color w:val="231F20"/>
                <w:sz w:val="20"/>
              </w:rPr>
              <w:t>clinicians</w:t>
            </w:r>
            <w:r>
              <w:rPr>
                <w:color w:val="231F20"/>
                <w:spacing w:val="-2"/>
                <w:sz w:val="20"/>
              </w:rPr>
              <w:t> </w:t>
            </w:r>
            <w:r>
              <w:rPr>
                <w:color w:val="231F20"/>
                <w:sz w:val="20"/>
              </w:rPr>
              <w:t>with</w:t>
            </w:r>
            <w:r>
              <w:rPr>
                <w:color w:val="231F20"/>
                <w:spacing w:val="-3"/>
                <w:sz w:val="20"/>
              </w:rPr>
              <w:t> </w:t>
            </w:r>
            <w:r>
              <w:rPr>
                <w:color w:val="231F20"/>
                <w:sz w:val="20"/>
              </w:rPr>
              <w:t>over</w:t>
            </w:r>
            <w:r>
              <w:rPr>
                <w:color w:val="231F20"/>
                <w:spacing w:val="-3"/>
                <w:sz w:val="20"/>
              </w:rPr>
              <w:t> </w:t>
            </w:r>
            <w:r>
              <w:rPr>
                <w:color w:val="231F20"/>
                <w:sz w:val="20"/>
              </w:rPr>
              <w:t>five</w:t>
            </w:r>
            <w:r>
              <w:rPr>
                <w:color w:val="231F20"/>
                <w:spacing w:val="-2"/>
                <w:sz w:val="20"/>
              </w:rPr>
              <w:t> </w:t>
            </w:r>
            <w:r>
              <w:rPr>
                <w:color w:val="231F20"/>
                <w:sz w:val="20"/>
              </w:rPr>
              <w:t>years</w:t>
            </w:r>
            <w:r>
              <w:rPr>
                <w:color w:val="231F20"/>
                <w:spacing w:val="-2"/>
                <w:sz w:val="20"/>
              </w:rPr>
              <w:t> </w:t>
            </w:r>
            <w:r>
              <w:rPr>
                <w:color w:val="231F20"/>
                <w:sz w:val="20"/>
              </w:rPr>
              <w:t>of</w:t>
            </w:r>
            <w:r>
              <w:rPr>
                <w:color w:val="231F20"/>
                <w:spacing w:val="-3"/>
                <w:sz w:val="20"/>
              </w:rPr>
              <w:t> </w:t>
            </w:r>
            <w:r>
              <w:rPr>
                <w:color w:val="231F20"/>
                <w:sz w:val="20"/>
              </w:rPr>
              <w:t>experience</w:t>
            </w:r>
            <w:r>
              <w:rPr>
                <w:color w:val="231F20"/>
                <w:spacing w:val="-3"/>
                <w:sz w:val="20"/>
              </w:rPr>
              <w:t> </w:t>
            </w:r>
            <w:r>
              <w:rPr>
                <w:color w:val="231F20"/>
                <w:sz w:val="20"/>
              </w:rPr>
              <w:t>who</w:t>
            </w:r>
            <w:r>
              <w:rPr>
                <w:color w:val="231F20"/>
                <w:spacing w:val="-3"/>
                <w:sz w:val="20"/>
              </w:rPr>
              <w:t> </w:t>
            </w:r>
            <w:r>
              <w:rPr>
                <w:color w:val="231F20"/>
                <w:sz w:val="20"/>
              </w:rPr>
              <w:t>participate</w:t>
            </w:r>
            <w:r>
              <w:rPr>
                <w:color w:val="231F20"/>
                <w:spacing w:val="-3"/>
                <w:sz w:val="20"/>
              </w:rPr>
              <w:t> </w:t>
            </w:r>
            <w:r>
              <w:rPr>
                <w:color w:val="231F20"/>
                <w:sz w:val="20"/>
              </w:rPr>
              <w:t>in</w:t>
            </w:r>
            <w:r>
              <w:rPr>
                <w:color w:val="231F20"/>
                <w:spacing w:val="-3"/>
                <w:sz w:val="20"/>
              </w:rPr>
              <w:t> </w:t>
            </w:r>
            <w:r>
              <w:rPr>
                <w:color w:val="231F20"/>
                <w:sz w:val="20"/>
              </w:rPr>
              <w:t>a</w:t>
            </w:r>
            <w:r>
              <w:rPr>
                <w:color w:val="231F20"/>
                <w:spacing w:val="-3"/>
                <w:sz w:val="20"/>
              </w:rPr>
              <w:t> </w:t>
            </w:r>
            <w:r>
              <w:rPr>
                <w:color w:val="231F20"/>
                <w:sz w:val="20"/>
              </w:rPr>
              <w:t>two-day</w:t>
            </w:r>
          </w:p>
          <w:p>
            <w:pPr>
              <w:pStyle w:val="TableParagraph"/>
              <w:spacing w:line="228" w:lineRule="exact" w:before="9"/>
              <w:ind w:left="439"/>
              <w:rPr>
                <w:sz w:val="11"/>
              </w:rPr>
            </w:pPr>
            <w:r>
              <w:rPr>
                <w:color w:val="231F20"/>
                <w:sz w:val="20"/>
              </w:rPr>
              <w:t>training and</w:t>
            </w:r>
            <w:r>
              <w:rPr>
                <w:color w:val="231F20"/>
                <w:spacing w:val="1"/>
                <w:sz w:val="20"/>
              </w:rPr>
              <w:t> </w:t>
            </w:r>
            <w:r>
              <w:rPr>
                <w:color w:val="231F20"/>
                <w:sz w:val="20"/>
              </w:rPr>
              <w:t>who</w:t>
            </w:r>
            <w:r>
              <w:rPr>
                <w:color w:val="231F20"/>
                <w:spacing w:val="1"/>
                <w:sz w:val="20"/>
              </w:rPr>
              <w:t> </w:t>
            </w:r>
            <w:r>
              <w:rPr>
                <w:color w:val="231F20"/>
                <w:sz w:val="20"/>
              </w:rPr>
              <w:t>receive weekly</w:t>
            </w:r>
            <w:r>
              <w:rPr>
                <w:color w:val="231F20"/>
                <w:spacing w:val="1"/>
                <w:sz w:val="20"/>
              </w:rPr>
              <w:t> </w:t>
            </w:r>
            <w:r>
              <w:rPr>
                <w:color w:val="231F20"/>
                <w:sz w:val="20"/>
              </w:rPr>
              <w:t>supervision</w:t>
            </w:r>
            <w:r>
              <w:rPr>
                <w:color w:val="231F20"/>
                <w:spacing w:val="1"/>
                <w:sz w:val="20"/>
              </w:rPr>
              <w:t> </w:t>
            </w:r>
            <w:r>
              <w:rPr>
                <w:color w:val="231F20"/>
                <w:sz w:val="20"/>
              </w:rPr>
              <w:t>throughout the</w:t>
            </w:r>
            <w:r>
              <w:rPr>
                <w:color w:val="231F20"/>
                <w:spacing w:val="1"/>
                <w:sz w:val="20"/>
              </w:rPr>
              <w:t> </w:t>
            </w:r>
            <w:r>
              <w:rPr>
                <w:color w:val="231F20"/>
                <w:sz w:val="20"/>
              </w:rPr>
              <w:t>trial</w:t>
            </w:r>
            <w:r>
              <w:rPr>
                <w:color w:val="231F20"/>
                <w:position w:val="7"/>
                <w:sz w:val="11"/>
              </w:rPr>
              <w:t>41</w:t>
            </w:r>
          </w:p>
          <w:p>
            <w:pPr>
              <w:pStyle w:val="TableParagraph"/>
              <w:numPr>
                <w:ilvl w:val="0"/>
                <w:numId w:val="25"/>
              </w:numPr>
              <w:tabs>
                <w:tab w:pos="439" w:val="left" w:leader="none"/>
                <w:tab w:pos="440" w:val="left" w:leader="none"/>
              </w:tabs>
              <w:spacing w:line="243" w:lineRule="exact" w:before="0" w:after="0"/>
              <w:ind w:left="440" w:right="0" w:hanging="360"/>
              <w:jc w:val="left"/>
              <w:rPr>
                <w:sz w:val="20"/>
              </w:rPr>
            </w:pPr>
            <w:r>
              <w:rPr>
                <w:color w:val="231F20"/>
                <w:sz w:val="20"/>
              </w:rPr>
              <w:t>Master’s-level</w:t>
            </w:r>
            <w:r>
              <w:rPr>
                <w:color w:val="231F20"/>
                <w:spacing w:val="-2"/>
                <w:sz w:val="20"/>
              </w:rPr>
              <w:t> </w:t>
            </w:r>
            <w:r>
              <w:rPr>
                <w:color w:val="231F20"/>
                <w:sz w:val="20"/>
              </w:rPr>
              <w:t>counselors</w:t>
            </w:r>
            <w:r>
              <w:rPr>
                <w:color w:val="231F20"/>
                <w:spacing w:val="-2"/>
                <w:sz w:val="20"/>
              </w:rPr>
              <w:t> </w:t>
            </w:r>
            <w:r>
              <w:rPr>
                <w:color w:val="231F20"/>
                <w:sz w:val="20"/>
              </w:rPr>
              <w:t>who</w:t>
            </w:r>
            <w:r>
              <w:rPr>
                <w:color w:val="231F20"/>
                <w:spacing w:val="-2"/>
                <w:sz w:val="20"/>
              </w:rPr>
              <w:t> </w:t>
            </w:r>
            <w:r>
              <w:rPr>
                <w:color w:val="231F20"/>
                <w:sz w:val="20"/>
              </w:rPr>
              <w:t>completed</w:t>
            </w:r>
            <w:r>
              <w:rPr>
                <w:color w:val="231F20"/>
                <w:spacing w:val="-2"/>
                <w:sz w:val="20"/>
              </w:rPr>
              <w:t> </w:t>
            </w:r>
            <w:r>
              <w:rPr>
                <w:color w:val="231F20"/>
                <w:sz w:val="20"/>
              </w:rPr>
              <w:t>an</w:t>
            </w:r>
            <w:r>
              <w:rPr>
                <w:color w:val="231F20"/>
                <w:spacing w:val="-3"/>
                <w:sz w:val="20"/>
              </w:rPr>
              <w:t> </w:t>
            </w:r>
            <w:r>
              <w:rPr>
                <w:color w:val="231F20"/>
                <w:sz w:val="20"/>
              </w:rPr>
              <w:t>eight-hour</w:t>
            </w:r>
            <w:r>
              <w:rPr>
                <w:color w:val="231F20"/>
                <w:spacing w:val="-2"/>
                <w:sz w:val="20"/>
              </w:rPr>
              <w:t> </w:t>
            </w:r>
            <w:r>
              <w:rPr>
                <w:color w:val="231F20"/>
                <w:sz w:val="20"/>
              </w:rPr>
              <w:t>workshop</w:t>
            </w:r>
            <w:r>
              <w:rPr>
                <w:color w:val="231F20"/>
                <w:spacing w:val="-3"/>
                <w:sz w:val="20"/>
              </w:rPr>
              <w:t> </w:t>
            </w:r>
            <w:r>
              <w:rPr>
                <w:color w:val="231F20"/>
                <w:sz w:val="20"/>
              </w:rPr>
              <w:t>and</w:t>
            </w:r>
            <w:r>
              <w:rPr>
                <w:color w:val="231F20"/>
                <w:spacing w:val="-2"/>
                <w:sz w:val="20"/>
              </w:rPr>
              <w:t> </w:t>
            </w:r>
            <w:r>
              <w:rPr>
                <w:color w:val="231F20"/>
                <w:sz w:val="20"/>
              </w:rPr>
              <w:t>shadowed</w:t>
            </w:r>
            <w:r>
              <w:rPr>
                <w:color w:val="231F20"/>
                <w:spacing w:val="-2"/>
                <w:sz w:val="20"/>
              </w:rPr>
              <w:t> </w:t>
            </w:r>
            <w:r>
              <w:rPr>
                <w:color w:val="231F20"/>
                <w:sz w:val="20"/>
              </w:rPr>
              <w:t>a</w:t>
            </w:r>
            <w:r>
              <w:rPr>
                <w:color w:val="231F20"/>
                <w:spacing w:val="-3"/>
                <w:sz w:val="20"/>
              </w:rPr>
              <w:t> </w:t>
            </w:r>
            <w:r>
              <w:rPr>
                <w:color w:val="231F20"/>
                <w:sz w:val="20"/>
              </w:rPr>
              <w:t>senior-</w:t>
            </w:r>
          </w:p>
          <w:p>
            <w:pPr>
              <w:pStyle w:val="TableParagraph"/>
              <w:spacing w:line="228" w:lineRule="exact" w:before="8"/>
              <w:rPr>
                <w:sz w:val="11"/>
              </w:rPr>
            </w:pPr>
            <w:r>
              <w:rPr>
                <w:color w:val="231F20"/>
                <w:sz w:val="20"/>
              </w:rPr>
              <w:t>level</w:t>
            </w:r>
            <w:r>
              <w:rPr>
                <w:color w:val="231F20"/>
                <w:spacing w:val="1"/>
                <w:sz w:val="20"/>
              </w:rPr>
              <w:t> </w:t>
            </w:r>
            <w:r>
              <w:rPr>
                <w:color w:val="231F20"/>
                <w:sz w:val="20"/>
              </w:rPr>
              <w:t>clinician</w:t>
            </w:r>
            <w:r>
              <w:rPr>
                <w:color w:val="231F20"/>
                <w:spacing w:val="1"/>
                <w:sz w:val="20"/>
              </w:rPr>
              <w:t> </w:t>
            </w:r>
            <w:r>
              <w:rPr>
                <w:color w:val="231F20"/>
                <w:sz w:val="20"/>
              </w:rPr>
              <w:t>administering</w:t>
            </w:r>
            <w:r>
              <w:rPr>
                <w:color w:val="231F20"/>
                <w:spacing w:val="1"/>
                <w:sz w:val="20"/>
              </w:rPr>
              <w:t> </w:t>
            </w:r>
            <w:r>
              <w:rPr>
                <w:color w:val="231F20"/>
                <w:sz w:val="20"/>
              </w:rPr>
              <w:t>the</w:t>
            </w:r>
            <w:r>
              <w:rPr>
                <w:color w:val="231F20"/>
                <w:spacing w:val="2"/>
                <w:sz w:val="20"/>
              </w:rPr>
              <w:t> </w:t>
            </w:r>
            <w:r>
              <w:rPr>
                <w:color w:val="231F20"/>
                <w:sz w:val="20"/>
              </w:rPr>
              <w:t>treatment</w:t>
            </w:r>
            <w:r>
              <w:rPr>
                <w:color w:val="231F20"/>
                <w:position w:val="7"/>
                <w:sz w:val="11"/>
              </w:rPr>
              <w:t>43</w:t>
            </w:r>
          </w:p>
          <w:p>
            <w:pPr>
              <w:pStyle w:val="TableParagraph"/>
              <w:numPr>
                <w:ilvl w:val="0"/>
                <w:numId w:val="25"/>
              </w:numPr>
              <w:tabs>
                <w:tab w:pos="439" w:val="left" w:leader="none"/>
                <w:tab w:pos="440" w:val="left" w:leader="none"/>
              </w:tabs>
              <w:spacing w:line="243" w:lineRule="exact" w:before="0" w:after="0"/>
              <w:ind w:left="440" w:right="0" w:hanging="360"/>
              <w:jc w:val="left"/>
              <w:rPr>
                <w:sz w:val="20"/>
              </w:rPr>
            </w:pPr>
            <w:r>
              <w:rPr>
                <w:color w:val="231F20"/>
                <w:sz w:val="20"/>
              </w:rPr>
              <w:t>Mental</w:t>
            </w:r>
            <w:r>
              <w:rPr>
                <w:color w:val="231F20"/>
                <w:spacing w:val="-2"/>
                <w:sz w:val="20"/>
              </w:rPr>
              <w:t> </w:t>
            </w:r>
            <w:r>
              <w:rPr>
                <w:color w:val="231F20"/>
                <w:sz w:val="20"/>
              </w:rPr>
              <w:t>health</w:t>
            </w:r>
            <w:r>
              <w:rPr>
                <w:color w:val="231F20"/>
                <w:spacing w:val="-2"/>
                <w:sz w:val="20"/>
              </w:rPr>
              <w:t> </w:t>
            </w:r>
            <w:r>
              <w:rPr>
                <w:color w:val="231F20"/>
                <w:sz w:val="20"/>
              </w:rPr>
              <w:t>therapists</w:t>
            </w:r>
            <w:r>
              <w:rPr>
                <w:color w:val="231F20"/>
                <w:spacing w:val="-2"/>
                <w:sz w:val="20"/>
              </w:rPr>
              <w:t> </w:t>
            </w:r>
            <w:r>
              <w:rPr>
                <w:color w:val="231F20"/>
                <w:sz w:val="20"/>
              </w:rPr>
              <w:t>who</w:t>
            </w:r>
            <w:r>
              <w:rPr>
                <w:color w:val="231F20"/>
                <w:spacing w:val="-2"/>
                <w:sz w:val="20"/>
              </w:rPr>
              <w:t> </w:t>
            </w:r>
            <w:r>
              <w:rPr>
                <w:color w:val="231F20"/>
                <w:sz w:val="20"/>
              </w:rPr>
              <w:t>completed</w:t>
            </w:r>
            <w:r>
              <w:rPr>
                <w:color w:val="231F20"/>
                <w:spacing w:val="-1"/>
                <w:sz w:val="20"/>
              </w:rPr>
              <w:t> </w:t>
            </w:r>
            <w:r>
              <w:rPr>
                <w:color w:val="231F20"/>
                <w:sz w:val="20"/>
              </w:rPr>
              <w:t>a</w:t>
            </w:r>
            <w:r>
              <w:rPr>
                <w:color w:val="231F20"/>
                <w:spacing w:val="-3"/>
                <w:sz w:val="20"/>
              </w:rPr>
              <w:t> </w:t>
            </w:r>
            <w:r>
              <w:rPr>
                <w:color w:val="231F20"/>
                <w:sz w:val="20"/>
              </w:rPr>
              <w:t>week-long</w:t>
            </w:r>
            <w:r>
              <w:rPr>
                <w:color w:val="231F20"/>
                <w:spacing w:val="-2"/>
                <w:sz w:val="20"/>
              </w:rPr>
              <w:t> </w:t>
            </w:r>
            <w:r>
              <w:rPr>
                <w:color w:val="231F20"/>
                <w:sz w:val="20"/>
              </w:rPr>
              <w:t>training,</w:t>
            </w:r>
            <w:r>
              <w:rPr>
                <w:color w:val="231F20"/>
                <w:spacing w:val="-1"/>
                <w:sz w:val="20"/>
              </w:rPr>
              <w:t> </w:t>
            </w:r>
            <w:r>
              <w:rPr>
                <w:color w:val="231F20"/>
                <w:sz w:val="20"/>
              </w:rPr>
              <w:t>shadowed</w:t>
            </w:r>
            <w:r>
              <w:rPr>
                <w:color w:val="231F20"/>
                <w:spacing w:val="-2"/>
                <w:sz w:val="20"/>
              </w:rPr>
              <w:t> </w:t>
            </w:r>
            <w:r>
              <w:rPr>
                <w:color w:val="231F20"/>
                <w:sz w:val="20"/>
              </w:rPr>
              <w:t>a</w:t>
            </w:r>
            <w:r>
              <w:rPr>
                <w:color w:val="231F20"/>
                <w:spacing w:val="-2"/>
                <w:sz w:val="20"/>
              </w:rPr>
              <w:t> </w:t>
            </w:r>
            <w:r>
              <w:rPr>
                <w:color w:val="231F20"/>
                <w:sz w:val="20"/>
              </w:rPr>
              <w:t>senior-level</w:t>
            </w:r>
          </w:p>
          <w:p>
            <w:pPr>
              <w:pStyle w:val="TableParagraph"/>
              <w:spacing w:before="9"/>
              <w:rPr>
                <w:sz w:val="11"/>
              </w:rPr>
            </w:pPr>
            <w:r>
              <w:rPr>
                <w:color w:val="231F20"/>
                <w:sz w:val="20"/>
              </w:rPr>
              <w:t>clinician,</w:t>
            </w:r>
            <w:r>
              <w:rPr>
                <w:color w:val="231F20"/>
                <w:spacing w:val="1"/>
                <w:sz w:val="20"/>
              </w:rPr>
              <w:t> </w:t>
            </w:r>
            <w:r>
              <w:rPr>
                <w:color w:val="231F20"/>
                <w:sz w:val="20"/>
              </w:rPr>
              <w:t>and</w:t>
            </w:r>
            <w:r>
              <w:rPr>
                <w:color w:val="231F20"/>
                <w:spacing w:val="1"/>
                <w:sz w:val="20"/>
              </w:rPr>
              <w:t> </w:t>
            </w:r>
            <w:r>
              <w:rPr>
                <w:color w:val="231F20"/>
                <w:sz w:val="20"/>
              </w:rPr>
              <w:t>received</w:t>
            </w:r>
            <w:r>
              <w:rPr>
                <w:color w:val="231F20"/>
                <w:spacing w:val="1"/>
                <w:sz w:val="20"/>
              </w:rPr>
              <w:t> </w:t>
            </w:r>
            <w:r>
              <w:rPr>
                <w:color w:val="231F20"/>
                <w:sz w:val="20"/>
              </w:rPr>
              <w:t>weekly</w:t>
            </w:r>
            <w:r>
              <w:rPr>
                <w:color w:val="231F20"/>
                <w:spacing w:val="2"/>
                <w:sz w:val="20"/>
              </w:rPr>
              <w:t> </w:t>
            </w:r>
            <w:r>
              <w:rPr>
                <w:color w:val="231F20"/>
                <w:sz w:val="20"/>
              </w:rPr>
              <w:t>supervision</w:t>
            </w:r>
            <w:r>
              <w:rPr>
                <w:color w:val="231F20"/>
                <w:position w:val="7"/>
                <w:sz w:val="11"/>
              </w:rPr>
              <w:t>42</w:t>
            </w:r>
          </w:p>
        </w:tc>
      </w:tr>
      <w:tr>
        <w:trPr>
          <w:trHeight w:val="1255" w:hRule="atLeast"/>
        </w:trPr>
        <w:tc>
          <w:tcPr>
            <w:tcW w:w="2018" w:type="dxa"/>
          </w:tcPr>
          <w:p>
            <w:pPr>
              <w:pStyle w:val="TableParagraph"/>
              <w:spacing w:before="33"/>
              <w:ind w:left="80"/>
              <w:rPr>
                <w:b/>
                <w:sz w:val="20"/>
              </w:rPr>
            </w:pPr>
            <w:r>
              <w:rPr>
                <w:b/>
                <w:color w:val="231F20"/>
                <w:sz w:val="20"/>
              </w:rPr>
              <w:t>Technology</w:t>
            </w:r>
            <w:r>
              <w:rPr>
                <w:b/>
                <w:color w:val="231F20"/>
                <w:spacing w:val="-7"/>
                <w:sz w:val="20"/>
              </w:rPr>
              <w:t> </w:t>
            </w:r>
            <w:r>
              <w:rPr>
                <w:b/>
                <w:color w:val="231F20"/>
                <w:sz w:val="20"/>
              </w:rPr>
              <w:t>used</w:t>
            </w:r>
          </w:p>
        </w:tc>
        <w:tc>
          <w:tcPr>
            <w:tcW w:w="8767" w:type="dxa"/>
          </w:tcPr>
          <w:p>
            <w:pPr>
              <w:pStyle w:val="TableParagraph"/>
              <w:numPr>
                <w:ilvl w:val="0"/>
                <w:numId w:val="26"/>
              </w:numPr>
              <w:tabs>
                <w:tab w:pos="439" w:val="left" w:leader="none"/>
                <w:tab w:pos="440" w:val="left" w:leader="none"/>
              </w:tabs>
              <w:spacing w:line="243" w:lineRule="exact" w:before="19" w:after="0"/>
              <w:ind w:left="440" w:right="0" w:hanging="360"/>
              <w:jc w:val="left"/>
              <w:rPr>
                <w:sz w:val="11"/>
              </w:rPr>
            </w:pPr>
            <w:r>
              <w:rPr>
                <w:color w:val="231F20"/>
                <w:sz w:val="20"/>
              </w:rPr>
              <w:t>In-home</w:t>
            </w:r>
            <w:r>
              <w:rPr>
                <w:color w:val="231F20"/>
                <w:spacing w:val="-1"/>
                <w:sz w:val="20"/>
              </w:rPr>
              <w:t> </w:t>
            </w:r>
            <w:r>
              <w:rPr>
                <w:color w:val="231F20"/>
                <w:sz w:val="20"/>
              </w:rPr>
              <w:t>videoconferencing</w:t>
            </w:r>
            <w:r>
              <w:rPr>
                <w:color w:val="231F20"/>
                <w:spacing w:val="-1"/>
                <w:sz w:val="20"/>
              </w:rPr>
              <w:t> </w:t>
            </w:r>
            <w:r>
              <w:rPr>
                <w:color w:val="231F20"/>
                <w:sz w:val="20"/>
              </w:rPr>
              <w:t>technology,</w:t>
            </w:r>
            <w:r>
              <w:rPr>
                <w:color w:val="231F20"/>
                <w:spacing w:val="-1"/>
                <w:sz w:val="20"/>
              </w:rPr>
              <w:t> </w:t>
            </w:r>
            <w:r>
              <w:rPr>
                <w:color w:val="231F20"/>
                <w:sz w:val="20"/>
              </w:rPr>
              <w:t>set</w:t>
            </w:r>
            <w:r>
              <w:rPr>
                <w:color w:val="231F20"/>
                <w:spacing w:val="-1"/>
                <w:sz w:val="20"/>
              </w:rPr>
              <w:t> </w:t>
            </w:r>
            <w:r>
              <w:rPr>
                <w:color w:val="231F20"/>
                <w:sz w:val="20"/>
              </w:rPr>
              <w:t>up</w:t>
            </w:r>
            <w:r>
              <w:rPr>
                <w:color w:val="231F20"/>
                <w:spacing w:val="-1"/>
                <w:sz w:val="20"/>
              </w:rPr>
              <w:t> </w:t>
            </w:r>
            <w:r>
              <w:rPr>
                <w:color w:val="231F20"/>
                <w:sz w:val="20"/>
              </w:rPr>
              <w:t>via</w:t>
            </w:r>
            <w:r>
              <w:rPr>
                <w:color w:val="231F20"/>
                <w:spacing w:val="-1"/>
                <w:sz w:val="20"/>
              </w:rPr>
              <w:t> </w:t>
            </w:r>
            <w:r>
              <w:rPr>
                <w:color w:val="231F20"/>
                <w:sz w:val="20"/>
              </w:rPr>
              <w:t>an</w:t>
            </w:r>
            <w:r>
              <w:rPr>
                <w:color w:val="231F20"/>
                <w:spacing w:val="-1"/>
                <w:sz w:val="20"/>
              </w:rPr>
              <w:t> </w:t>
            </w:r>
            <w:r>
              <w:rPr>
                <w:color w:val="231F20"/>
                <w:sz w:val="20"/>
              </w:rPr>
              <w:t>analogue</w:t>
            </w:r>
            <w:r>
              <w:rPr>
                <w:color w:val="231F20"/>
                <w:spacing w:val="-1"/>
                <w:sz w:val="20"/>
              </w:rPr>
              <w:t> </w:t>
            </w:r>
            <w:r>
              <w:rPr>
                <w:color w:val="231F20"/>
                <w:sz w:val="20"/>
              </w:rPr>
              <w:t>telephone</w:t>
            </w:r>
            <w:r>
              <w:rPr>
                <w:color w:val="231F20"/>
                <w:position w:val="7"/>
                <w:sz w:val="11"/>
              </w:rPr>
              <w:t>41</w:t>
            </w:r>
          </w:p>
          <w:p>
            <w:pPr>
              <w:pStyle w:val="TableParagraph"/>
              <w:numPr>
                <w:ilvl w:val="0"/>
                <w:numId w:val="26"/>
              </w:numPr>
              <w:tabs>
                <w:tab w:pos="439" w:val="left" w:leader="none"/>
                <w:tab w:pos="440" w:val="left" w:leader="none"/>
              </w:tabs>
              <w:spacing w:line="247" w:lineRule="auto" w:before="0" w:after="0"/>
              <w:ind w:left="440" w:right="144" w:hanging="360"/>
              <w:jc w:val="left"/>
              <w:rPr>
                <w:sz w:val="11"/>
              </w:rPr>
            </w:pPr>
            <w:r>
              <w:rPr>
                <w:color w:val="231F20"/>
                <w:sz w:val="20"/>
              </w:rPr>
              <w:t>Computer,</w:t>
            </w:r>
            <w:r>
              <w:rPr>
                <w:color w:val="231F20"/>
                <w:spacing w:val="-3"/>
                <w:sz w:val="20"/>
              </w:rPr>
              <w:t> </w:t>
            </w:r>
            <w:r>
              <w:rPr>
                <w:color w:val="231F20"/>
                <w:sz w:val="20"/>
              </w:rPr>
              <w:t>tablet,</w:t>
            </w:r>
            <w:r>
              <w:rPr>
                <w:color w:val="231F20"/>
                <w:spacing w:val="-3"/>
                <w:sz w:val="20"/>
              </w:rPr>
              <w:t> </w:t>
            </w:r>
            <w:r>
              <w:rPr>
                <w:color w:val="231F20"/>
                <w:sz w:val="20"/>
              </w:rPr>
              <w:t>or</w:t>
            </w:r>
            <w:r>
              <w:rPr>
                <w:color w:val="231F20"/>
                <w:spacing w:val="-3"/>
                <w:sz w:val="20"/>
              </w:rPr>
              <w:t> </w:t>
            </w:r>
            <w:r>
              <w:rPr>
                <w:color w:val="231F20"/>
                <w:sz w:val="20"/>
              </w:rPr>
              <w:t>smartphone</w:t>
            </w:r>
            <w:r>
              <w:rPr>
                <w:color w:val="231F20"/>
                <w:spacing w:val="-2"/>
                <w:sz w:val="20"/>
              </w:rPr>
              <w:t> </w:t>
            </w:r>
            <w:r>
              <w:rPr>
                <w:color w:val="231F20"/>
                <w:sz w:val="20"/>
              </w:rPr>
              <w:t>with</w:t>
            </w:r>
            <w:r>
              <w:rPr>
                <w:color w:val="231F20"/>
                <w:spacing w:val="-3"/>
                <w:sz w:val="20"/>
              </w:rPr>
              <w:t> </w:t>
            </w:r>
            <w:r>
              <w:rPr>
                <w:color w:val="231F20"/>
                <w:sz w:val="20"/>
              </w:rPr>
              <w:t>encrypted</w:t>
            </w:r>
            <w:r>
              <w:rPr>
                <w:color w:val="231F20"/>
                <w:spacing w:val="-3"/>
                <w:sz w:val="20"/>
              </w:rPr>
              <w:t> </w:t>
            </w:r>
            <w:r>
              <w:rPr>
                <w:color w:val="231F20"/>
                <w:sz w:val="20"/>
              </w:rPr>
              <w:t>videoconferencing</w:t>
            </w:r>
            <w:r>
              <w:rPr>
                <w:color w:val="231F20"/>
                <w:spacing w:val="-2"/>
                <w:sz w:val="20"/>
              </w:rPr>
              <w:t> </w:t>
            </w:r>
            <w:r>
              <w:rPr>
                <w:color w:val="231F20"/>
                <w:sz w:val="20"/>
              </w:rPr>
              <w:t>software</w:t>
            </w:r>
            <w:r>
              <w:rPr>
                <w:color w:val="231F20"/>
                <w:spacing w:val="-3"/>
                <w:sz w:val="20"/>
              </w:rPr>
              <w:t> </w:t>
            </w:r>
            <w:r>
              <w:rPr>
                <w:color w:val="231F20"/>
                <w:sz w:val="20"/>
              </w:rPr>
              <w:t>similar</w:t>
            </w:r>
            <w:r>
              <w:rPr>
                <w:color w:val="231F20"/>
                <w:spacing w:val="-3"/>
                <w:sz w:val="20"/>
              </w:rPr>
              <w:t> </w:t>
            </w:r>
            <w:r>
              <w:rPr>
                <w:color w:val="231F20"/>
                <w:sz w:val="20"/>
              </w:rPr>
              <w:t>to</w:t>
            </w:r>
            <w:r>
              <w:rPr>
                <w:color w:val="231F20"/>
                <w:spacing w:val="-2"/>
                <w:sz w:val="20"/>
              </w:rPr>
              <w:t> </w:t>
            </w:r>
            <w:r>
              <w:rPr>
                <w:color w:val="231F20"/>
                <w:sz w:val="20"/>
              </w:rPr>
              <w:t>Skype</w:t>
            </w:r>
            <w:r>
              <w:rPr>
                <w:color w:val="231F20"/>
                <w:spacing w:val="-53"/>
                <w:sz w:val="20"/>
              </w:rPr>
              <w:t> </w:t>
            </w:r>
            <w:r>
              <w:rPr>
                <w:color w:val="231F20"/>
                <w:sz w:val="20"/>
              </w:rPr>
              <w:t>or FaceTime</w:t>
            </w:r>
            <w:r>
              <w:rPr>
                <w:color w:val="231F20"/>
                <w:position w:val="7"/>
                <w:sz w:val="11"/>
              </w:rPr>
              <w:t>42,</w:t>
            </w:r>
            <w:r>
              <w:rPr>
                <w:color w:val="231F20"/>
                <w:spacing w:val="1"/>
                <w:position w:val="7"/>
                <w:sz w:val="11"/>
              </w:rPr>
              <w:t> </w:t>
            </w:r>
            <w:r>
              <w:rPr>
                <w:color w:val="231F20"/>
                <w:position w:val="7"/>
                <w:sz w:val="11"/>
              </w:rPr>
              <w:t>43</w:t>
            </w:r>
          </w:p>
          <w:p>
            <w:pPr>
              <w:pStyle w:val="TableParagraph"/>
              <w:numPr>
                <w:ilvl w:val="0"/>
                <w:numId w:val="26"/>
              </w:numPr>
              <w:tabs>
                <w:tab w:pos="439" w:val="left" w:leader="none"/>
                <w:tab w:pos="440" w:val="left" w:leader="none"/>
              </w:tabs>
              <w:spacing w:line="247" w:lineRule="auto" w:before="0" w:after="0"/>
              <w:ind w:left="440" w:right="289" w:hanging="360"/>
              <w:jc w:val="left"/>
              <w:rPr>
                <w:sz w:val="11"/>
              </w:rPr>
            </w:pPr>
            <w:r>
              <w:rPr>
                <w:color w:val="231F20"/>
                <w:sz w:val="20"/>
              </w:rPr>
              <w:t>A</w:t>
            </w:r>
            <w:r>
              <w:rPr>
                <w:color w:val="231F20"/>
                <w:spacing w:val="-13"/>
                <w:sz w:val="20"/>
              </w:rPr>
              <w:t> </w:t>
            </w:r>
            <w:r>
              <w:rPr>
                <w:color w:val="231F20"/>
                <w:sz w:val="20"/>
              </w:rPr>
              <w:t>landline-based</w:t>
            </w:r>
            <w:r>
              <w:rPr>
                <w:color w:val="231F20"/>
                <w:spacing w:val="-2"/>
                <w:sz w:val="20"/>
              </w:rPr>
              <w:t> </w:t>
            </w:r>
            <w:r>
              <w:rPr>
                <w:color w:val="231F20"/>
                <w:sz w:val="20"/>
              </w:rPr>
              <w:t>videoconferencing</w:t>
            </w:r>
            <w:r>
              <w:rPr>
                <w:color w:val="231F20"/>
                <w:spacing w:val="-2"/>
                <w:sz w:val="20"/>
              </w:rPr>
              <w:t> </w:t>
            </w:r>
            <w:r>
              <w:rPr>
                <w:color w:val="231F20"/>
                <w:sz w:val="20"/>
              </w:rPr>
              <w:t>program</w:t>
            </w:r>
            <w:r>
              <w:rPr>
                <w:color w:val="231F20"/>
                <w:spacing w:val="-1"/>
                <w:sz w:val="20"/>
              </w:rPr>
              <w:t> </w:t>
            </w:r>
            <w:r>
              <w:rPr>
                <w:color w:val="231F20"/>
                <w:sz w:val="20"/>
              </w:rPr>
              <w:t>which</w:t>
            </w:r>
            <w:r>
              <w:rPr>
                <w:color w:val="231F20"/>
                <w:spacing w:val="-2"/>
                <w:sz w:val="20"/>
              </w:rPr>
              <w:t> </w:t>
            </w:r>
            <w:r>
              <w:rPr>
                <w:color w:val="231F20"/>
                <w:sz w:val="20"/>
              </w:rPr>
              <w:t>functions</w:t>
            </w:r>
            <w:r>
              <w:rPr>
                <w:color w:val="231F20"/>
                <w:spacing w:val="-2"/>
                <w:sz w:val="20"/>
              </w:rPr>
              <w:t> </w:t>
            </w:r>
            <w:r>
              <w:rPr>
                <w:color w:val="231F20"/>
                <w:sz w:val="20"/>
              </w:rPr>
              <w:t>like</w:t>
            </w:r>
            <w:r>
              <w:rPr>
                <w:color w:val="231F20"/>
                <w:spacing w:val="-2"/>
                <w:sz w:val="20"/>
              </w:rPr>
              <w:t> </w:t>
            </w:r>
            <w:r>
              <w:rPr>
                <w:color w:val="231F20"/>
                <w:sz w:val="20"/>
              </w:rPr>
              <w:t>a</w:t>
            </w:r>
            <w:r>
              <w:rPr>
                <w:color w:val="231F20"/>
                <w:spacing w:val="-1"/>
                <w:sz w:val="20"/>
              </w:rPr>
              <w:t> </w:t>
            </w:r>
            <w:r>
              <w:rPr>
                <w:color w:val="231F20"/>
                <w:sz w:val="20"/>
              </w:rPr>
              <w:t>typical</w:t>
            </w:r>
            <w:r>
              <w:rPr>
                <w:color w:val="231F20"/>
                <w:spacing w:val="-2"/>
                <w:sz w:val="20"/>
              </w:rPr>
              <w:t> </w:t>
            </w:r>
            <w:r>
              <w:rPr>
                <w:color w:val="231F20"/>
                <w:sz w:val="20"/>
              </w:rPr>
              <w:t>touch-phone</w:t>
            </w:r>
            <w:r>
              <w:rPr>
                <w:color w:val="231F20"/>
                <w:spacing w:val="-2"/>
                <w:sz w:val="20"/>
              </w:rPr>
              <w:t> </w:t>
            </w:r>
            <w:r>
              <w:rPr>
                <w:color w:val="231F20"/>
                <w:sz w:val="20"/>
              </w:rPr>
              <w:t>but</w:t>
            </w:r>
            <w:r>
              <w:rPr>
                <w:color w:val="231F20"/>
                <w:spacing w:val="-53"/>
                <w:sz w:val="20"/>
              </w:rPr>
              <w:t> </w:t>
            </w:r>
            <w:r>
              <w:rPr>
                <w:color w:val="231F20"/>
                <w:sz w:val="20"/>
              </w:rPr>
              <w:t>includes an adjacent video screen</w:t>
            </w:r>
            <w:r>
              <w:rPr>
                <w:color w:val="231F20"/>
                <w:position w:val="7"/>
                <w:sz w:val="11"/>
              </w:rPr>
              <w:t>42,</w:t>
            </w:r>
            <w:r>
              <w:rPr>
                <w:color w:val="231F20"/>
                <w:spacing w:val="1"/>
                <w:position w:val="7"/>
                <w:sz w:val="11"/>
              </w:rPr>
              <w:t> </w:t>
            </w:r>
            <w:r>
              <w:rPr>
                <w:color w:val="231F20"/>
                <w:position w:val="7"/>
                <w:sz w:val="11"/>
              </w:rPr>
              <w:t>43</w:t>
            </w:r>
          </w:p>
        </w:tc>
      </w:tr>
      <w:tr>
        <w:trPr>
          <w:trHeight w:val="535" w:hRule="atLeast"/>
        </w:trPr>
        <w:tc>
          <w:tcPr>
            <w:tcW w:w="2018" w:type="dxa"/>
          </w:tcPr>
          <w:p>
            <w:pPr>
              <w:pStyle w:val="TableParagraph"/>
              <w:spacing w:line="249" w:lineRule="auto" w:before="33"/>
              <w:ind w:left="80" w:right="139"/>
              <w:rPr>
                <w:b/>
                <w:sz w:val="20"/>
              </w:rPr>
            </w:pPr>
            <w:r>
              <w:rPr>
                <w:b/>
                <w:color w:val="231F20"/>
                <w:spacing w:val="-1"/>
                <w:sz w:val="20"/>
              </w:rPr>
              <w:t>Intensity, duration,</w:t>
            </w:r>
            <w:r>
              <w:rPr>
                <w:b/>
                <w:color w:val="231F20"/>
                <w:spacing w:val="-53"/>
                <w:sz w:val="20"/>
              </w:rPr>
              <w:t> </w:t>
            </w:r>
            <w:r>
              <w:rPr>
                <w:b/>
                <w:color w:val="231F20"/>
                <w:sz w:val="20"/>
              </w:rPr>
              <w:t>and frequency</w:t>
            </w:r>
          </w:p>
        </w:tc>
        <w:tc>
          <w:tcPr>
            <w:tcW w:w="8767" w:type="dxa"/>
          </w:tcPr>
          <w:p>
            <w:pPr>
              <w:pStyle w:val="TableParagraph"/>
              <w:numPr>
                <w:ilvl w:val="0"/>
                <w:numId w:val="27"/>
              </w:numPr>
              <w:tabs>
                <w:tab w:pos="439" w:val="left" w:leader="none"/>
                <w:tab w:pos="440" w:val="left" w:leader="none"/>
              </w:tabs>
              <w:spacing w:line="240" w:lineRule="auto" w:before="19" w:after="0"/>
              <w:ind w:left="440" w:right="0" w:hanging="360"/>
              <w:jc w:val="left"/>
              <w:rPr>
                <w:sz w:val="11"/>
              </w:rPr>
            </w:pPr>
            <w:r>
              <w:rPr>
                <w:color w:val="231F20"/>
                <w:sz w:val="20"/>
              </w:rPr>
              <w:t>Eight</w:t>
            </w:r>
            <w:r>
              <w:rPr>
                <w:color w:val="231F20"/>
                <w:spacing w:val="2"/>
                <w:sz w:val="20"/>
              </w:rPr>
              <w:t> </w:t>
            </w:r>
            <w:r>
              <w:rPr>
                <w:color w:val="231F20"/>
                <w:sz w:val="20"/>
              </w:rPr>
              <w:t>60-</w:t>
            </w:r>
            <w:r>
              <w:rPr>
                <w:color w:val="231F20"/>
                <w:spacing w:val="2"/>
                <w:sz w:val="20"/>
              </w:rPr>
              <w:t> </w:t>
            </w:r>
            <w:r>
              <w:rPr>
                <w:color w:val="231F20"/>
                <w:sz w:val="20"/>
              </w:rPr>
              <w:t>to</w:t>
            </w:r>
            <w:r>
              <w:rPr>
                <w:color w:val="231F20"/>
                <w:spacing w:val="3"/>
                <w:sz w:val="20"/>
              </w:rPr>
              <w:t> </w:t>
            </w:r>
            <w:r>
              <w:rPr>
                <w:color w:val="231F20"/>
                <w:sz w:val="20"/>
              </w:rPr>
              <w:t>90-minute</w:t>
            </w:r>
            <w:r>
              <w:rPr>
                <w:color w:val="231F20"/>
                <w:spacing w:val="2"/>
                <w:sz w:val="20"/>
              </w:rPr>
              <w:t> </w:t>
            </w:r>
            <w:r>
              <w:rPr>
                <w:color w:val="231F20"/>
                <w:sz w:val="20"/>
              </w:rPr>
              <w:t>weekly</w:t>
            </w:r>
            <w:r>
              <w:rPr>
                <w:color w:val="231F20"/>
                <w:spacing w:val="2"/>
                <w:sz w:val="20"/>
              </w:rPr>
              <w:t> </w:t>
            </w:r>
            <w:r>
              <w:rPr>
                <w:color w:val="231F20"/>
                <w:sz w:val="20"/>
              </w:rPr>
              <w:t>sessions</w:t>
            </w:r>
            <w:r>
              <w:rPr>
                <w:color w:val="231F20"/>
                <w:position w:val="7"/>
                <w:sz w:val="11"/>
              </w:rPr>
              <w:t>42,</w:t>
            </w:r>
            <w:r>
              <w:rPr>
                <w:color w:val="231F20"/>
                <w:spacing w:val="3"/>
                <w:position w:val="7"/>
                <w:sz w:val="11"/>
              </w:rPr>
              <w:t> </w:t>
            </w:r>
            <w:r>
              <w:rPr>
                <w:color w:val="231F20"/>
                <w:position w:val="7"/>
                <w:sz w:val="11"/>
              </w:rPr>
              <w:t>43</w:t>
            </w:r>
          </w:p>
        </w:tc>
      </w:tr>
      <w:tr>
        <w:trPr>
          <w:trHeight w:val="1847" w:hRule="atLeast"/>
        </w:trPr>
        <w:tc>
          <w:tcPr>
            <w:tcW w:w="2018" w:type="dxa"/>
          </w:tcPr>
          <w:p>
            <w:pPr>
              <w:pStyle w:val="TableParagraph"/>
              <w:spacing w:line="249" w:lineRule="auto" w:before="33"/>
              <w:ind w:left="80" w:right="214"/>
              <w:rPr>
                <w:b/>
                <w:sz w:val="20"/>
              </w:rPr>
            </w:pPr>
            <w:r>
              <w:rPr>
                <w:b/>
                <w:color w:val="231F20"/>
                <w:sz w:val="20"/>
              </w:rPr>
              <w:t>Lessons learned</w:t>
            </w:r>
            <w:r>
              <w:rPr>
                <w:b/>
                <w:color w:val="231F20"/>
                <w:spacing w:val="1"/>
                <w:sz w:val="20"/>
              </w:rPr>
              <w:t> </w:t>
            </w:r>
            <w:r>
              <w:rPr>
                <w:b/>
                <w:color w:val="231F20"/>
                <w:sz w:val="20"/>
              </w:rPr>
              <w:t>transitioning from</w:t>
            </w:r>
            <w:r>
              <w:rPr>
                <w:b/>
                <w:color w:val="231F20"/>
                <w:spacing w:val="-54"/>
                <w:sz w:val="20"/>
              </w:rPr>
              <w:t> </w:t>
            </w:r>
            <w:r>
              <w:rPr>
                <w:b/>
                <w:color w:val="231F20"/>
                <w:sz w:val="20"/>
              </w:rPr>
              <w:t>in-person care to</w:t>
            </w:r>
            <w:r>
              <w:rPr>
                <w:b/>
                <w:color w:val="231F20"/>
                <w:spacing w:val="1"/>
                <w:sz w:val="20"/>
              </w:rPr>
              <w:t> </w:t>
            </w:r>
            <w:r>
              <w:rPr>
                <w:b/>
                <w:color w:val="231F20"/>
                <w:sz w:val="20"/>
              </w:rPr>
              <w:t>telehealth</w:t>
            </w:r>
          </w:p>
        </w:tc>
        <w:tc>
          <w:tcPr>
            <w:tcW w:w="8767" w:type="dxa"/>
          </w:tcPr>
          <w:p>
            <w:pPr>
              <w:pStyle w:val="TableParagraph"/>
              <w:numPr>
                <w:ilvl w:val="0"/>
                <w:numId w:val="28"/>
              </w:numPr>
              <w:tabs>
                <w:tab w:pos="439" w:val="left" w:leader="none"/>
                <w:tab w:pos="440" w:val="left" w:leader="none"/>
              </w:tabs>
              <w:spacing w:line="249" w:lineRule="auto" w:before="19" w:after="0"/>
              <w:ind w:left="440" w:right="325" w:hanging="360"/>
              <w:jc w:val="left"/>
              <w:rPr>
                <w:sz w:val="11"/>
              </w:rPr>
            </w:pPr>
            <w:r>
              <w:rPr>
                <w:color w:val="231F20"/>
                <w:sz w:val="20"/>
              </w:rPr>
              <w:t>Telehealth</w:t>
            </w:r>
            <w:r>
              <w:rPr>
                <w:color w:val="231F20"/>
                <w:spacing w:val="-7"/>
                <w:sz w:val="20"/>
              </w:rPr>
              <w:t> </w:t>
            </w:r>
            <w:r>
              <w:rPr>
                <w:color w:val="231F20"/>
                <w:sz w:val="20"/>
              </w:rPr>
              <w:t>treatment</w:t>
            </w:r>
            <w:r>
              <w:rPr>
                <w:color w:val="231F20"/>
                <w:spacing w:val="-6"/>
                <w:sz w:val="20"/>
              </w:rPr>
              <w:t> </w:t>
            </w:r>
            <w:r>
              <w:rPr>
                <w:color w:val="231F20"/>
                <w:sz w:val="20"/>
              </w:rPr>
              <w:t>was</w:t>
            </w:r>
            <w:r>
              <w:rPr>
                <w:color w:val="231F20"/>
                <w:spacing w:val="-6"/>
                <w:sz w:val="20"/>
              </w:rPr>
              <w:t> </w:t>
            </w:r>
            <w:r>
              <w:rPr>
                <w:color w:val="231F20"/>
                <w:sz w:val="20"/>
              </w:rPr>
              <w:t>effective</w:t>
            </w:r>
            <w:r>
              <w:rPr>
                <w:color w:val="231F20"/>
                <w:spacing w:val="-7"/>
                <w:sz w:val="20"/>
              </w:rPr>
              <w:t> </w:t>
            </w:r>
            <w:r>
              <w:rPr>
                <w:color w:val="231F20"/>
                <w:sz w:val="20"/>
              </w:rPr>
              <w:t>even</w:t>
            </w:r>
            <w:r>
              <w:rPr>
                <w:color w:val="231F20"/>
                <w:spacing w:val="-7"/>
                <w:sz w:val="20"/>
              </w:rPr>
              <w:t> </w:t>
            </w:r>
            <w:r>
              <w:rPr>
                <w:color w:val="231F20"/>
                <w:sz w:val="20"/>
              </w:rPr>
              <w:t>though</w:t>
            </w:r>
            <w:r>
              <w:rPr>
                <w:color w:val="231F20"/>
                <w:spacing w:val="-5"/>
                <w:sz w:val="20"/>
              </w:rPr>
              <w:t> </w:t>
            </w:r>
            <w:r>
              <w:rPr>
                <w:color w:val="231F20"/>
                <w:sz w:val="20"/>
              </w:rPr>
              <w:t>the</w:t>
            </w:r>
            <w:r>
              <w:rPr>
                <w:color w:val="231F20"/>
                <w:spacing w:val="-6"/>
                <w:sz w:val="20"/>
              </w:rPr>
              <w:t> </w:t>
            </w:r>
            <w:r>
              <w:rPr>
                <w:color w:val="231F20"/>
                <w:sz w:val="20"/>
              </w:rPr>
              <w:t>in-home</w:t>
            </w:r>
            <w:r>
              <w:rPr>
                <w:color w:val="231F20"/>
                <w:spacing w:val="-6"/>
                <w:sz w:val="20"/>
              </w:rPr>
              <w:t> </w:t>
            </w:r>
            <w:r>
              <w:rPr>
                <w:color w:val="231F20"/>
                <w:sz w:val="20"/>
              </w:rPr>
              <w:t>videoconferencing</w:t>
            </w:r>
            <w:r>
              <w:rPr>
                <w:color w:val="231F20"/>
                <w:spacing w:val="-6"/>
                <w:sz w:val="20"/>
              </w:rPr>
              <w:t> </w:t>
            </w:r>
            <w:r>
              <w:rPr>
                <w:color w:val="231F20"/>
                <w:sz w:val="20"/>
              </w:rPr>
              <w:t>technology</w:t>
            </w:r>
            <w:r>
              <w:rPr>
                <w:color w:val="231F20"/>
                <w:spacing w:val="-53"/>
                <w:sz w:val="20"/>
              </w:rPr>
              <w:t> </w:t>
            </w:r>
            <w:r>
              <w:rPr>
                <w:color w:val="231F20"/>
                <w:sz w:val="20"/>
              </w:rPr>
              <w:t>used in the studies has become somewhat obsolete; researchers believe new technology</w:t>
            </w:r>
            <w:r>
              <w:rPr>
                <w:color w:val="231F20"/>
                <w:spacing w:val="1"/>
                <w:sz w:val="20"/>
              </w:rPr>
              <w:t> </w:t>
            </w:r>
            <w:r>
              <w:rPr>
                <w:color w:val="231F20"/>
                <w:sz w:val="20"/>
              </w:rPr>
              <w:t>can only improve communication between clients and providers, thus easing future</w:t>
            </w:r>
            <w:r>
              <w:rPr>
                <w:color w:val="231F20"/>
                <w:spacing w:val="1"/>
                <w:sz w:val="20"/>
              </w:rPr>
              <w:t> </w:t>
            </w:r>
            <w:r>
              <w:rPr>
                <w:color w:val="231F20"/>
                <w:sz w:val="20"/>
              </w:rPr>
              <w:t>implementation</w:t>
            </w:r>
            <w:r>
              <w:rPr>
                <w:color w:val="231F20"/>
                <w:position w:val="7"/>
                <w:sz w:val="11"/>
              </w:rPr>
              <w:t>41</w:t>
            </w:r>
          </w:p>
          <w:p>
            <w:pPr>
              <w:pStyle w:val="TableParagraph"/>
              <w:numPr>
                <w:ilvl w:val="0"/>
                <w:numId w:val="28"/>
              </w:numPr>
              <w:tabs>
                <w:tab w:pos="439" w:val="left" w:leader="none"/>
                <w:tab w:pos="440" w:val="left" w:leader="none"/>
              </w:tabs>
              <w:spacing w:line="249" w:lineRule="auto" w:before="0" w:after="0"/>
              <w:ind w:left="440" w:right="322" w:hanging="360"/>
              <w:jc w:val="left"/>
              <w:rPr>
                <w:sz w:val="11"/>
              </w:rPr>
            </w:pPr>
            <w:r>
              <w:rPr>
                <w:color w:val="231F20"/>
                <w:sz w:val="20"/>
              </w:rPr>
              <w:t>Home-based</w:t>
            </w:r>
            <w:r>
              <w:rPr>
                <w:color w:val="231F20"/>
                <w:spacing w:val="-2"/>
                <w:sz w:val="20"/>
              </w:rPr>
              <w:t> </w:t>
            </w:r>
            <w:r>
              <w:rPr>
                <w:color w:val="231F20"/>
                <w:sz w:val="20"/>
              </w:rPr>
              <w:t>telehealth</w:t>
            </w:r>
            <w:r>
              <w:rPr>
                <w:color w:val="231F20"/>
                <w:spacing w:val="-2"/>
                <w:sz w:val="20"/>
              </w:rPr>
              <w:t> </w:t>
            </w:r>
            <w:r>
              <w:rPr>
                <w:color w:val="231F20"/>
                <w:sz w:val="20"/>
              </w:rPr>
              <w:t>has</w:t>
            </w:r>
            <w:r>
              <w:rPr>
                <w:color w:val="231F20"/>
                <w:spacing w:val="-2"/>
                <w:sz w:val="20"/>
              </w:rPr>
              <w:t> </w:t>
            </w:r>
            <w:r>
              <w:rPr>
                <w:color w:val="231F20"/>
                <w:sz w:val="20"/>
              </w:rPr>
              <w:t>potential</w:t>
            </w:r>
            <w:r>
              <w:rPr>
                <w:color w:val="231F20"/>
                <w:spacing w:val="-2"/>
                <w:sz w:val="20"/>
              </w:rPr>
              <w:t> </w:t>
            </w:r>
            <w:r>
              <w:rPr>
                <w:color w:val="231F20"/>
                <w:sz w:val="20"/>
              </w:rPr>
              <w:t>advantages</w:t>
            </w:r>
            <w:r>
              <w:rPr>
                <w:color w:val="231F20"/>
                <w:spacing w:val="-2"/>
                <w:sz w:val="20"/>
              </w:rPr>
              <w:t> </w:t>
            </w:r>
            <w:r>
              <w:rPr>
                <w:color w:val="231F20"/>
                <w:sz w:val="20"/>
              </w:rPr>
              <w:t>over</w:t>
            </w:r>
            <w:r>
              <w:rPr>
                <w:color w:val="231F20"/>
                <w:spacing w:val="-2"/>
                <w:sz w:val="20"/>
              </w:rPr>
              <w:t> </w:t>
            </w:r>
            <w:r>
              <w:rPr>
                <w:color w:val="231F20"/>
                <w:sz w:val="20"/>
              </w:rPr>
              <w:t>hub-and-spoke</w:t>
            </w:r>
            <w:r>
              <w:rPr>
                <w:color w:val="231F20"/>
                <w:spacing w:val="-2"/>
                <w:sz w:val="20"/>
              </w:rPr>
              <w:t> </w:t>
            </w:r>
            <w:r>
              <w:rPr>
                <w:color w:val="231F20"/>
                <w:sz w:val="20"/>
              </w:rPr>
              <w:t>models</w:t>
            </w:r>
            <w:r>
              <w:rPr>
                <w:color w:val="231F20"/>
                <w:spacing w:val="-2"/>
                <w:sz w:val="20"/>
              </w:rPr>
              <w:t> </w:t>
            </w:r>
            <w:r>
              <w:rPr>
                <w:color w:val="231F20"/>
                <w:sz w:val="20"/>
              </w:rPr>
              <w:t>(e.g.,</w:t>
            </w:r>
            <w:r>
              <w:rPr>
                <w:color w:val="231F20"/>
                <w:spacing w:val="-2"/>
                <w:sz w:val="20"/>
              </w:rPr>
              <w:t> </w:t>
            </w:r>
            <w:r>
              <w:rPr>
                <w:color w:val="231F20"/>
                <w:sz w:val="20"/>
              </w:rPr>
              <w:t>where</w:t>
            </w:r>
            <w:r>
              <w:rPr>
                <w:color w:val="231F20"/>
                <w:spacing w:val="-52"/>
                <w:sz w:val="20"/>
              </w:rPr>
              <w:t> </w:t>
            </w:r>
            <w:r>
              <w:rPr>
                <w:color w:val="231F20"/>
                <w:sz w:val="20"/>
              </w:rPr>
              <w:t>a client is treated in an office setting by providers at another office setting) for addressing</w:t>
            </w:r>
            <w:r>
              <w:rPr>
                <w:color w:val="231F20"/>
                <w:spacing w:val="1"/>
                <w:sz w:val="20"/>
              </w:rPr>
              <w:t> </w:t>
            </w:r>
            <w:r>
              <w:rPr>
                <w:color w:val="231F20"/>
                <w:sz w:val="20"/>
              </w:rPr>
              <w:t>treatment barriers, including cost, stigma, and travel logistics</w:t>
            </w:r>
            <w:r>
              <w:rPr>
                <w:color w:val="231F20"/>
                <w:position w:val="7"/>
                <w:sz w:val="11"/>
              </w:rPr>
              <w:t>46</w:t>
            </w:r>
          </w:p>
        </w:tc>
      </w:tr>
      <w:tr>
        <w:trPr>
          <w:trHeight w:val="535" w:hRule="atLeast"/>
        </w:trPr>
        <w:tc>
          <w:tcPr>
            <w:tcW w:w="10785" w:type="dxa"/>
            <w:gridSpan w:val="2"/>
          </w:tcPr>
          <w:p>
            <w:pPr>
              <w:pStyle w:val="TableParagraph"/>
              <w:spacing w:line="249" w:lineRule="auto" w:before="33"/>
              <w:ind w:left="80" w:right="165"/>
              <w:rPr>
                <w:sz w:val="20"/>
              </w:rPr>
            </w:pPr>
            <w:r>
              <w:rPr>
                <w:color w:val="231F20"/>
                <w:sz w:val="20"/>
              </w:rPr>
              <w:t>Four</w:t>
            </w:r>
            <w:r>
              <w:rPr>
                <w:color w:val="231F20"/>
                <w:spacing w:val="-3"/>
                <w:sz w:val="20"/>
              </w:rPr>
              <w:t> </w:t>
            </w:r>
            <w:r>
              <w:rPr>
                <w:color w:val="231F20"/>
                <w:sz w:val="20"/>
              </w:rPr>
              <w:t>studies</w:t>
            </w:r>
            <w:r>
              <w:rPr>
                <w:color w:val="231F20"/>
                <w:spacing w:val="-2"/>
                <w:sz w:val="20"/>
              </w:rPr>
              <w:t> </w:t>
            </w:r>
            <w:r>
              <w:rPr>
                <w:color w:val="231F20"/>
                <w:sz w:val="20"/>
              </w:rPr>
              <w:t>met</w:t>
            </w:r>
            <w:r>
              <w:rPr>
                <w:color w:val="231F20"/>
                <w:spacing w:val="-2"/>
                <w:sz w:val="20"/>
              </w:rPr>
              <w:t> </w:t>
            </w:r>
            <w:r>
              <w:rPr>
                <w:color w:val="231F20"/>
                <w:sz w:val="20"/>
              </w:rPr>
              <w:t>criteria</w:t>
            </w:r>
            <w:r>
              <w:rPr>
                <w:color w:val="231F20"/>
                <w:spacing w:val="-2"/>
                <w:sz w:val="20"/>
              </w:rPr>
              <w:t> </w:t>
            </w:r>
            <w:r>
              <w:rPr>
                <w:color w:val="231F20"/>
                <w:sz w:val="20"/>
              </w:rPr>
              <w:t>for</w:t>
            </w:r>
            <w:r>
              <w:rPr>
                <w:color w:val="231F20"/>
                <w:spacing w:val="-2"/>
                <w:sz w:val="20"/>
              </w:rPr>
              <w:t> </w:t>
            </w:r>
            <w:r>
              <w:rPr>
                <w:color w:val="231F20"/>
                <w:sz w:val="20"/>
              </w:rPr>
              <w:t>review</w:t>
            </w:r>
            <w:r>
              <w:rPr>
                <w:color w:val="231F20"/>
                <w:spacing w:val="-2"/>
                <w:sz w:val="20"/>
              </w:rPr>
              <w:t> </w:t>
            </w:r>
            <w:r>
              <w:rPr>
                <w:color w:val="231F20"/>
                <w:sz w:val="20"/>
              </w:rPr>
              <w:t>(three</w:t>
            </w:r>
            <w:r>
              <w:rPr>
                <w:color w:val="231F20"/>
                <w:spacing w:val="-2"/>
                <w:sz w:val="20"/>
              </w:rPr>
              <w:t> </w:t>
            </w:r>
            <w:r>
              <w:rPr>
                <w:color w:val="231F20"/>
                <w:sz w:val="20"/>
              </w:rPr>
              <w:t>RCTs</w:t>
            </w:r>
            <w:r>
              <w:rPr>
                <w:color w:val="231F20"/>
                <w:spacing w:val="-2"/>
                <w:sz w:val="20"/>
              </w:rPr>
              <w:t> </w:t>
            </w:r>
            <w:r>
              <w:rPr>
                <w:color w:val="231F20"/>
                <w:sz w:val="20"/>
              </w:rPr>
              <w:t>and</w:t>
            </w:r>
            <w:r>
              <w:rPr>
                <w:color w:val="231F20"/>
                <w:spacing w:val="-2"/>
                <w:sz w:val="20"/>
              </w:rPr>
              <w:t> </w:t>
            </w:r>
            <w:r>
              <w:rPr>
                <w:color w:val="231F20"/>
                <w:sz w:val="20"/>
              </w:rPr>
              <w:t>one</w:t>
            </w:r>
            <w:r>
              <w:rPr>
                <w:color w:val="231F20"/>
                <w:spacing w:val="-2"/>
                <w:sz w:val="20"/>
              </w:rPr>
              <w:t> </w:t>
            </w:r>
            <w:r>
              <w:rPr>
                <w:color w:val="231F20"/>
                <w:sz w:val="20"/>
              </w:rPr>
              <w:t>single</w:t>
            </w:r>
            <w:r>
              <w:rPr>
                <w:color w:val="231F20"/>
                <w:spacing w:val="-2"/>
                <w:sz w:val="20"/>
              </w:rPr>
              <w:t> </w:t>
            </w:r>
            <w:r>
              <w:rPr>
                <w:color w:val="231F20"/>
                <w:sz w:val="20"/>
              </w:rPr>
              <w:t>sample</w:t>
            </w:r>
            <w:r>
              <w:rPr>
                <w:color w:val="231F20"/>
                <w:spacing w:val="-2"/>
                <w:sz w:val="20"/>
              </w:rPr>
              <w:t> </w:t>
            </w:r>
            <w:r>
              <w:rPr>
                <w:color w:val="231F20"/>
                <w:sz w:val="20"/>
              </w:rPr>
              <w:t>pre-post),</w:t>
            </w:r>
            <w:r>
              <w:rPr>
                <w:color w:val="231F20"/>
                <w:spacing w:val="-3"/>
                <w:sz w:val="20"/>
              </w:rPr>
              <w:t> </w:t>
            </w:r>
            <w:r>
              <w:rPr>
                <w:color w:val="231F20"/>
                <w:sz w:val="20"/>
              </w:rPr>
              <w:t>resulting</w:t>
            </w:r>
            <w:r>
              <w:rPr>
                <w:color w:val="231F20"/>
                <w:spacing w:val="-2"/>
                <w:sz w:val="20"/>
              </w:rPr>
              <w:t> </w:t>
            </w:r>
            <w:r>
              <w:rPr>
                <w:color w:val="231F20"/>
                <w:sz w:val="20"/>
              </w:rPr>
              <w:t>in</w:t>
            </w:r>
            <w:r>
              <w:rPr>
                <w:color w:val="231F20"/>
                <w:spacing w:val="-2"/>
                <w:sz w:val="20"/>
              </w:rPr>
              <w:t> </w:t>
            </w:r>
            <w:r>
              <w:rPr>
                <w:color w:val="231F20"/>
                <w:sz w:val="20"/>
              </w:rPr>
              <w:t>a</w:t>
            </w:r>
            <w:r>
              <w:rPr>
                <w:color w:val="231F20"/>
                <w:spacing w:val="-2"/>
                <w:sz w:val="20"/>
              </w:rPr>
              <w:t> </w:t>
            </w:r>
            <w:r>
              <w:rPr>
                <w:color w:val="231F20"/>
                <w:sz w:val="20"/>
              </w:rPr>
              <w:t>rating</w:t>
            </w:r>
            <w:r>
              <w:rPr>
                <w:color w:val="231F20"/>
                <w:spacing w:val="-2"/>
                <w:sz w:val="20"/>
              </w:rPr>
              <w:t> </w:t>
            </w:r>
            <w:r>
              <w:rPr>
                <w:color w:val="231F20"/>
                <w:sz w:val="20"/>
              </w:rPr>
              <w:t>of</w:t>
            </w:r>
            <w:r>
              <w:rPr>
                <w:color w:val="231F20"/>
                <w:spacing w:val="-2"/>
                <w:sz w:val="20"/>
              </w:rPr>
              <w:t> </w:t>
            </w:r>
            <w:r>
              <w:rPr>
                <w:color w:val="231F20"/>
                <w:sz w:val="20"/>
              </w:rPr>
              <w:t>Strong</w:t>
            </w:r>
            <w:r>
              <w:rPr>
                <w:color w:val="231F20"/>
                <w:spacing w:val="-2"/>
                <w:sz w:val="20"/>
              </w:rPr>
              <w:t> </w:t>
            </w:r>
            <w:r>
              <w:rPr>
                <w:color w:val="231F20"/>
                <w:sz w:val="20"/>
              </w:rPr>
              <w:t>Support</w:t>
            </w:r>
            <w:r>
              <w:rPr>
                <w:color w:val="231F20"/>
                <w:spacing w:val="-53"/>
                <w:sz w:val="20"/>
              </w:rPr>
              <w:t> </w:t>
            </w:r>
            <w:r>
              <w:rPr>
                <w:color w:val="231F20"/>
                <w:sz w:val="20"/>
              </w:rPr>
              <w:t>for Causal Evidence.</w:t>
            </w:r>
          </w:p>
        </w:tc>
      </w:tr>
    </w:tbl>
    <w:p>
      <w:pPr>
        <w:spacing w:after="0" w:line="249" w:lineRule="auto"/>
        <w:rPr>
          <w:sz w:val="20"/>
        </w:rPr>
        <w:sectPr>
          <w:pgSz w:w="12240" w:h="15840"/>
          <w:pgMar w:header="0" w:footer="666" w:top="380" w:bottom="860" w:left="600" w:right="0"/>
        </w:sectPr>
      </w:pPr>
    </w:p>
    <w:tbl>
      <w:tblPr>
        <w:tblW w:w="0" w:type="auto"/>
        <w:jc w:val="left"/>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910"/>
        <w:gridCol w:w="9005"/>
      </w:tblGrid>
      <w:tr>
        <w:trPr>
          <w:trHeight w:val="1584" w:hRule="atLeast"/>
        </w:trPr>
        <w:tc>
          <w:tcPr>
            <w:tcW w:w="10915" w:type="dxa"/>
            <w:gridSpan w:val="2"/>
          </w:tcPr>
          <w:p>
            <w:pPr>
              <w:pStyle w:val="TableParagraph"/>
              <w:spacing w:line="249" w:lineRule="auto" w:before="33"/>
              <w:ind w:left="80"/>
              <w:rPr>
                <w:sz w:val="11"/>
              </w:rPr>
            </w:pPr>
            <w:bookmarkStart w:name="Cognitive Behavioral Therapy (CBT) via t" w:id="21"/>
            <w:bookmarkEnd w:id="21"/>
            <w:r>
              <w:rPr/>
            </w:r>
            <w:r>
              <w:rPr>
                <w:color w:val="231F20"/>
                <w:sz w:val="20"/>
              </w:rPr>
              <w:t>CBT is a goal-oriented psychotherapy that seeks to modify an individual’s thought patterns, beliefs, and behaviors. CBT</w:t>
            </w:r>
            <w:r>
              <w:rPr>
                <w:color w:val="231F20"/>
                <w:spacing w:val="1"/>
                <w:sz w:val="20"/>
              </w:rPr>
              <w:t> </w:t>
            </w:r>
            <w:r>
              <w:rPr>
                <w:color w:val="231F20"/>
                <w:sz w:val="20"/>
              </w:rPr>
              <w:t>programs</w:t>
            </w:r>
            <w:r>
              <w:rPr>
                <w:color w:val="231F20"/>
                <w:spacing w:val="-2"/>
                <w:sz w:val="20"/>
              </w:rPr>
              <w:t> </w:t>
            </w:r>
            <w:r>
              <w:rPr>
                <w:color w:val="231F20"/>
                <w:sz w:val="20"/>
              </w:rPr>
              <w:t>use</w:t>
            </w:r>
            <w:r>
              <w:rPr>
                <w:color w:val="231F20"/>
                <w:spacing w:val="-1"/>
                <w:sz w:val="20"/>
              </w:rPr>
              <w:t> </w:t>
            </w:r>
            <w:r>
              <w:rPr>
                <w:color w:val="231F20"/>
                <w:sz w:val="20"/>
              </w:rPr>
              <w:t>a</w:t>
            </w:r>
            <w:r>
              <w:rPr>
                <w:color w:val="231F20"/>
                <w:spacing w:val="-1"/>
                <w:sz w:val="20"/>
              </w:rPr>
              <w:t> </w:t>
            </w:r>
            <w:r>
              <w:rPr>
                <w:color w:val="231F20"/>
                <w:sz w:val="20"/>
              </w:rPr>
              <w:t>variety</w:t>
            </w:r>
            <w:r>
              <w:rPr>
                <w:color w:val="231F20"/>
                <w:spacing w:val="-1"/>
                <w:sz w:val="20"/>
              </w:rPr>
              <w:t> </w:t>
            </w:r>
            <w:r>
              <w:rPr>
                <w:color w:val="231F20"/>
                <w:sz w:val="20"/>
              </w:rPr>
              <w:t>of</w:t>
            </w:r>
            <w:r>
              <w:rPr>
                <w:color w:val="231F20"/>
                <w:spacing w:val="-1"/>
                <w:sz w:val="20"/>
              </w:rPr>
              <w:t> </w:t>
            </w:r>
            <w:r>
              <w:rPr>
                <w:color w:val="231F20"/>
                <w:sz w:val="20"/>
              </w:rPr>
              <w:t>cognitive</w:t>
            </w:r>
            <w:r>
              <w:rPr>
                <w:color w:val="231F20"/>
                <w:spacing w:val="-1"/>
                <w:sz w:val="20"/>
              </w:rPr>
              <w:t> </w:t>
            </w:r>
            <w:r>
              <w:rPr>
                <w:color w:val="231F20"/>
                <w:sz w:val="20"/>
              </w:rPr>
              <w:t>and</w:t>
            </w:r>
            <w:r>
              <w:rPr>
                <w:color w:val="231F20"/>
                <w:spacing w:val="-2"/>
                <w:sz w:val="20"/>
              </w:rPr>
              <w:t> </w:t>
            </w:r>
            <w:r>
              <w:rPr>
                <w:color w:val="231F20"/>
                <w:sz w:val="20"/>
              </w:rPr>
              <w:t>behavioral</w:t>
            </w:r>
            <w:r>
              <w:rPr>
                <w:color w:val="231F20"/>
                <w:spacing w:val="-1"/>
                <w:sz w:val="20"/>
              </w:rPr>
              <w:t> </w:t>
            </w:r>
            <w:r>
              <w:rPr>
                <w:color w:val="231F20"/>
                <w:sz w:val="20"/>
              </w:rPr>
              <w:t>techniques</w:t>
            </w:r>
            <w:r>
              <w:rPr>
                <w:color w:val="231F20"/>
                <w:spacing w:val="-1"/>
                <w:sz w:val="20"/>
              </w:rPr>
              <w:t> </w:t>
            </w:r>
            <w:r>
              <w:rPr>
                <w:color w:val="231F20"/>
                <w:sz w:val="20"/>
              </w:rPr>
              <w:t>in</w:t>
            </w:r>
            <w:r>
              <w:rPr>
                <w:color w:val="231F20"/>
                <w:spacing w:val="-1"/>
                <w:sz w:val="20"/>
              </w:rPr>
              <w:t> </w:t>
            </w:r>
            <w:r>
              <w:rPr>
                <w:color w:val="231F20"/>
                <w:sz w:val="20"/>
              </w:rPr>
              <w:t>group</w:t>
            </w:r>
            <w:r>
              <w:rPr>
                <w:color w:val="231F20"/>
                <w:spacing w:val="-1"/>
                <w:sz w:val="20"/>
              </w:rPr>
              <w:t> </w:t>
            </w:r>
            <w:r>
              <w:rPr>
                <w:color w:val="231F20"/>
                <w:sz w:val="20"/>
              </w:rPr>
              <w:t>and</w:t>
            </w:r>
            <w:r>
              <w:rPr>
                <w:color w:val="231F20"/>
                <w:spacing w:val="-1"/>
                <w:sz w:val="20"/>
              </w:rPr>
              <w:t> </w:t>
            </w:r>
            <w:r>
              <w:rPr>
                <w:color w:val="231F20"/>
                <w:sz w:val="20"/>
              </w:rPr>
              <w:t>individual</w:t>
            </w:r>
            <w:r>
              <w:rPr>
                <w:color w:val="231F20"/>
                <w:spacing w:val="-2"/>
                <w:sz w:val="20"/>
              </w:rPr>
              <w:t> </w:t>
            </w:r>
            <w:r>
              <w:rPr>
                <w:color w:val="231F20"/>
                <w:sz w:val="20"/>
              </w:rPr>
              <w:t>settings</w:t>
            </w:r>
            <w:r>
              <w:rPr>
                <w:color w:val="231F20"/>
                <w:spacing w:val="-1"/>
                <w:sz w:val="20"/>
              </w:rPr>
              <w:t> </w:t>
            </w:r>
            <w:r>
              <w:rPr>
                <w:color w:val="231F20"/>
                <w:sz w:val="20"/>
              </w:rPr>
              <w:t>while</w:t>
            </w:r>
            <w:r>
              <w:rPr>
                <w:color w:val="231F20"/>
                <w:spacing w:val="-1"/>
                <w:sz w:val="20"/>
              </w:rPr>
              <w:t> </w:t>
            </w:r>
            <w:r>
              <w:rPr>
                <w:color w:val="231F20"/>
                <w:sz w:val="20"/>
              </w:rPr>
              <w:t>remaining</w:t>
            </w:r>
            <w:r>
              <w:rPr>
                <w:color w:val="231F20"/>
                <w:spacing w:val="-1"/>
                <w:sz w:val="20"/>
              </w:rPr>
              <w:t> </w:t>
            </w:r>
            <w:r>
              <w:rPr>
                <w:color w:val="231F20"/>
                <w:sz w:val="20"/>
              </w:rPr>
              <w:t>structured</w:t>
            </w:r>
            <w:r>
              <w:rPr>
                <w:color w:val="231F20"/>
                <w:spacing w:val="-53"/>
                <w:sz w:val="20"/>
              </w:rPr>
              <w:t> </w:t>
            </w:r>
            <w:r>
              <w:rPr>
                <w:color w:val="231F20"/>
                <w:sz w:val="20"/>
              </w:rPr>
              <w:t>and time-limited.</w:t>
            </w:r>
            <w:r>
              <w:rPr>
                <w:color w:val="231F20"/>
                <w:position w:val="7"/>
                <w:sz w:val="11"/>
              </w:rPr>
              <w:t>46</w:t>
            </w:r>
            <w:r>
              <w:rPr>
                <w:color w:val="231F20"/>
                <w:spacing w:val="1"/>
                <w:position w:val="7"/>
                <w:sz w:val="11"/>
              </w:rPr>
              <w:t> </w:t>
            </w:r>
            <w:r>
              <w:rPr>
                <w:color w:val="231F20"/>
                <w:sz w:val="20"/>
              </w:rPr>
              <w:t>Through cognitive restructuring, CBT may be used to help clients re-evaluate their negative thought</w:t>
            </w:r>
            <w:r>
              <w:rPr>
                <w:color w:val="231F20"/>
                <w:spacing w:val="1"/>
                <w:sz w:val="20"/>
              </w:rPr>
              <w:t> </w:t>
            </w:r>
            <w:r>
              <w:rPr>
                <w:color w:val="231F20"/>
                <w:sz w:val="20"/>
              </w:rPr>
              <w:t>patterns that</w:t>
            </w:r>
            <w:r>
              <w:rPr>
                <w:color w:val="231F20"/>
                <w:spacing w:val="1"/>
                <w:sz w:val="20"/>
              </w:rPr>
              <w:t> </w:t>
            </w:r>
            <w:r>
              <w:rPr>
                <w:color w:val="231F20"/>
                <w:sz w:val="20"/>
              </w:rPr>
              <w:t>include</w:t>
            </w:r>
            <w:r>
              <w:rPr>
                <w:color w:val="231F20"/>
                <w:spacing w:val="1"/>
                <w:sz w:val="20"/>
              </w:rPr>
              <w:t> </w:t>
            </w:r>
            <w:r>
              <w:rPr>
                <w:color w:val="231F20"/>
                <w:sz w:val="20"/>
              </w:rPr>
              <w:t>overgeneralizing or</w:t>
            </w:r>
            <w:r>
              <w:rPr>
                <w:color w:val="231F20"/>
                <w:spacing w:val="1"/>
                <w:sz w:val="20"/>
              </w:rPr>
              <w:t> </w:t>
            </w:r>
            <w:r>
              <w:rPr>
                <w:color w:val="231F20"/>
                <w:sz w:val="20"/>
              </w:rPr>
              <w:t>catastrophizing</w:t>
            </w:r>
            <w:r>
              <w:rPr>
                <w:color w:val="231F20"/>
                <w:spacing w:val="1"/>
                <w:sz w:val="20"/>
              </w:rPr>
              <w:t> </w:t>
            </w:r>
            <w:r>
              <w:rPr>
                <w:color w:val="231F20"/>
                <w:sz w:val="20"/>
              </w:rPr>
              <w:t>negative</w:t>
            </w:r>
            <w:r>
              <w:rPr>
                <w:color w:val="231F20"/>
                <w:spacing w:val="1"/>
                <w:sz w:val="20"/>
              </w:rPr>
              <w:t> </w:t>
            </w:r>
            <w:r>
              <w:rPr>
                <w:color w:val="231F20"/>
                <w:sz w:val="20"/>
              </w:rPr>
              <w:t>outcomes.</w:t>
            </w:r>
            <w:r>
              <w:rPr>
                <w:color w:val="231F20"/>
                <w:position w:val="7"/>
                <w:sz w:val="11"/>
              </w:rPr>
              <w:t>47,</w:t>
            </w:r>
            <w:r>
              <w:rPr>
                <w:color w:val="231F20"/>
                <w:spacing w:val="1"/>
                <w:position w:val="7"/>
                <w:sz w:val="11"/>
              </w:rPr>
              <w:t> </w:t>
            </w:r>
            <w:r>
              <w:rPr>
                <w:color w:val="231F20"/>
                <w:position w:val="7"/>
                <w:sz w:val="11"/>
              </w:rPr>
              <w:t>48</w:t>
            </w:r>
            <w:r>
              <w:rPr>
                <w:color w:val="231F20"/>
                <w:spacing w:val="25"/>
                <w:position w:val="7"/>
                <w:sz w:val="11"/>
              </w:rPr>
              <w:t> </w:t>
            </w:r>
            <w:r>
              <w:rPr>
                <w:color w:val="231F20"/>
                <w:sz w:val="20"/>
              </w:rPr>
              <w:t>CBT</w:t>
            </w:r>
            <w:r>
              <w:rPr>
                <w:color w:val="231F20"/>
                <w:spacing w:val="-3"/>
                <w:sz w:val="20"/>
              </w:rPr>
              <w:t> </w:t>
            </w:r>
            <w:r>
              <w:rPr>
                <w:color w:val="231F20"/>
                <w:sz w:val="20"/>
              </w:rPr>
              <w:t>techniques</w:t>
            </w:r>
            <w:r>
              <w:rPr>
                <w:color w:val="231F20"/>
                <w:spacing w:val="1"/>
                <w:sz w:val="20"/>
              </w:rPr>
              <w:t> </w:t>
            </w:r>
            <w:r>
              <w:rPr>
                <w:color w:val="231F20"/>
                <w:sz w:val="20"/>
              </w:rPr>
              <w:t>can be</w:t>
            </w:r>
            <w:r>
              <w:rPr>
                <w:color w:val="231F20"/>
                <w:spacing w:val="1"/>
                <w:sz w:val="20"/>
              </w:rPr>
              <w:t> </w:t>
            </w:r>
            <w:r>
              <w:rPr>
                <w:color w:val="231F20"/>
                <w:sz w:val="20"/>
              </w:rPr>
              <w:t>used</w:t>
            </w:r>
            <w:r>
              <w:rPr>
                <w:color w:val="231F20"/>
                <w:spacing w:val="1"/>
                <w:sz w:val="20"/>
              </w:rPr>
              <w:t> </w:t>
            </w:r>
            <w:r>
              <w:rPr>
                <w:color w:val="231F20"/>
                <w:sz w:val="20"/>
              </w:rPr>
              <w:t>to</w:t>
            </w:r>
            <w:r>
              <w:rPr>
                <w:color w:val="231F20"/>
                <w:spacing w:val="1"/>
                <w:sz w:val="20"/>
              </w:rPr>
              <w:t> </w:t>
            </w:r>
            <w:r>
              <w:rPr>
                <w:color w:val="231F20"/>
                <w:sz w:val="20"/>
              </w:rPr>
              <w:t>help</w:t>
            </w:r>
            <w:r>
              <w:rPr>
                <w:color w:val="231F20"/>
                <w:spacing w:val="1"/>
                <w:sz w:val="20"/>
              </w:rPr>
              <w:t> </w:t>
            </w:r>
            <w:r>
              <w:rPr>
                <w:color w:val="231F20"/>
                <w:sz w:val="20"/>
              </w:rPr>
              <w:t>clients address traumatic experiences and develop more effective thought patterns and realistic perspectives on the</w:t>
            </w:r>
            <w:r>
              <w:rPr>
                <w:color w:val="231F20"/>
                <w:spacing w:val="1"/>
                <w:sz w:val="20"/>
              </w:rPr>
              <w:t> </w:t>
            </w:r>
            <w:r>
              <w:rPr>
                <w:color w:val="231F20"/>
                <w:sz w:val="20"/>
              </w:rPr>
              <w:t>trauma</w:t>
            </w:r>
            <w:r>
              <w:rPr>
                <w:color w:val="231F20"/>
                <w:position w:val="7"/>
                <w:sz w:val="11"/>
              </w:rPr>
              <w:t>.47</w:t>
            </w:r>
          </w:p>
        </w:tc>
      </w:tr>
      <w:tr>
        <w:trPr>
          <w:trHeight w:val="806" w:hRule="atLeast"/>
        </w:trPr>
        <w:tc>
          <w:tcPr>
            <w:tcW w:w="1910" w:type="dxa"/>
          </w:tcPr>
          <w:p>
            <w:pPr>
              <w:pStyle w:val="TableParagraph"/>
              <w:spacing w:before="33"/>
              <w:ind w:left="80"/>
              <w:rPr>
                <w:b/>
                <w:sz w:val="20"/>
              </w:rPr>
            </w:pPr>
            <w:r>
              <w:rPr>
                <w:b/>
                <w:color w:val="231F20"/>
                <w:sz w:val="20"/>
              </w:rPr>
              <w:t>Health</w:t>
            </w:r>
            <w:r>
              <w:rPr>
                <w:b/>
                <w:color w:val="231F20"/>
                <w:spacing w:val="-1"/>
                <w:sz w:val="20"/>
              </w:rPr>
              <w:t> </w:t>
            </w:r>
            <w:r>
              <w:rPr>
                <w:b/>
                <w:color w:val="231F20"/>
                <w:sz w:val="20"/>
              </w:rPr>
              <w:t>outcomes</w:t>
            </w:r>
          </w:p>
        </w:tc>
        <w:tc>
          <w:tcPr>
            <w:tcW w:w="9005" w:type="dxa"/>
          </w:tcPr>
          <w:p>
            <w:pPr>
              <w:pStyle w:val="TableParagraph"/>
              <w:numPr>
                <w:ilvl w:val="0"/>
                <w:numId w:val="29"/>
              </w:numPr>
              <w:tabs>
                <w:tab w:pos="439" w:val="left" w:leader="none"/>
                <w:tab w:pos="440" w:val="left" w:leader="none"/>
              </w:tabs>
              <w:spacing w:line="243" w:lineRule="exact" w:before="19" w:after="0"/>
              <w:ind w:left="440" w:right="0" w:hanging="360"/>
              <w:jc w:val="left"/>
              <w:rPr>
                <w:sz w:val="11"/>
              </w:rPr>
            </w:pPr>
            <w:r>
              <w:rPr>
                <w:color w:val="231F20"/>
                <w:sz w:val="20"/>
              </w:rPr>
              <w:t>Reduction</w:t>
            </w:r>
            <w:r>
              <w:rPr>
                <w:color w:val="231F20"/>
                <w:spacing w:val="2"/>
                <w:sz w:val="20"/>
              </w:rPr>
              <w:t> </w:t>
            </w:r>
            <w:r>
              <w:rPr>
                <w:color w:val="231F20"/>
                <w:sz w:val="20"/>
              </w:rPr>
              <w:t>in</w:t>
            </w:r>
            <w:r>
              <w:rPr>
                <w:color w:val="231F20"/>
                <w:spacing w:val="2"/>
                <w:sz w:val="20"/>
              </w:rPr>
              <w:t> </w:t>
            </w:r>
            <w:r>
              <w:rPr>
                <w:color w:val="231F20"/>
                <w:sz w:val="20"/>
              </w:rPr>
              <w:t>severity</w:t>
            </w:r>
            <w:r>
              <w:rPr>
                <w:color w:val="231F20"/>
                <w:spacing w:val="3"/>
                <w:sz w:val="20"/>
              </w:rPr>
              <w:t> </w:t>
            </w:r>
            <w:r>
              <w:rPr>
                <w:color w:val="231F20"/>
                <w:sz w:val="20"/>
              </w:rPr>
              <w:t>of</w:t>
            </w:r>
            <w:r>
              <w:rPr>
                <w:color w:val="231F20"/>
                <w:spacing w:val="2"/>
                <w:sz w:val="20"/>
              </w:rPr>
              <w:t> </w:t>
            </w:r>
            <w:r>
              <w:rPr>
                <w:color w:val="231F20"/>
                <w:sz w:val="20"/>
              </w:rPr>
              <w:t>depression</w:t>
            </w:r>
            <w:r>
              <w:rPr>
                <w:color w:val="231F20"/>
                <w:spacing w:val="2"/>
                <w:sz w:val="20"/>
              </w:rPr>
              <w:t> </w:t>
            </w:r>
            <w:r>
              <w:rPr>
                <w:color w:val="231F20"/>
                <w:sz w:val="20"/>
              </w:rPr>
              <w:t>symptoms</w:t>
            </w:r>
            <w:r>
              <w:rPr>
                <w:color w:val="231F20"/>
                <w:position w:val="7"/>
                <w:sz w:val="11"/>
              </w:rPr>
              <w:t>49,</w:t>
            </w:r>
            <w:r>
              <w:rPr>
                <w:color w:val="231F20"/>
                <w:spacing w:val="3"/>
                <w:position w:val="7"/>
                <w:sz w:val="11"/>
              </w:rPr>
              <w:t> </w:t>
            </w:r>
            <w:r>
              <w:rPr>
                <w:color w:val="231F20"/>
                <w:position w:val="7"/>
                <w:sz w:val="11"/>
              </w:rPr>
              <w:t>50</w:t>
            </w:r>
          </w:p>
          <w:p>
            <w:pPr>
              <w:pStyle w:val="TableParagraph"/>
              <w:numPr>
                <w:ilvl w:val="0"/>
                <w:numId w:val="29"/>
              </w:numPr>
              <w:tabs>
                <w:tab w:pos="439" w:val="left" w:leader="none"/>
                <w:tab w:pos="440" w:val="left" w:leader="none"/>
              </w:tabs>
              <w:spacing w:line="240" w:lineRule="exact" w:before="0" w:after="0"/>
              <w:ind w:left="440" w:right="0" w:hanging="360"/>
              <w:jc w:val="left"/>
              <w:rPr>
                <w:sz w:val="11"/>
              </w:rPr>
            </w:pPr>
            <w:r>
              <w:rPr>
                <w:color w:val="231F20"/>
                <w:sz w:val="20"/>
              </w:rPr>
              <w:t>Reduction</w:t>
            </w:r>
            <w:r>
              <w:rPr>
                <w:color w:val="231F20"/>
                <w:spacing w:val="1"/>
                <w:sz w:val="20"/>
              </w:rPr>
              <w:t> </w:t>
            </w:r>
            <w:r>
              <w:rPr>
                <w:color w:val="231F20"/>
                <w:sz w:val="20"/>
              </w:rPr>
              <w:t>in</w:t>
            </w:r>
            <w:r>
              <w:rPr>
                <w:color w:val="231F20"/>
                <w:spacing w:val="1"/>
                <w:sz w:val="20"/>
              </w:rPr>
              <w:t> </w:t>
            </w:r>
            <w:r>
              <w:rPr>
                <w:color w:val="231F20"/>
                <w:sz w:val="20"/>
              </w:rPr>
              <w:t>symptoms</w:t>
            </w:r>
            <w:r>
              <w:rPr>
                <w:color w:val="231F20"/>
                <w:spacing w:val="2"/>
                <w:sz w:val="20"/>
              </w:rPr>
              <w:t> </w:t>
            </w:r>
            <w:r>
              <w:rPr>
                <w:color w:val="231F20"/>
                <w:sz w:val="20"/>
              </w:rPr>
              <w:t>of</w:t>
            </w:r>
            <w:r>
              <w:rPr>
                <w:color w:val="231F20"/>
                <w:spacing w:val="1"/>
                <w:sz w:val="20"/>
              </w:rPr>
              <w:t> </w:t>
            </w:r>
            <w:r>
              <w:rPr>
                <w:color w:val="231F20"/>
                <w:sz w:val="20"/>
              </w:rPr>
              <w:t>PTSD</w:t>
            </w:r>
            <w:r>
              <w:rPr>
                <w:color w:val="231F20"/>
                <w:position w:val="7"/>
                <w:sz w:val="11"/>
              </w:rPr>
              <w:t>51</w:t>
            </w:r>
          </w:p>
          <w:p>
            <w:pPr>
              <w:pStyle w:val="TableParagraph"/>
              <w:numPr>
                <w:ilvl w:val="0"/>
                <w:numId w:val="29"/>
              </w:numPr>
              <w:tabs>
                <w:tab w:pos="439" w:val="left" w:leader="none"/>
                <w:tab w:pos="440" w:val="left" w:leader="none"/>
              </w:tabs>
              <w:spacing w:line="243" w:lineRule="exact" w:before="0" w:after="0"/>
              <w:ind w:left="440" w:right="0" w:hanging="360"/>
              <w:jc w:val="left"/>
              <w:rPr>
                <w:sz w:val="11"/>
              </w:rPr>
            </w:pPr>
            <w:r>
              <w:rPr>
                <w:color w:val="231F20"/>
                <w:sz w:val="20"/>
              </w:rPr>
              <w:t>Reductions in</w:t>
            </w:r>
            <w:r>
              <w:rPr>
                <w:color w:val="231F20"/>
                <w:spacing w:val="1"/>
                <w:sz w:val="20"/>
              </w:rPr>
              <w:t> </w:t>
            </w:r>
            <w:r>
              <w:rPr>
                <w:color w:val="231F20"/>
                <w:sz w:val="20"/>
              </w:rPr>
              <w:t>self-reported</w:t>
            </w:r>
            <w:r>
              <w:rPr>
                <w:color w:val="231F20"/>
                <w:spacing w:val="1"/>
                <w:sz w:val="20"/>
              </w:rPr>
              <w:t> </w:t>
            </w:r>
            <w:r>
              <w:rPr>
                <w:color w:val="231F20"/>
                <w:sz w:val="20"/>
              </w:rPr>
              <w:t>depressive</w:t>
            </w:r>
            <w:r>
              <w:rPr>
                <w:color w:val="231F20"/>
                <w:spacing w:val="1"/>
                <w:sz w:val="20"/>
              </w:rPr>
              <w:t> </w:t>
            </w:r>
            <w:r>
              <w:rPr>
                <w:color w:val="231F20"/>
                <w:sz w:val="20"/>
              </w:rPr>
              <w:t>and general</w:t>
            </w:r>
            <w:r>
              <w:rPr>
                <w:color w:val="231F20"/>
                <w:spacing w:val="1"/>
                <w:sz w:val="20"/>
              </w:rPr>
              <w:t> </w:t>
            </w:r>
            <w:r>
              <w:rPr>
                <w:color w:val="231F20"/>
                <w:sz w:val="20"/>
              </w:rPr>
              <w:t>anxiety</w:t>
            </w:r>
            <w:r>
              <w:rPr>
                <w:color w:val="231F20"/>
                <w:spacing w:val="1"/>
                <w:sz w:val="20"/>
              </w:rPr>
              <w:t> </w:t>
            </w:r>
            <w:r>
              <w:rPr>
                <w:color w:val="231F20"/>
                <w:sz w:val="20"/>
              </w:rPr>
              <w:t>symptoms</w:t>
            </w:r>
            <w:r>
              <w:rPr>
                <w:color w:val="231F20"/>
                <w:position w:val="7"/>
                <w:sz w:val="11"/>
              </w:rPr>
              <w:t>51</w:t>
            </w:r>
          </w:p>
        </w:tc>
      </w:tr>
      <w:tr>
        <w:trPr>
          <w:trHeight w:val="1689" w:hRule="atLeast"/>
        </w:trPr>
        <w:tc>
          <w:tcPr>
            <w:tcW w:w="1910" w:type="dxa"/>
          </w:tcPr>
          <w:p>
            <w:pPr>
              <w:pStyle w:val="TableParagraph"/>
              <w:spacing w:before="33"/>
              <w:ind w:left="80"/>
              <w:rPr>
                <w:b/>
                <w:sz w:val="20"/>
              </w:rPr>
            </w:pPr>
            <w:r>
              <w:rPr>
                <w:b/>
                <w:color w:val="231F20"/>
                <w:sz w:val="20"/>
              </w:rPr>
              <w:t>Telehealth-</w:t>
            </w:r>
          </w:p>
          <w:p>
            <w:pPr>
              <w:pStyle w:val="TableParagraph"/>
              <w:spacing w:before="10"/>
              <w:ind w:left="80"/>
              <w:rPr>
                <w:b/>
                <w:sz w:val="20"/>
              </w:rPr>
            </w:pPr>
            <w:r>
              <w:rPr>
                <w:b/>
                <w:color w:val="231F20"/>
                <w:sz w:val="20"/>
              </w:rPr>
              <w:t>specific</w:t>
            </w:r>
            <w:r>
              <w:rPr>
                <w:b/>
                <w:color w:val="231F20"/>
                <w:spacing w:val="-5"/>
                <w:sz w:val="20"/>
              </w:rPr>
              <w:t> </w:t>
            </w:r>
            <w:r>
              <w:rPr>
                <w:b/>
                <w:color w:val="231F20"/>
                <w:sz w:val="20"/>
              </w:rPr>
              <w:t>outcomes</w:t>
            </w:r>
          </w:p>
        </w:tc>
        <w:tc>
          <w:tcPr>
            <w:tcW w:w="9005" w:type="dxa"/>
          </w:tcPr>
          <w:p>
            <w:pPr>
              <w:pStyle w:val="TableParagraph"/>
              <w:spacing w:before="33"/>
              <w:ind w:left="80"/>
              <w:rPr>
                <w:sz w:val="20"/>
              </w:rPr>
            </w:pPr>
            <w:r>
              <w:rPr>
                <w:color w:val="231F20"/>
                <w:sz w:val="20"/>
              </w:rPr>
              <w:t>When</w:t>
            </w:r>
            <w:r>
              <w:rPr>
                <w:color w:val="231F20"/>
                <w:spacing w:val="-3"/>
                <w:sz w:val="20"/>
              </w:rPr>
              <w:t> </w:t>
            </w:r>
            <w:r>
              <w:rPr>
                <w:color w:val="231F20"/>
                <w:sz w:val="20"/>
              </w:rPr>
              <w:t>compared</w:t>
            </w:r>
            <w:r>
              <w:rPr>
                <w:color w:val="231F20"/>
                <w:spacing w:val="-3"/>
                <w:sz w:val="20"/>
              </w:rPr>
              <w:t> </w:t>
            </w:r>
            <w:r>
              <w:rPr>
                <w:color w:val="231F20"/>
                <w:sz w:val="20"/>
              </w:rPr>
              <w:t>to</w:t>
            </w:r>
            <w:r>
              <w:rPr>
                <w:color w:val="231F20"/>
                <w:spacing w:val="-2"/>
                <w:sz w:val="20"/>
              </w:rPr>
              <w:t> </w:t>
            </w:r>
            <w:r>
              <w:rPr>
                <w:color w:val="231F20"/>
                <w:sz w:val="20"/>
              </w:rPr>
              <w:t>enhanced</w:t>
            </w:r>
            <w:r>
              <w:rPr>
                <w:color w:val="231F20"/>
                <w:spacing w:val="-4"/>
                <w:sz w:val="20"/>
              </w:rPr>
              <w:t> </w:t>
            </w:r>
            <w:r>
              <w:rPr>
                <w:color w:val="231F20"/>
                <w:sz w:val="20"/>
              </w:rPr>
              <w:t>usual</w:t>
            </w:r>
            <w:r>
              <w:rPr>
                <w:color w:val="231F20"/>
                <w:spacing w:val="-3"/>
                <w:sz w:val="20"/>
              </w:rPr>
              <w:t> </w:t>
            </w:r>
            <w:r>
              <w:rPr>
                <w:color w:val="231F20"/>
                <w:sz w:val="20"/>
              </w:rPr>
              <w:t>care</w:t>
            </w:r>
            <w:r>
              <w:rPr>
                <w:color w:val="231F20"/>
                <w:spacing w:val="-3"/>
                <w:sz w:val="20"/>
              </w:rPr>
              <w:t> </w:t>
            </w:r>
            <w:r>
              <w:rPr>
                <w:color w:val="231F20"/>
                <w:sz w:val="20"/>
              </w:rPr>
              <w:t>(defined</w:t>
            </w:r>
            <w:r>
              <w:rPr>
                <w:color w:val="231F20"/>
                <w:spacing w:val="-2"/>
                <w:sz w:val="20"/>
              </w:rPr>
              <w:t> </w:t>
            </w:r>
            <w:r>
              <w:rPr>
                <w:color w:val="231F20"/>
                <w:sz w:val="20"/>
              </w:rPr>
              <w:t>as</w:t>
            </w:r>
            <w:r>
              <w:rPr>
                <w:color w:val="231F20"/>
                <w:spacing w:val="-3"/>
                <w:sz w:val="20"/>
              </w:rPr>
              <w:t> </w:t>
            </w:r>
            <w:r>
              <w:rPr>
                <w:color w:val="231F20"/>
                <w:sz w:val="20"/>
              </w:rPr>
              <w:t>conversations</w:t>
            </w:r>
            <w:r>
              <w:rPr>
                <w:color w:val="231F20"/>
                <w:spacing w:val="-3"/>
                <w:sz w:val="20"/>
              </w:rPr>
              <w:t> </w:t>
            </w:r>
            <w:r>
              <w:rPr>
                <w:color w:val="231F20"/>
                <w:sz w:val="20"/>
              </w:rPr>
              <w:t>with</w:t>
            </w:r>
            <w:r>
              <w:rPr>
                <w:color w:val="231F20"/>
                <w:spacing w:val="-3"/>
                <w:sz w:val="20"/>
              </w:rPr>
              <w:t> </w:t>
            </w:r>
            <w:r>
              <w:rPr>
                <w:color w:val="231F20"/>
                <w:sz w:val="20"/>
              </w:rPr>
              <w:t>primary</w:t>
            </w:r>
            <w:r>
              <w:rPr>
                <w:color w:val="231F20"/>
                <w:spacing w:val="-4"/>
                <w:sz w:val="20"/>
              </w:rPr>
              <w:t> </w:t>
            </w:r>
            <w:r>
              <w:rPr>
                <w:color w:val="231F20"/>
                <w:sz w:val="20"/>
              </w:rPr>
              <w:t>care</w:t>
            </w:r>
            <w:r>
              <w:rPr>
                <w:color w:val="231F20"/>
                <w:spacing w:val="-2"/>
                <w:sz w:val="20"/>
              </w:rPr>
              <w:t> </w:t>
            </w:r>
            <w:r>
              <w:rPr>
                <w:color w:val="231F20"/>
                <w:sz w:val="20"/>
              </w:rPr>
              <w:t>physicians):</w:t>
            </w:r>
          </w:p>
          <w:p>
            <w:pPr>
              <w:pStyle w:val="TableParagraph"/>
              <w:numPr>
                <w:ilvl w:val="0"/>
                <w:numId w:val="30"/>
              </w:numPr>
              <w:tabs>
                <w:tab w:pos="439" w:val="left" w:leader="none"/>
                <w:tab w:pos="440" w:val="left" w:leader="none"/>
              </w:tabs>
              <w:spacing w:line="243" w:lineRule="exact" w:before="86" w:after="0"/>
              <w:ind w:left="440" w:right="0" w:hanging="360"/>
              <w:jc w:val="left"/>
              <w:rPr>
                <w:sz w:val="11"/>
              </w:rPr>
            </w:pPr>
            <w:r>
              <w:rPr>
                <w:color w:val="231F20"/>
                <w:sz w:val="20"/>
              </w:rPr>
              <w:t>Higher</w:t>
            </w:r>
            <w:r>
              <w:rPr>
                <w:color w:val="231F20"/>
                <w:spacing w:val="2"/>
                <w:sz w:val="20"/>
              </w:rPr>
              <w:t> </w:t>
            </w:r>
            <w:r>
              <w:rPr>
                <w:color w:val="231F20"/>
                <w:sz w:val="20"/>
              </w:rPr>
              <w:t>level</w:t>
            </w:r>
            <w:r>
              <w:rPr>
                <w:color w:val="231F20"/>
                <w:spacing w:val="3"/>
                <w:sz w:val="20"/>
              </w:rPr>
              <w:t> </w:t>
            </w:r>
            <w:r>
              <w:rPr>
                <w:color w:val="231F20"/>
                <w:sz w:val="20"/>
              </w:rPr>
              <w:t>of</w:t>
            </w:r>
            <w:r>
              <w:rPr>
                <w:color w:val="231F20"/>
                <w:spacing w:val="3"/>
                <w:sz w:val="20"/>
              </w:rPr>
              <w:t> </w:t>
            </w:r>
            <w:r>
              <w:rPr>
                <w:color w:val="231F20"/>
                <w:sz w:val="20"/>
              </w:rPr>
              <w:t>client</w:t>
            </w:r>
            <w:r>
              <w:rPr>
                <w:color w:val="231F20"/>
                <w:spacing w:val="3"/>
                <w:sz w:val="20"/>
              </w:rPr>
              <w:t> </w:t>
            </w:r>
            <w:r>
              <w:rPr>
                <w:color w:val="231F20"/>
                <w:sz w:val="20"/>
              </w:rPr>
              <w:t>satisfaction</w:t>
            </w:r>
            <w:r>
              <w:rPr>
                <w:color w:val="231F20"/>
                <w:position w:val="7"/>
                <w:sz w:val="11"/>
              </w:rPr>
              <w:t>50,</w:t>
            </w:r>
            <w:r>
              <w:rPr>
                <w:color w:val="231F20"/>
                <w:spacing w:val="2"/>
                <w:position w:val="7"/>
                <w:sz w:val="11"/>
              </w:rPr>
              <w:t> </w:t>
            </w:r>
            <w:r>
              <w:rPr>
                <w:color w:val="231F20"/>
                <w:position w:val="7"/>
                <w:sz w:val="11"/>
              </w:rPr>
              <w:t>51</w:t>
            </w:r>
          </w:p>
          <w:p>
            <w:pPr>
              <w:pStyle w:val="TableParagraph"/>
              <w:numPr>
                <w:ilvl w:val="0"/>
                <w:numId w:val="30"/>
              </w:numPr>
              <w:tabs>
                <w:tab w:pos="439" w:val="left" w:leader="none"/>
                <w:tab w:pos="440" w:val="left" w:leader="none"/>
              </w:tabs>
              <w:spacing w:line="243" w:lineRule="exact" w:before="0" w:after="0"/>
              <w:ind w:left="440" w:right="0" w:hanging="360"/>
              <w:jc w:val="left"/>
              <w:rPr>
                <w:sz w:val="11"/>
              </w:rPr>
            </w:pPr>
            <w:r>
              <w:rPr>
                <w:color w:val="231F20"/>
                <w:sz w:val="20"/>
              </w:rPr>
              <w:t>No</w:t>
            </w:r>
            <w:r>
              <w:rPr>
                <w:color w:val="231F20"/>
                <w:spacing w:val="-5"/>
                <w:sz w:val="20"/>
              </w:rPr>
              <w:t> </w:t>
            </w:r>
            <w:r>
              <w:rPr>
                <w:color w:val="231F20"/>
                <w:sz w:val="20"/>
              </w:rPr>
              <w:t>significant</w:t>
            </w:r>
            <w:r>
              <w:rPr>
                <w:color w:val="231F20"/>
                <w:spacing w:val="-3"/>
                <w:sz w:val="20"/>
              </w:rPr>
              <w:t> </w:t>
            </w:r>
            <w:r>
              <w:rPr>
                <w:color w:val="231F20"/>
                <w:sz w:val="20"/>
              </w:rPr>
              <w:t>difference</w:t>
            </w:r>
            <w:r>
              <w:rPr>
                <w:color w:val="231F20"/>
                <w:spacing w:val="-4"/>
                <w:sz w:val="20"/>
              </w:rPr>
              <w:t> </w:t>
            </w:r>
            <w:r>
              <w:rPr>
                <w:color w:val="231F20"/>
                <w:sz w:val="20"/>
              </w:rPr>
              <w:t>in</w:t>
            </w:r>
            <w:r>
              <w:rPr>
                <w:color w:val="231F20"/>
                <w:spacing w:val="-4"/>
                <w:sz w:val="20"/>
              </w:rPr>
              <w:t> </w:t>
            </w:r>
            <w:r>
              <w:rPr>
                <w:color w:val="231F20"/>
                <w:sz w:val="20"/>
              </w:rPr>
              <w:t>therapeutic</w:t>
            </w:r>
            <w:r>
              <w:rPr>
                <w:color w:val="231F20"/>
                <w:spacing w:val="-3"/>
                <w:sz w:val="20"/>
              </w:rPr>
              <w:t> </w:t>
            </w:r>
            <w:r>
              <w:rPr>
                <w:color w:val="231F20"/>
                <w:sz w:val="20"/>
              </w:rPr>
              <w:t>working</w:t>
            </w:r>
            <w:r>
              <w:rPr>
                <w:color w:val="231F20"/>
                <w:spacing w:val="-4"/>
                <w:sz w:val="20"/>
              </w:rPr>
              <w:t> </w:t>
            </w:r>
            <w:r>
              <w:rPr>
                <w:color w:val="231F20"/>
                <w:sz w:val="20"/>
              </w:rPr>
              <w:t>alliance</w:t>
            </w:r>
            <w:r>
              <w:rPr>
                <w:color w:val="231F20"/>
                <w:spacing w:val="-4"/>
                <w:sz w:val="20"/>
              </w:rPr>
              <w:t> </w:t>
            </w:r>
            <w:r>
              <w:rPr>
                <w:color w:val="231F20"/>
                <w:sz w:val="20"/>
              </w:rPr>
              <w:t>between</w:t>
            </w:r>
            <w:r>
              <w:rPr>
                <w:color w:val="231F20"/>
                <w:spacing w:val="-4"/>
                <w:sz w:val="20"/>
              </w:rPr>
              <w:t> </w:t>
            </w:r>
            <w:r>
              <w:rPr>
                <w:color w:val="231F20"/>
                <w:sz w:val="20"/>
              </w:rPr>
              <w:t>provider</w:t>
            </w:r>
            <w:r>
              <w:rPr>
                <w:color w:val="231F20"/>
                <w:spacing w:val="-5"/>
                <w:sz w:val="20"/>
              </w:rPr>
              <w:t> </w:t>
            </w:r>
            <w:r>
              <w:rPr>
                <w:color w:val="231F20"/>
                <w:sz w:val="20"/>
              </w:rPr>
              <w:t>and</w:t>
            </w:r>
            <w:r>
              <w:rPr>
                <w:color w:val="231F20"/>
                <w:spacing w:val="-4"/>
                <w:sz w:val="20"/>
              </w:rPr>
              <w:t> </w:t>
            </w:r>
            <w:r>
              <w:rPr>
                <w:color w:val="231F20"/>
                <w:sz w:val="20"/>
              </w:rPr>
              <w:t>client</w:t>
            </w:r>
            <w:r>
              <w:rPr>
                <w:color w:val="231F20"/>
                <w:position w:val="7"/>
                <w:sz w:val="11"/>
              </w:rPr>
              <w:t>51</w:t>
            </w:r>
          </w:p>
          <w:p>
            <w:pPr>
              <w:pStyle w:val="TableParagraph"/>
              <w:spacing w:before="189"/>
              <w:ind w:left="80"/>
              <w:rPr>
                <w:sz w:val="20"/>
              </w:rPr>
            </w:pPr>
            <w:r>
              <w:rPr>
                <w:color w:val="231F20"/>
                <w:sz w:val="20"/>
              </w:rPr>
              <w:t>When</w:t>
            </w:r>
            <w:r>
              <w:rPr>
                <w:color w:val="231F20"/>
                <w:spacing w:val="-1"/>
                <w:sz w:val="20"/>
              </w:rPr>
              <w:t> </w:t>
            </w:r>
            <w:r>
              <w:rPr>
                <w:color w:val="231F20"/>
                <w:sz w:val="20"/>
              </w:rPr>
              <w:t>compared to in-person treatment:</w:t>
            </w:r>
          </w:p>
          <w:p>
            <w:pPr>
              <w:pStyle w:val="TableParagraph"/>
              <w:numPr>
                <w:ilvl w:val="0"/>
                <w:numId w:val="30"/>
              </w:numPr>
              <w:tabs>
                <w:tab w:pos="439" w:val="left" w:leader="none"/>
                <w:tab w:pos="440" w:val="left" w:leader="none"/>
              </w:tabs>
              <w:spacing w:line="240" w:lineRule="auto" w:before="86" w:after="0"/>
              <w:ind w:left="440" w:right="0" w:hanging="360"/>
              <w:jc w:val="left"/>
              <w:rPr>
                <w:sz w:val="11"/>
              </w:rPr>
            </w:pPr>
            <w:r>
              <w:rPr>
                <w:color w:val="231F20"/>
                <w:sz w:val="20"/>
              </w:rPr>
              <w:t>Higher</w:t>
            </w:r>
            <w:r>
              <w:rPr>
                <w:color w:val="231F20"/>
                <w:spacing w:val="1"/>
                <w:sz w:val="20"/>
              </w:rPr>
              <w:t> </w:t>
            </w:r>
            <w:r>
              <w:rPr>
                <w:color w:val="231F20"/>
                <w:sz w:val="20"/>
              </w:rPr>
              <w:t>level</w:t>
            </w:r>
            <w:r>
              <w:rPr>
                <w:color w:val="231F20"/>
                <w:spacing w:val="1"/>
                <w:sz w:val="20"/>
              </w:rPr>
              <w:t> </w:t>
            </w:r>
            <w:r>
              <w:rPr>
                <w:color w:val="231F20"/>
                <w:sz w:val="20"/>
              </w:rPr>
              <w:t>of</w:t>
            </w:r>
            <w:r>
              <w:rPr>
                <w:color w:val="231F20"/>
                <w:spacing w:val="1"/>
                <w:sz w:val="20"/>
              </w:rPr>
              <w:t> </w:t>
            </w:r>
            <w:r>
              <w:rPr>
                <w:color w:val="231F20"/>
                <w:sz w:val="20"/>
              </w:rPr>
              <w:t>treatment</w:t>
            </w:r>
            <w:r>
              <w:rPr>
                <w:color w:val="231F20"/>
                <w:spacing w:val="2"/>
                <w:sz w:val="20"/>
              </w:rPr>
              <w:t> </w:t>
            </w:r>
            <w:r>
              <w:rPr>
                <w:color w:val="231F20"/>
                <w:sz w:val="20"/>
              </w:rPr>
              <w:t>completion</w:t>
            </w:r>
            <w:r>
              <w:rPr>
                <w:color w:val="231F20"/>
                <w:position w:val="7"/>
                <w:sz w:val="11"/>
              </w:rPr>
              <w:t>49</w:t>
            </w:r>
          </w:p>
        </w:tc>
      </w:tr>
      <w:tr>
        <w:trPr>
          <w:trHeight w:val="1401" w:hRule="atLeast"/>
        </w:trPr>
        <w:tc>
          <w:tcPr>
            <w:tcW w:w="1910" w:type="dxa"/>
          </w:tcPr>
          <w:p>
            <w:pPr>
              <w:pStyle w:val="TableParagraph"/>
              <w:spacing w:line="249" w:lineRule="auto" w:before="33"/>
              <w:ind w:left="80" w:right="251"/>
              <w:jc w:val="both"/>
              <w:rPr>
                <w:b/>
                <w:sz w:val="20"/>
              </w:rPr>
            </w:pPr>
            <w:r>
              <w:rPr>
                <w:b/>
                <w:color w:val="231F20"/>
                <w:sz w:val="20"/>
              </w:rPr>
              <w:t>Populations that</w:t>
            </w:r>
            <w:r>
              <w:rPr>
                <w:b/>
                <w:color w:val="231F20"/>
                <w:spacing w:val="-54"/>
                <w:sz w:val="20"/>
              </w:rPr>
              <w:t> </w:t>
            </w:r>
            <w:r>
              <w:rPr>
                <w:b/>
                <w:color w:val="231F20"/>
                <w:sz w:val="20"/>
              </w:rPr>
              <w:t>benefit from the</w:t>
            </w:r>
            <w:r>
              <w:rPr>
                <w:b/>
                <w:color w:val="231F20"/>
                <w:spacing w:val="1"/>
                <w:sz w:val="20"/>
              </w:rPr>
              <w:t> </w:t>
            </w:r>
            <w:r>
              <w:rPr>
                <w:b/>
                <w:color w:val="231F20"/>
                <w:sz w:val="20"/>
              </w:rPr>
              <w:t>treatment</w:t>
            </w:r>
          </w:p>
        </w:tc>
        <w:tc>
          <w:tcPr>
            <w:tcW w:w="9005" w:type="dxa"/>
          </w:tcPr>
          <w:p>
            <w:pPr>
              <w:pStyle w:val="TableParagraph"/>
              <w:spacing w:before="33"/>
              <w:ind w:left="80"/>
              <w:rPr>
                <w:sz w:val="20"/>
              </w:rPr>
            </w:pPr>
            <w:r>
              <w:rPr>
                <w:color w:val="231F20"/>
                <w:sz w:val="20"/>
              </w:rPr>
              <w:t>People</w:t>
            </w:r>
            <w:r>
              <w:rPr>
                <w:color w:val="231F20"/>
                <w:spacing w:val="-2"/>
                <w:sz w:val="20"/>
              </w:rPr>
              <w:t> </w:t>
            </w:r>
            <w:r>
              <w:rPr>
                <w:color w:val="231F20"/>
                <w:sz w:val="20"/>
              </w:rPr>
              <w:t>experiencing</w:t>
            </w:r>
            <w:r>
              <w:rPr>
                <w:color w:val="231F20"/>
                <w:spacing w:val="-2"/>
                <w:sz w:val="20"/>
              </w:rPr>
              <w:t> </w:t>
            </w:r>
            <w:r>
              <w:rPr>
                <w:color w:val="231F20"/>
                <w:sz w:val="20"/>
              </w:rPr>
              <w:t>major</w:t>
            </w:r>
            <w:r>
              <w:rPr>
                <w:color w:val="231F20"/>
                <w:spacing w:val="-2"/>
                <w:sz w:val="20"/>
              </w:rPr>
              <w:t> </w:t>
            </w:r>
            <w:r>
              <w:rPr>
                <w:color w:val="231F20"/>
                <w:sz w:val="20"/>
              </w:rPr>
              <w:t>depressive</w:t>
            </w:r>
            <w:r>
              <w:rPr>
                <w:color w:val="231F20"/>
                <w:spacing w:val="-2"/>
                <w:sz w:val="20"/>
              </w:rPr>
              <w:t> </w:t>
            </w:r>
            <w:r>
              <w:rPr>
                <w:color w:val="231F20"/>
                <w:sz w:val="20"/>
              </w:rPr>
              <w:t>disorder,</w:t>
            </w:r>
            <w:r>
              <w:rPr>
                <w:color w:val="231F20"/>
                <w:spacing w:val="-2"/>
                <w:sz w:val="20"/>
              </w:rPr>
              <w:t> </w:t>
            </w:r>
            <w:r>
              <w:rPr>
                <w:color w:val="231F20"/>
                <w:sz w:val="20"/>
              </w:rPr>
              <w:t>including:</w:t>
            </w:r>
          </w:p>
          <w:p>
            <w:pPr>
              <w:pStyle w:val="TableParagraph"/>
              <w:numPr>
                <w:ilvl w:val="0"/>
                <w:numId w:val="31"/>
              </w:numPr>
              <w:tabs>
                <w:tab w:pos="439" w:val="left" w:leader="none"/>
                <w:tab w:pos="440" w:val="left" w:leader="none"/>
              </w:tabs>
              <w:spacing w:line="243" w:lineRule="exact" w:before="86" w:after="0"/>
              <w:ind w:left="440" w:right="0" w:hanging="360"/>
              <w:jc w:val="left"/>
              <w:rPr>
                <w:sz w:val="11"/>
              </w:rPr>
            </w:pPr>
            <w:r>
              <w:rPr>
                <w:color w:val="231F20"/>
                <w:sz w:val="20"/>
              </w:rPr>
              <w:t>Primary</w:t>
            </w:r>
            <w:r>
              <w:rPr>
                <w:color w:val="231F20"/>
                <w:spacing w:val="2"/>
                <w:sz w:val="20"/>
              </w:rPr>
              <w:t> </w:t>
            </w:r>
            <w:r>
              <w:rPr>
                <w:color w:val="231F20"/>
                <w:sz w:val="20"/>
              </w:rPr>
              <w:t>care</w:t>
            </w:r>
            <w:r>
              <w:rPr>
                <w:color w:val="231F20"/>
                <w:spacing w:val="2"/>
                <w:sz w:val="20"/>
              </w:rPr>
              <w:t> </w:t>
            </w:r>
            <w:r>
              <w:rPr>
                <w:color w:val="231F20"/>
                <w:sz w:val="20"/>
              </w:rPr>
              <w:t>clients</w:t>
            </w:r>
            <w:r>
              <w:rPr>
                <w:color w:val="231F20"/>
                <w:position w:val="7"/>
                <w:sz w:val="11"/>
              </w:rPr>
              <w:t>49</w:t>
            </w:r>
          </w:p>
          <w:p>
            <w:pPr>
              <w:pStyle w:val="TableParagraph"/>
              <w:numPr>
                <w:ilvl w:val="0"/>
                <w:numId w:val="31"/>
              </w:numPr>
              <w:tabs>
                <w:tab w:pos="439" w:val="left" w:leader="none"/>
                <w:tab w:pos="440" w:val="left" w:leader="none"/>
              </w:tabs>
              <w:spacing w:line="240" w:lineRule="exact" w:before="0" w:after="0"/>
              <w:ind w:left="440" w:right="0" w:hanging="360"/>
              <w:jc w:val="left"/>
              <w:rPr>
                <w:sz w:val="11"/>
              </w:rPr>
            </w:pPr>
            <w:r>
              <w:rPr>
                <w:color w:val="231F20"/>
                <w:sz w:val="20"/>
              </w:rPr>
              <w:t>Rural,</w:t>
            </w:r>
            <w:r>
              <w:rPr>
                <w:color w:val="231F20"/>
                <w:spacing w:val="2"/>
                <w:sz w:val="20"/>
              </w:rPr>
              <w:t> </w:t>
            </w:r>
            <w:r>
              <w:rPr>
                <w:color w:val="231F20"/>
                <w:sz w:val="20"/>
              </w:rPr>
              <w:t>Latino/Latina</w:t>
            </w:r>
            <w:r>
              <w:rPr>
                <w:color w:val="231F20"/>
                <w:spacing w:val="2"/>
                <w:sz w:val="20"/>
              </w:rPr>
              <w:t> </w:t>
            </w:r>
            <w:r>
              <w:rPr>
                <w:color w:val="231F20"/>
                <w:sz w:val="20"/>
              </w:rPr>
              <w:t>clients</w:t>
            </w:r>
            <w:r>
              <w:rPr>
                <w:color w:val="231F20"/>
                <w:position w:val="7"/>
                <w:sz w:val="11"/>
              </w:rPr>
              <w:t>50</w:t>
            </w:r>
          </w:p>
          <w:p>
            <w:pPr>
              <w:pStyle w:val="TableParagraph"/>
              <w:numPr>
                <w:ilvl w:val="0"/>
                <w:numId w:val="31"/>
              </w:numPr>
              <w:tabs>
                <w:tab w:pos="439" w:val="left" w:leader="none"/>
                <w:tab w:pos="440" w:val="left" w:leader="none"/>
              </w:tabs>
              <w:spacing w:line="228" w:lineRule="exact" w:before="0" w:after="0"/>
              <w:ind w:left="440" w:right="0" w:hanging="360"/>
              <w:jc w:val="left"/>
              <w:rPr>
                <w:sz w:val="20"/>
              </w:rPr>
            </w:pPr>
            <w:r>
              <w:rPr>
                <w:color w:val="231F20"/>
                <w:sz w:val="20"/>
              </w:rPr>
              <w:t>People</w:t>
            </w:r>
            <w:r>
              <w:rPr>
                <w:color w:val="231F20"/>
                <w:spacing w:val="-1"/>
                <w:sz w:val="20"/>
              </w:rPr>
              <w:t> </w:t>
            </w:r>
            <w:r>
              <w:rPr>
                <w:color w:val="231F20"/>
                <w:sz w:val="20"/>
              </w:rPr>
              <w:t>experiencing PTSD, including:</w:t>
            </w:r>
          </w:p>
          <w:p>
            <w:pPr>
              <w:pStyle w:val="TableParagraph"/>
              <w:numPr>
                <w:ilvl w:val="1"/>
                <w:numId w:val="31"/>
              </w:numPr>
              <w:tabs>
                <w:tab w:pos="799" w:val="left" w:leader="none"/>
                <w:tab w:pos="800" w:val="left" w:leader="none"/>
              </w:tabs>
              <w:spacing w:line="230" w:lineRule="exact" w:before="0" w:after="0"/>
              <w:ind w:left="800" w:right="0" w:hanging="360"/>
              <w:jc w:val="left"/>
              <w:rPr>
                <w:sz w:val="11"/>
              </w:rPr>
            </w:pPr>
            <w:r>
              <w:rPr>
                <w:color w:val="010202"/>
                <w:sz w:val="20"/>
              </w:rPr>
              <w:t>College women</w:t>
            </w:r>
            <w:r>
              <w:rPr>
                <w:color w:val="010202"/>
                <w:spacing w:val="1"/>
                <w:sz w:val="20"/>
              </w:rPr>
              <w:t> </w:t>
            </w:r>
            <w:r>
              <w:rPr>
                <w:color w:val="010202"/>
                <w:sz w:val="20"/>
              </w:rPr>
              <w:t>who</w:t>
            </w:r>
            <w:r>
              <w:rPr>
                <w:color w:val="010202"/>
                <w:spacing w:val="1"/>
                <w:sz w:val="20"/>
              </w:rPr>
              <w:t> </w:t>
            </w:r>
            <w:r>
              <w:rPr>
                <w:color w:val="010202"/>
                <w:sz w:val="20"/>
              </w:rPr>
              <w:t>are</w:t>
            </w:r>
            <w:r>
              <w:rPr>
                <w:color w:val="010202"/>
                <w:spacing w:val="1"/>
                <w:sz w:val="20"/>
              </w:rPr>
              <w:t> </w:t>
            </w:r>
            <w:r>
              <w:rPr>
                <w:color w:val="010202"/>
                <w:sz w:val="20"/>
              </w:rPr>
              <w:t>survivors</w:t>
            </w:r>
            <w:r>
              <w:rPr>
                <w:color w:val="010202"/>
                <w:spacing w:val="1"/>
                <w:sz w:val="20"/>
              </w:rPr>
              <w:t> </w:t>
            </w:r>
            <w:r>
              <w:rPr>
                <w:color w:val="010202"/>
                <w:sz w:val="20"/>
              </w:rPr>
              <w:t>of</w:t>
            </w:r>
            <w:r>
              <w:rPr>
                <w:color w:val="010202"/>
                <w:spacing w:val="1"/>
                <w:sz w:val="20"/>
              </w:rPr>
              <w:t> </w:t>
            </w:r>
            <w:r>
              <w:rPr>
                <w:color w:val="010202"/>
                <w:sz w:val="20"/>
              </w:rPr>
              <w:t>rape</w:t>
            </w:r>
            <w:r>
              <w:rPr>
                <w:color w:val="010202"/>
                <w:position w:val="7"/>
                <w:sz w:val="11"/>
              </w:rPr>
              <w:t>51</w:t>
            </w:r>
          </w:p>
        </w:tc>
      </w:tr>
      <w:tr>
        <w:trPr>
          <w:trHeight w:val="1113" w:hRule="atLeast"/>
        </w:trPr>
        <w:tc>
          <w:tcPr>
            <w:tcW w:w="1910" w:type="dxa"/>
          </w:tcPr>
          <w:p>
            <w:pPr>
              <w:pStyle w:val="TableParagraph"/>
              <w:spacing w:line="249" w:lineRule="auto" w:before="33"/>
              <w:ind w:left="80" w:right="518"/>
              <w:rPr>
                <w:b/>
                <w:sz w:val="20"/>
              </w:rPr>
            </w:pPr>
            <w:r>
              <w:rPr>
                <w:b/>
                <w:color w:val="231F20"/>
                <w:sz w:val="20"/>
              </w:rPr>
              <w:t>Providers</w:t>
            </w:r>
            <w:r>
              <w:rPr>
                <w:b/>
                <w:color w:val="231F20"/>
                <w:spacing w:val="1"/>
                <w:sz w:val="20"/>
              </w:rPr>
              <w:t> </w:t>
            </w:r>
            <w:r>
              <w:rPr>
                <w:b/>
                <w:color w:val="231F20"/>
                <w:sz w:val="20"/>
              </w:rPr>
              <w:t>who</w:t>
            </w:r>
            <w:r>
              <w:rPr>
                <w:b/>
                <w:color w:val="231F20"/>
                <w:spacing w:val="-10"/>
                <w:sz w:val="20"/>
              </w:rPr>
              <w:t> </w:t>
            </w:r>
            <w:r>
              <w:rPr>
                <w:b/>
                <w:color w:val="231F20"/>
                <w:sz w:val="20"/>
              </w:rPr>
              <w:t>can</w:t>
            </w:r>
            <w:r>
              <w:rPr>
                <w:b/>
                <w:color w:val="231F20"/>
                <w:spacing w:val="-9"/>
                <w:sz w:val="20"/>
              </w:rPr>
              <w:t> </w:t>
            </w:r>
            <w:r>
              <w:rPr>
                <w:b/>
                <w:color w:val="231F20"/>
                <w:sz w:val="20"/>
              </w:rPr>
              <w:t>offer</w:t>
            </w:r>
            <w:r>
              <w:rPr>
                <w:b/>
                <w:color w:val="231F20"/>
                <w:spacing w:val="-53"/>
                <w:sz w:val="20"/>
              </w:rPr>
              <w:t> </w:t>
            </w:r>
            <w:r>
              <w:rPr>
                <w:b/>
                <w:color w:val="231F20"/>
                <w:sz w:val="20"/>
              </w:rPr>
              <w:t>intervention</w:t>
            </w:r>
            <w:r>
              <w:rPr>
                <w:b/>
                <w:color w:val="231F20"/>
                <w:spacing w:val="1"/>
                <w:sz w:val="20"/>
              </w:rPr>
              <w:t> </w:t>
            </w:r>
            <w:r>
              <w:rPr>
                <w:b/>
                <w:color w:val="231F20"/>
                <w:sz w:val="20"/>
              </w:rPr>
              <w:t>services</w:t>
            </w:r>
          </w:p>
        </w:tc>
        <w:tc>
          <w:tcPr>
            <w:tcW w:w="9005" w:type="dxa"/>
          </w:tcPr>
          <w:p>
            <w:pPr>
              <w:pStyle w:val="TableParagraph"/>
              <w:numPr>
                <w:ilvl w:val="0"/>
                <w:numId w:val="32"/>
              </w:numPr>
              <w:tabs>
                <w:tab w:pos="439" w:val="left" w:leader="none"/>
                <w:tab w:pos="440" w:val="left" w:leader="none"/>
              </w:tabs>
              <w:spacing w:line="243" w:lineRule="exact" w:before="19" w:after="0"/>
              <w:ind w:left="440" w:right="0" w:hanging="360"/>
              <w:jc w:val="left"/>
              <w:rPr>
                <w:sz w:val="11"/>
              </w:rPr>
            </w:pPr>
            <w:r>
              <w:rPr>
                <w:color w:val="231F20"/>
                <w:sz w:val="20"/>
              </w:rPr>
              <w:t>Doctoral-level</w:t>
            </w:r>
            <w:r>
              <w:rPr>
                <w:color w:val="231F20"/>
                <w:spacing w:val="5"/>
                <w:sz w:val="20"/>
              </w:rPr>
              <w:t> </w:t>
            </w:r>
            <w:r>
              <w:rPr>
                <w:color w:val="231F20"/>
                <w:sz w:val="20"/>
              </w:rPr>
              <w:t>therapists</w:t>
            </w:r>
            <w:r>
              <w:rPr>
                <w:color w:val="231F20"/>
                <w:position w:val="7"/>
                <w:sz w:val="11"/>
              </w:rPr>
              <w:t>49,</w:t>
            </w:r>
            <w:r>
              <w:rPr>
                <w:color w:val="231F20"/>
                <w:spacing w:val="29"/>
                <w:position w:val="7"/>
                <w:sz w:val="11"/>
              </w:rPr>
              <w:t> </w:t>
            </w:r>
            <w:r>
              <w:rPr>
                <w:color w:val="231F20"/>
                <w:position w:val="7"/>
                <w:sz w:val="11"/>
              </w:rPr>
              <w:t>51</w:t>
            </w:r>
          </w:p>
          <w:p>
            <w:pPr>
              <w:pStyle w:val="TableParagraph"/>
              <w:numPr>
                <w:ilvl w:val="0"/>
                <w:numId w:val="32"/>
              </w:numPr>
              <w:tabs>
                <w:tab w:pos="439" w:val="left" w:leader="none"/>
                <w:tab w:pos="440" w:val="left" w:leader="none"/>
              </w:tabs>
              <w:spacing w:line="240" w:lineRule="exact" w:before="0" w:after="0"/>
              <w:ind w:left="440" w:right="0" w:hanging="360"/>
              <w:jc w:val="left"/>
              <w:rPr>
                <w:sz w:val="11"/>
              </w:rPr>
            </w:pPr>
            <w:r>
              <w:rPr>
                <w:color w:val="231F20"/>
                <w:sz w:val="20"/>
              </w:rPr>
              <w:t>Students</w:t>
            </w:r>
            <w:r>
              <w:rPr>
                <w:color w:val="231F20"/>
                <w:spacing w:val="1"/>
                <w:sz w:val="20"/>
              </w:rPr>
              <w:t> </w:t>
            </w:r>
            <w:r>
              <w:rPr>
                <w:color w:val="231F20"/>
                <w:sz w:val="20"/>
              </w:rPr>
              <w:t>working</w:t>
            </w:r>
            <w:r>
              <w:rPr>
                <w:color w:val="231F20"/>
                <w:spacing w:val="1"/>
                <w:sz w:val="20"/>
              </w:rPr>
              <w:t> </w:t>
            </w:r>
            <w:r>
              <w:rPr>
                <w:color w:val="231F20"/>
                <w:sz w:val="20"/>
              </w:rPr>
              <w:t>towards</w:t>
            </w:r>
            <w:r>
              <w:rPr>
                <w:color w:val="231F20"/>
                <w:spacing w:val="1"/>
                <w:sz w:val="20"/>
              </w:rPr>
              <w:t> </w:t>
            </w:r>
            <w:r>
              <w:rPr>
                <w:color w:val="231F20"/>
                <w:sz w:val="20"/>
              </w:rPr>
              <w:t>master’s</w:t>
            </w:r>
            <w:r>
              <w:rPr>
                <w:color w:val="231F20"/>
                <w:spacing w:val="1"/>
                <w:sz w:val="20"/>
              </w:rPr>
              <w:t> </w:t>
            </w:r>
            <w:r>
              <w:rPr>
                <w:color w:val="231F20"/>
                <w:sz w:val="20"/>
              </w:rPr>
              <w:t>in</w:t>
            </w:r>
            <w:r>
              <w:rPr>
                <w:color w:val="231F20"/>
                <w:spacing w:val="1"/>
                <w:sz w:val="20"/>
              </w:rPr>
              <w:t> </w:t>
            </w:r>
            <w:r>
              <w:rPr>
                <w:color w:val="231F20"/>
                <w:sz w:val="20"/>
              </w:rPr>
              <w:t>social</w:t>
            </w:r>
            <w:r>
              <w:rPr>
                <w:color w:val="231F20"/>
                <w:spacing w:val="1"/>
                <w:sz w:val="20"/>
              </w:rPr>
              <w:t> </w:t>
            </w:r>
            <w:r>
              <w:rPr>
                <w:color w:val="231F20"/>
                <w:sz w:val="20"/>
              </w:rPr>
              <w:t>work</w:t>
            </w:r>
            <w:r>
              <w:rPr>
                <w:color w:val="231F20"/>
                <w:spacing w:val="1"/>
                <w:sz w:val="20"/>
              </w:rPr>
              <w:t> </w:t>
            </w:r>
            <w:r>
              <w:rPr>
                <w:color w:val="231F20"/>
                <w:sz w:val="20"/>
              </w:rPr>
              <w:t>degree</w:t>
            </w:r>
            <w:r>
              <w:rPr>
                <w:color w:val="231F20"/>
                <w:spacing w:val="1"/>
                <w:sz w:val="20"/>
              </w:rPr>
              <w:t> </w:t>
            </w:r>
            <w:r>
              <w:rPr>
                <w:color w:val="231F20"/>
                <w:position w:val="7"/>
                <w:sz w:val="11"/>
              </w:rPr>
              <w:t>50</w:t>
            </w:r>
          </w:p>
          <w:p>
            <w:pPr>
              <w:pStyle w:val="TableParagraph"/>
              <w:numPr>
                <w:ilvl w:val="0"/>
                <w:numId w:val="32"/>
              </w:numPr>
              <w:tabs>
                <w:tab w:pos="439" w:val="left" w:leader="none"/>
                <w:tab w:pos="440" w:val="left" w:leader="none"/>
              </w:tabs>
              <w:spacing w:line="240" w:lineRule="exact" w:before="0" w:after="0"/>
              <w:ind w:left="440" w:right="0" w:hanging="360"/>
              <w:jc w:val="left"/>
              <w:rPr>
                <w:sz w:val="11"/>
              </w:rPr>
            </w:pPr>
            <w:r>
              <w:rPr>
                <w:color w:val="231F20"/>
                <w:sz w:val="20"/>
              </w:rPr>
              <w:t>Master’s-level</w:t>
            </w:r>
            <w:r>
              <w:rPr>
                <w:color w:val="231F20"/>
                <w:spacing w:val="1"/>
                <w:sz w:val="20"/>
              </w:rPr>
              <w:t> </w:t>
            </w:r>
            <w:r>
              <w:rPr>
                <w:color w:val="231F20"/>
                <w:sz w:val="20"/>
              </w:rPr>
              <w:t>social</w:t>
            </w:r>
            <w:r>
              <w:rPr>
                <w:color w:val="231F20"/>
                <w:spacing w:val="1"/>
                <w:sz w:val="20"/>
              </w:rPr>
              <w:t> </w:t>
            </w:r>
            <w:r>
              <w:rPr>
                <w:color w:val="231F20"/>
                <w:sz w:val="20"/>
              </w:rPr>
              <w:t>workers</w:t>
            </w:r>
            <w:r>
              <w:rPr>
                <w:color w:val="231F20"/>
                <w:position w:val="7"/>
                <w:sz w:val="11"/>
              </w:rPr>
              <w:t>50</w:t>
            </w:r>
          </w:p>
          <w:p>
            <w:pPr>
              <w:pStyle w:val="TableParagraph"/>
              <w:numPr>
                <w:ilvl w:val="0"/>
                <w:numId w:val="32"/>
              </w:numPr>
              <w:tabs>
                <w:tab w:pos="439" w:val="left" w:leader="none"/>
                <w:tab w:pos="440" w:val="left" w:leader="none"/>
              </w:tabs>
              <w:spacing w:line="243" w:lineRule="exact" w:before="0" w:after="0"/>
              <w:ind w:left="440" w:right="0" w:hanging="360"/>
              <w:jc w:val="left"/>
              <w:rPr>
                <w:sz w:val="11"/>
              </w:rPr>
            </w:pPr>
            <w:r>
              <w:rPr>
                <w:color w:val="231F20"/>
                <w:sz w:val="20"/>
              </w:rPr>
              <w:t>Licensed</w:t>
            </w:r>
            <w:r>
              <w:rPr>
                <w:color w:val="231F20"/>
                <w:spacing w:val="2"/>
                <w:sz w:val="20"/>
              </w:rPr>
              <w:t> </w:t>
            </w:r>
            <w:r>
              <w:rPr>
                <w:color w:val="231F20"/>
                <w:sz w:val="20"/>
              </w:rPr>
              <w:t>social</w:t>
            </w:r>
            <w:r>
              <w:rPr>
                <w:color w:val="231F20"/>
                <w:spacing w:val="2"/>
                <w:sz w:val="20"/>
              </w:rPr>
              <w:t> </w:t>
            </w:r>
            <w:r>
              <w:rPr>
                <w:color w:val="231F20"/>
                <w:sz w:val="20"/>
              </w:rPr>
              <w:t>workers</w:t>
            </w:r>
            <w:r>
              <w:rPr>
                <w:color w:val="231F20"/>
                <w:position w:val="7"/>
                <w:sz w:val="11"/>
              </w:rPr>
              <w:t>50</w:t>
            </w:r>
          </w:p>
        </w:tc>
      </w:tr>
      <w:tr>
        <w:trPr>
          <w:trHeight w:val="623" w:hRule="atLeast"/>
        </w:trPr>
        <w:tc>
          <w:tcPr>
            <w:tcW w:w="1910" w:type="dxa"/>
          </w:tcPr>
          <w:p>
            <w:pPr>
              <w:pStyle w:val="TableParagraph"/>
              <w:spacing w:before="33"/>
              <w:ind w:left="80"/>
              <w:rPr>
                <w:b/>
                <w:sz w:val="20"/>
              </w:rPr>
            </w:pPr>
            <w:r>
              <w:rPr>
                <w:b/>
                <w:color w:val="231F20"/>
                <w:sz w:val="20"/>
              </w:rPr>
              <w:t>Technology</w:t>
            </w:r>
            <w:r>
              <w:rPr>
                <w:b/>
                <w:color w:val="231F20"/>
                <w:spacing w:val="-7"/>
                <w:sz w:val="20"/>
              </w:rPr>
              <w:t> </w:t>
            </w:r>
            <w:r>
              <w:rPr>
                <w:b/>
                <w:color w:val="231F20"/>
                <w:sz w:val="20"/>
              </w:rPr>
              <w:t>used</w:t>
            </w:r>
          </w:p>
        </w:tc>
        <w:tc>
          <w:tcPr>
            <w:tcW w:w="9005" w:type="dxa"/>
          </w:tcPr>
          <w:p>
            <w:pPr>
              <w:pStyle w:val="TableParagraph"/>
              <w:numPr>
                <w:ilvl w:val="0"/>
                <w:numId w:val="33"/>
              </w:numPr>
              <w:tabs>
                <w:tab w:pos="439" w:val="left" w:leader="none"/>
                <w:tab w:pos="440" w:val="left" w:leader="none"/>
              </w:tabs>
              <w:spacing w:line="243" w:lineRule="exact" w:before="19" w:after="0"/>
              <w:ind w:left="440" w:right="0" w:hanging="360"/>
              <w:jc w:val="left"/>
              <w:rPr>
                <w:sz w:val="11"/>
              </w:rPr>
            </w:pPr>
            <w:r>
              <w:rPr>
                <w:color w:val="231F20"/>
                <w:sz w:val="20"/>
              </w:rPr>
              <w:t>Telephone</w:t>
            </w:r>
            <w:r>
              <w:rPr>
                <w:color w:val="231F20"/>
                <w:position w:val="7"/>
                <w:sz w:val="11"/>
              </w:rPr>
              <w:t>49,</w:t>
            </w:r>
            <w:r>
              <w:rPr>
                <w:color w:val="231F20"/>
                <w:spacing w:val="-2"/>
                <w:position w:val="7"/>
                <w:sz w:val="11"/>
              </w:rPr>
              <w:t> </w:t>
            </w:r>
            <w:r>
              <w:rPr>
                <w:color w:val="231F20"/>
                <w:position w:val="7"/>
                <w:sz w:val="11"/>
              </w:rPr>
              <w:t>50</w:t>
            </w:r>
          </w:p>
          <w:p>
            <w:pPr>
              <w:pStyle w:val="TableParagraph"/>
              <w:numPr>
                <w:ilvl w:val="0"/>
                <w:numId w:val="33"/>
              </w:numPr>
              <w:tabs>
                <w:tab w:pos="439" w:val="left" w:leader="none"/>
                <w:tab w:pos="440" w:val="left" w:leader="none"/>
              </w:tabs>
              <w:spacing w:line="243" w:lineRule="exact" w:before="0" w:after="0"/>
              <w:ind w:left="440" w:right="0" w:hanging="360"/>
              <w:jc w:val="left"/>
              <w:rPr>
                <w:sz w:val="11"/>
              </w:rPr>
            </w:pPr>
            <w:r>
              <w:rPr>
                <w:color w:val="231F20"/>
                <w:sz w:val="20"/>
              </w:rPr>
              <w:t>Computer-based online</w:t>
            </w:r>
            <w:r>
              <w:rPr>
                <w:color w:val="231F20"/>
                <w:spacing w:val="1"/>
                <w:sz w:val="20"/>
              </w:rPr>
              <w:t> </w:t>
            </w:r>
            <w:r>
              <w:rPr>
                <w:color w:val="231F20"/>
                <w:sz w:val="20"/>
              </w:rPr>
              <w:t>program</w:t>
            </w:r>
            <w:r>
              <w:rPr>
                <w:color w:val="231F20"/>
                <w:spacing w:val="1"/>
                <w:sz w:val="20"/>
              </w:rPr>
              <w:t> </w:t>
            </w:r>
            <w:r>
              <w:rPr>
                <w:color w:val="231F20"/>
                <w:sz w:val="20"/>
              </w:rPr>
              <w:t>facilitated</w:t>
            </w:r>
            <w:r>
              <w:rPr>
                <w:color w:val="231F20"/>
                <w:spacing w:val="1"/>
                <w:sz w:val="20"/>
              </w:rPr>
              <w:t> </w:t>
            </w:r>
            <w:r>
              <w:rPr>
                <w:color w:val="231F20"/>
                <w:sz w:val="20"/>
              </w:rPr>
              <w:t>by</w:t>
            </w:r>
            <w:r>
              <w:rPr>
                <w:color w:val="231F20"/>
                <w:spacing w:val="1"/>
                <w:sz w:val="20"/>
              </w:rPr>
              <w:t> </w:t>
            </w:r>
            <w:r>
              <w:rPr>
                <w:color w:val="231F20"/>
                <w:sz w:val="20"/>
              </w:rPr>
              <w:t>a</w:t>
            </w:r>
            <w:r>
              <w:rPr>
                <w:color w:val="231F20"/>
                <w:spacing w:val="1"/>
                <w:sz w:val="20"/>
              </w:rPr>
              <w:t> </w:t>
            </w:r>
            <w:r>
              <w:rPr>
                <w:color w:val="231F20"/>
                <w:sz w:val="20"/>
              </w:rPr>
              <w:t>therapist</w:t>
            </w:r>
            <w:r>
              <w:rPr>
                <w:color w:val="231F20"/>
                <w:position w:val="7"/>
                <w:sz w:val="11"/>
              </w:rPr>
              <w:t>51</w:t>
            </w:r>
          </w:p>
        </w:tc>
      </w:tr>
      <w:tr>
        <w:trPr>
          <w:trHeight w:val="1048" w:hRule="atLeast"/>
        </w:trPr>
        <w:tc>
          <w:tcPr>
            <w:tcW w:w="1910" w:type="dxa"/>
          </w:tcPr>
          <w:p>
            <w:pPr>
              <w:pStyle w:val="TableParagraph"/>
              <w:spacing w:line="249" w:lineRule="auto" w:before="33"/>
              <w:ind w:left="80" w:right="533"/>
              <w:rPr>
                <w:b/>
                <w:sz w:val="20"/>
              </w:rPr>
            </w:pPr>
            <w:r>
              <w:rPr>
                <w:b/>
                <w:color w:val="231F20"/>
                <w:sz w:val="20"/>
              </w:rPr>
              <w:t>Intensity,</w:t>
            </w:r>
            <w:r>
              <w:rPr>
                <w:b/>
                <w:color w:val="231F20"/>
                <w:spacing w:val="1"/>
                <w:sz w:val="20"/>
              </w:rPr>
              <w:t> </w:t>
            </w:r>
            <w:r>
              <w:rPr>
                <w:b/>
                <w:color w:val="231F20"/>
                <w:sz w:val="20"/>
              </w:rPr>
              <w:t>duration, and</w:t>
            </w:r>
            <w:r>
              <w:rPr>
                <w:b/>
                <w:color w:val="231F20"/>
                <w:spacing w:val="-54"/>
                <w:sz w:val="20"/>
              </w:rPr>
              <w:t> </w:t>
            </w:r>
            <w:r>
              <w:rPr>
                <w:b/>
                <w:color w:val="231F20"/>
                <w:sz w:val="20"/>
              </w:rPr>
              <w:t>frequency</w:t>
            </w:r>
          </w:p>
        </w:tc>
        <w:tc>
          <w:tcPr>
            <w:tcW w:w="9005" w:type="dxa"/>
          </w:tcPr>
          <w:p>
            <w:pPr>
              <w:pStyle w:val="TableParagraph"/>
              <w:numPr>
                <w:ilvl w:val="0"/>
                <w:numId w:val="34"/>
              </w:numPr>
              <w:tabs>
                <w:tab w:pos="439" w:val="left" w:leader="none"/>
                <w:tab w:pos="440" w:val="left" w:leader="none"/>
              </w:tabs>
              <w:spacing w:line="240" w:lineRule="auto" w:before="19" w:after="0"/>
              <w:ind w:left="440" w:right="0" w:hanging="360"/>
              <w:jc w:val="left"/>
              <w:rPr>
                <w:sz w:val="20"/>
              </w:rPr>
            </w:pPr>
            <w:r>
              <w:rPr>
                <w:color w:val="231F20"/>
                <w:sz w:val="20"/>
              </w:rPr>
              <w:t>Participants</w:t>
            </w:r>
            <w:r>
              <w:rPr>
                <w:color w:val="231F20"/>
                <w:spacing w:val="-4"/>
                <w:sz w:val="20"/>
              </w:rPr>
              <w:t> </w:t>
            </w:r>
            <w:r>
              <w:rPr>
                <w:color w:val="231F20"/>
                <w:sz w:val="20"/>
              </w:rPr>
              <w:t>were</w:t>
            </w:r>
            <w:r>
              <w:rPr>
                <w:color w:val="231F20"/>
                <w:spacing w:val="-4"/>
                <w:sz w:val="20"/>
              </w:rPr>
              <w:t> </w:t>
            </w:r>
            <w:r>
              <w:rPr>
                <w:color w:val="231F20"/>
                <w:sz w:val="20"/>
              </w:rPr>
              <w:t>offered</w:t>
            </w:r>
            <w:r>
              <w:rPr>
                <w:color w:val="231F20"/>
                <w:spacing w:val="-4"/>
                <w:sz w:val="20"/>
              </w:rPr>
              <w:t> </w:t>
            </w:r>
            <w:r>
              <w:rPr>
                <w:color w:val="231F20"/>
                <w:sz w:val="20"/>
              </w:rPr>
              <w:t>8</w:t>
            </w:r>
            <w:r>
              <w:rPr>
                <w:color w:val="231F20"/>
                <w:spacing w:val="-5"/>
                <w:sz w:val="20"/>
              </w:rPr>
              <w:t> </w:t>
            </w:r>
            <w:r>
              <w:rPr>
                <w:color w:val="231F20"/>
                <w:sz w:val="20"/>
              </w:rPr>
              <w:t>to</w:t>
            </w:r>
            <w:r>
              <w:rPr>
                <w:color w:val="231F20"/>
                <w:spacing w:val="-3"/>
                <w:sz w:val="20"/>
              </w:rPr>
              <w:t> </w:t>
            </w:r>
            <w:r>
              <w:rPr>
                <w:color w:val="231F20"/>
                <w:sz w:val="20"/>
              </w:rPr>
              <w:t>18</w:t>
            </w:r>
            <w:r>
              <w:rPr>
                <w:color w:val="231F20"/>
                <w:spacing w:val="-4"/>
                <w:sz w:val="20"/>
              </w:rPr>
              <w:t> </w:t>
            </w:r>
            <w:r>
              <w:rPr>
                <w:color w:val="231F20"/>
                <w:sz w:val="20"/>
              </w:rPr>
              <w:t>sessions</w:t>
            </w:r>
            <w:r>
              <w:rPr>
                <w:color w:val="231F20"/>
                <w:spacing w:val="-4"/>
                <w:sz w:val="20"/>
              </w:rPr>
              <w:t> </w:t>
            </w:r>
            <w:r>
              <w:rPr>
                <w:color w:val="231F20"/>
                <w:sz w:val="20"/>
              </w:rPr>
              <w:t>of</w:t>
            </w:r>
            <w:r>
              <w:rPr>
                <w:color w:val="231F20"/>
                <w:spacing w:val="-4"/>
                <w:sz w:val="20"/>
              </w:rPr>
              <w:t> </w:t>
            </w:r>
            <w:r>
              <w:rPr>
                <w:color w:val="231F20"/>
                <w:sz w:val="20"/>
              </w:rPr>
              <w:t>CBT;</w:t>
            </w:r>
            <w:r>
              <w:rPr>
                <w:color w:val="231F20"/>
                <w:spacing w:val="-3"/>
                <w:sz w:val="20"/>
              </w:rPr>
              <w:t> </w:t>
            </w:r>
            <w:r>
              <w:rPr>
                <w:color w:val="231F20"/>
                <w:sz w:val="20"/>
              </w:rPr>
              <w:t>sessions</w:t>
            </w:r>
            <w:r>
              <w:rPr>
                <w:color w:val="231F20"/>
                <w:spacing w:val="-4"/>
                <w:sz w:val="20"/>
              </w:rPr>
              <w:t> </w:t>
            </w:r>
            <w:r>
              <w:rPr>
                <w:color w:val="231F20"/>
                <w:sz w:val="20"/>
              </w:rPr>
              <w:t>(offered</w:t>
            </w:r>
            <w:r>
              <w:rPr>
                <w:color w:val="231F20"/>
                <w:spacing w:val="-3"/>
                <w:sz w:val="20"/>
              </w:rPr>
              <w:t> </w:t>
            </w:r>
            <w:r>
              <w:rPr>
                <w:color w:val="231F20"/>
                <w:sz w:val="20"/>
              </w:rPr>
              <w:t>in</w:t>
            </w:r>
            <w:r>
              <w:rPr>
                <w:color w:val="231F20"/>
                <w:spacing w:val="-4"/>
                <w:sz w:val="20"/>
              </w:rPr>
              <w:t> </w:t>
            </w:r>
            <w:r>
              <w:rPr>
                <w:color w:val="231F20"/>
                <w:sz w:val="20"/>
              </w:rPr>
              <w:t>both</w:t>
            </w:r>
            <w:r>
              <w:rPr>
                <w:color w:val="231F20"/>
                <w:spacing w:val="-5"/>
                <w:sz w:val="20"/>
              </w:rPr>
              <w:t> </w:t>
            </w:r>
            <w:r>
              <w:rPr>
                <w:color w:val="231F20"/>
                <w:sz w:val="20"/>
              </w:rPr>
              <w:t>English</w:t>
            </w:r>
            <w:r>
              <w:rPr>
                <w:color w:val="231F20"/>
                <w:spacing w:val="-3"/>
                <w:sz w:val="20"/>
              </w:rPr>
              <w:t> </w:t>
            </w:r>
            <w:r>
              <w:rPr>
                <w:color w:val="231F20"/>
                <w:sz w:val="20"/>
              </w:rPr>
              <w:t>and</w:t>
            </w:r>
          </w:p>
          <w:p>
            <w:pPr>
              <w:pStyle w:val="TableParagraph"/>
              <w:spacing w:line="228" w:lineRule="exact" w:before="9"/>
              <w:rPr>
                <w:sz w:val="11"/>
              </w:rPr>
            </w:pPr>
            <w:r>
              <w:rPr>
                <w:color w:val="231F20"/>
                <w:sz w:val="20"/>
              </w:rPr>
              <w:t>Spanish)</w:t>
            </w:r>
            <w:r>
              <w:rPr>
                <w:color w:val="231F20"/>
                <w:spacing w:val="1"/>
                <w:sz w:val="20"/>
              </w:rPr>
              <w:t> </w:t>
            </w:r>
            <w:r>
              <w:rPr>
                <w:color w:val="231F20"/>
                <w:sz w:val="20"/>
              </w:rPr>
              <w:t>were</w:t>
            </w:r>
            <w:r>
              <w:rPr>
                <w:color w:val="231F20"/>
                <w:spacing w:val="2"/>
                <w:sz w:val="20"/>
              </w:rPr>
              <w:t> </w:t>
            </w:r>
            <w:r>
              <w:rPr>
                <w:color w:val="231F20"/>
                <w:sz w:val="20"/>
              </w:rPr>
              <w:t>designed</w:t>
            </w:r>
            <w:r>
              <w:rPr>
                <w:color w:val="231F20"/>
                <w:spacing w:val="1"/>
                <w:sz w:val="20"/>
              </w:rPr>
              <w:t> </w:t>
            </w:r>
            <w:r>
              <w:rPr>
                <w:color w:val="231F20"/>
                <w:sz w:val="20"/>
              </w:rPr>
              <w:t>to</w:t>
            </w:r>
            <w:r>
              <w:rPr>
                <w:color w:val="231F20"/>
                <w:spacing w:val="2"/>
                <w:sz w:val="20"/>
              </w:rPr>
              <w:t> </w:t>
            </w:r>
            <w:r>
              <w:rPr>
                <w:color w:val="231F20"/>
                <w:sz w:val="20"/>
              </w:rPr>
              <w:t>be</w:t>
            </w:r>
            <w:r>
              <w:rPr>
                <w:color w:val="231F20"/>
                <w:spacing w:val="2"/>
                <w:sz w:val="20"/>
              </w:rPr>
              <w:t> </w:t>
            </w:r>
            <w:r>
              <w:rPr>
                <w:color w:val="231F20"/>
                <w:sz w:val="20"/>
              </w:rPr>
              <w:t>45</w:t>
            </w:r>
            <w:r>
              <w:rPr>
                <w:color w:val="231F20"/>
                <w:spacing w:val="1"/>
                <w:sz w:val="20"/>
              </w:rPr>
              <w:t> </w:t>
            </w:r>
            <w:r>
              <w:rPr>
                <w:color w:val="231F20"/>
                <w:sz w:val="20"/>
              </w:rPr>
              <w:t>to</w:t>
            </w:r>
            <w:r>
              <w:rPr>
                <w:color w:val="231F20"/>
                <w:spacing w:val="2"/>
                <w:sz w:val="20"/>
              </w:rPr>
              <w:t> </w:t>
            </w:r>
            <w:r>
              <w:rPr>
                <w:color w:val="231F20"/>
                <w:sz w:val="20"/>
              </w:rPr>
              <w:t>50</w:t>
            </w:r>
            <w:r>
              <w:rPr>
                <w:color w:val="231F20"/>
                <w:spacing w:val="1"/>
                <w:sz w:val="20"/>
              </w:rPr>
              <w:t> </w:t>
            </w:r>
            <w:r>
              <w:rPr>
                <w:color w:val="231F20"/>
                <w:sz w:val="20"/>
              </w:rPr>
              <w:t>minutes</w:t>
            </w:r>
            <w:r>
              <w:rPr>
                <w:color w:val="231F20"/>
                <w:position w:val="7"/>
                <w:sz w:val="11"/>
              </w:rPr>
              <w:t>49,</w:t>
            </w:r>
            <w:r>
              <w:rPr>
                <w:color w:val="231F20"/>
                <w:spacing w:val="2"/>
                <w:position w:val="7"/>
                <w:sz w:val="11"/>
              </w:rPr>
              <w:t> </w:t>
            </w:r>
            <w:r>
              <w:rPr>
                <w:color w:val="231F20"/>
                <w:position w:val="7"/>
                <w:sz w:val="11"/>
              </w:rPr>
              <w:t>50</w:t>
            </w:r>
          </w:p>
          <w:p>
            <w:pPr>
              <w:pStyle w:val="TableParagraph"/>
              <w:numPr>
                <w:ilvl w:val="0"/>
                <w:numId w:val="34"/>
              </w:numPr>
              <w:tabs>
                <w:tab w:pos="439" w:val="left" w:leader="none"/>
                <w:tab w:pos="440" w:val="left" w:leader="none"/>
              </w:tabs>
              <w:spacing w:line="247" w:lineRule="auto" w:before="0" w:after="0"/>
              <w:ind w:left="440" w:right="219" w:hanging="360"/>
              <w:jc w:val="left"/>
              <w:rPr>
                <w:sz w:val="11"/>
              </w:rPr>
            </w:pPr>
            <w:r>
              <w:rPr>
                <w:color w:val="231F20"/>
                <w:sz w:val="20"/>
              </w:rPr>
              <w:t>Through</w:t>
            </w:r>
            <w:r>
              <w:rPr>
                <w:color w:val="231F20"/>
                <w:spacing w:val="-2"/>
                <w:sz w:val="20"/>
              </w:rPr>
              <w:t> </w:t>
            </w:r>
            <w:r>
              <w:rPr>
                <w:color w:val="231F20"/>
                <w:sz w:val="20"/>
              </w:rPr>
              <w:t>an</w:t>
            </w:r>
            <w:r>
              <w:rPr>
                <w:color w:val="231F20"/>
                <w:spacing w:val="-1"/>
                <w:sz w:val="20"/>
              </w:rPr>
              <w:t> </w:t>
            </w:r>
            <w:r>
              <w:rPr>
                <w:color w:val="231F20"/>
                <w:sz w:val="20"/>
              </w:rPr>
              <w:t>online,</w:t>
            </w:r>
            <w:r>
              <w:rPr>
                <w:color w:val="231F20"/>
                <w:spacing w:val="-2"/>
                <w:sz w:val="20"/>
              </w:rPr>
              <w:t> </w:t>
            </w:r>
            <w:r>
              <w:rPr>
                <w:color w:val="231F20"/>
                <w:sz w:val="20"/>
              </w:rPr>
              <w:t>therapist-facilitated</w:t>
            </w:r>
            <w:r>
              <w:rPr>
                <w:color w:val="231F20"/>
                <w:spacing w:val="-1"/>
                <w:sz w:val="20"/>
              </w:rPr>
              <w:t> </w:t>
            </w:r>
            <w:r>
              <w:rPr>
                <w:color w:val="231F20"/>
                <w:sz w:val="20"/>
              </w:rPr>
              <w:t>CBT</w:t>
            </w:r>
            <w:r>
              <w:rPr>
                <w:color w:val="231F20"/>
                <w:spacing w:val="-6"/>
                <w:sz w:val="20"/>
              </w:rPr>
              <w:t> </w:t>
            </w:r>
            <w:r>
              <w:rPr>
                <w:color w:val="231F20"/>
                <w:sz w:val="20"/>
              </w:rPr>
              <w:t>program,</w:t>
            </w:r>
            <w:r>
              <w:rPr>
                <w:color w:val="231F20"/>
                <w:spacing w:val="-1"/>
                <w:sz w:val="20"/>
              </w:rPr>
              <w:t> </w:t>
            </w:r>
            <w:r>
              <w:rPr>
                <w:color w:val="231F20"/>
                <w:sz w:val="20"/>
              </w:rPr>
              <w:t>clients</w:t>
            </w:r>
            <w:r>
              <w:rPr>
                <w:color w:val="231F20"/>
                <w:spacing w:val="-2"/>
                <w:sz w:val="20"/>
              </w:rPr>
              <w:t> </w:t>
            </w:r>
            <w:r>
              <w:rPr>
                <w:color w:val="231F20"/>
                <w:sz w:val="20"/>
              </w:rPr>
              <w:t>completed</w:t>
            </w:r>
            <w:r>
              <w:rPr>
                <w:color w:val="231F20"/>
                <w:spacing w:val="-1"/>
                <w:sz w:val="20"/>
              </w:rPr>
              <w:t> </w:t>
            </w:r>
            <w:r>
              <w:rPr>
                <w:color w:val="231F20"/>
                <w:sz w:val="20"/>
              </w:rPr>
              <w:t>nine</w:t>
            </w:r>
            <w:r>
              <w:rPr>
                <w:color w:val="231F20"/>
                <w:spacing w:val="-2"/>
                <w:sz w:val="20"/>
              </w:rPr>
              <w:t> </w:t>
            </w:r>
            <w:r>
              <w:rPr>
                <w:color w:val="231F20"/>
                <w:sz w:val="20"/>
              </w:rPr>
              <w:t>modules</w:t>
            </w:r>
            <w:r>
              <w:rPr>
                <w:color w:val="231F20"/>
                <w:spacing w:val="-1"/>
                <w:sz w:val="20"/>
              </w:rPr>
              <w:t> </w:t>
            </w:r>
            <w:r>
              <w:rPr>
                <w:color w:val="231F20"/>
                <w:sz w:val="20"/>
              </w:rPr>
              <w:t>over</w:t>
            </w:r>
            <w:r>
              <w:rPr>
                <w:color w:val="231F20"/>
                <w:spacing w:val="-2"/>
                <w:sz w:val="20"/>
              </w:rPr>
              <w:t> </w:t>
            </w:r>
            <w:r>
              <w:rPr>
                <w:color w:val="231F20"/>
                <w:sz w:val="20"/>
              </w:rPr>
              <w:t>the</w:t>
            </w:r>
            <w:r>
              <w:rPr>
                <w:color w:val="231F20"/>
                <w:spacing w:val="-52"/>
                <w:sz w:val="20"/>
              </w:rPr>
              <w:t> </w:t>
            </w:r>
            <w:r>
              <w:rPr>
                <w:color w:val="231F20"/>
                <w:sz w:val="20"/>
              </w:rPr>
              <w:t>course of 14 weeks</w:t>
            </w:r>
            <w:r>
              <w:rPr>
                <w:color w:val="231F20"/>
                <w:position w:val="7"/>
                <w:sz w:val="11"/>
              </w:rPr>
              <w:t>51</w:t>
            </w:r>
          </w:p>
        </w:tc>
      </w:tr>
      <w:tr>
        <w:trPr>
          <w:trHeight w:val="1818" w:hRule="atLeast"/>
        </w:trPr>
        <w:tc>
          <w:tcPr>
            <w:tcW w:w="1910" w:type="dxa"/>
          </w:tcPr>
          <w:p>
            <w:pPr>
              <w:pStyle w:val="TableParagraph"/>
              <w:spacing w:line="249" w:lineRule="auto" w:before="33"/>
              <w:ind w:left="80" w:right="106"/>
              <w:rPr>
                <w:b/>
                <w:sz w:val="20"/>
              </w:rPr>
            </w:pPr>
            <w:r>
              <w:rPr>
                <w:b/>
                <w:color w:val="231F20"/>
                <w:sz w:val="20"/>
              </w:rPr>
              <w:t>Lessons learned</w:t>
            </w:r>
            <w:r>
              <w:rPr>
                <w:b/>
                <w:color w:val="231F20"/>
                <w:spacing w:val="1"/>
                <w:sz w:val="20"/>
              </w:rPr>
              <w:t> </w:t>
            </w:r>
            <w:r>
              <w:rPr>
                <w:b/>
                <w:color w:val="231F20"/>
                <w:sz w:val="20"/>
              </w:rPr>
              <w:t>transitioning from</w:t>
            </w:r>
            <w:r>
              <w:rPr>
                <w:b/>
                <w:color w:val="231F20"/>
                <w:spacing w:val="-54"/>
                <w:sz w:val="20"/>
              </w:rPr>
              <w:t> </w:t>
            </w:r>
            <w:r>
              <w:rPr>
                <w:b/>
                <w:color w:val="231F20"/>
                <w:sz w:val="20"/>
              </w:rPr>
              <w:t>in-person care to</w:t>
            </w:r>
            <w:r>
              <w:rPr>
                <w:b/>
                <w:color w:val="231F20"/>
                <w:spacing w:val="1"/>
                <w:sz w:val="20"/>
              </w:rPr>
              <w:t> </w:t>
            </w:r>
            <w:r>
              <w:rPr>
                <w:b/>
                <w:color w:val="231F20"/>
                <w:sz w:val="20"/>
              </w:rPr>
              <w:t>telehealth</w:t>
            </w:r>
          </w:p>
        </w:tc>
        <w:tc>
          <w:tcPr>
            <w:tcW w:w="9005" w:type="dxa"/>
          </w:tcPr>
          <w:p>
            <w:pPr>
              <w:pStyle w:val="TableParagraph"/>
              <w:numPr>
                <w:ilvl w:val="0"/>
                <w:numId w:val="35"/>
              </w:numPr>
              <w:tabs>
                <w:tab w:pos="439" w:val="left" w:leader="none"/>
                <w:tab w:pos="441" w:val="left" w:leader="none"/>
              </w:tabs>
              <w:spacing w:line="243" w:lineRule="exact" w:before="19" w:after="0"/>
              <w:ind w:left="440" w:right="0" w:hanging="361"/>
              <w:jc w:val="left"/>
              <w:rPr>
                <w:sz w:val="11"/>
              </w:rPr>
            </w:pPr>
            <w:r>
              <w:rPr>
                <w:color w:val="231F20"/>
                <w:sz w:val="20"/>
              </w:rPr>
              <w:t>Lack</w:t>
            </w:r>
            <w:r>
              <w:rPr>
                <w:color w:val="231F20"/>
                <w:spacing w:val="-3"/>
                <w:sz w:val="20"/>
              </w:rPr>
              <w:t> </w:t>
            </w:r>
            <w:r>
              <w:rPr>
                <w:color w:val="231F20"/>
                <w:sz w:val="20"/>
              </w:rPr>
              <w:t>of</w:t>
            </w:r>
            <w:r>
              <w:rPr>
                <w:color w:val="231F20"/>
                <w:spacing w:val="-3"/>
                <w:sz w:val="20"/>
              </w:rPr>
              <w:t> </w:t>
            </w:r>
            <w:r>
              <w:rPr>
                <w:color w:val="231F20"/>
                <w:sz w:val="20"/>
              </w:rPr>
              <w:t>telephones</w:t>
            </w:r>
            <w:r>
              <w:rPr>
                <w:color w:val="231F20"/>
                <w:spacing w:val="-2"/>
                <w:sz w:val="20"/>
              </w:rPr>
              <w:t> </w:t>
            </w:r>
            <w:r>
              <w:rPr>
                <w:color w:val="231F20"/>
                <w:sz w:val="20"/>
              </w:rPr>
              <w:t>was</w:t>
            </w:r>
            <w:r>
              <w:rPr>
                <w:color w:val="231F20"/>
                <w:spacing w:val="-3"/>
                <w:sz w:val="20"/>
              </w:rPr>
              <w:t> </w:t>
            </w:r>
            <w:r>
              <w:rPr>
                <w:color w:val="231F20"/>
                <w:sz w:val="20"/>
              </w:rPr>
              <w:t>not</w:t>
            </w:r>
            <w:r>
              <w:rPr>
                <w:color w:val="231F20"/>
                <w:spacing w:val="-3"/>
                <w:sz w:val="20"/>
              </w:rPr>
              <w:t> </w:t>
            </w:r>
            <w:r>
              <w:rPr>
                <w:color w:val="231F20"/>
                <w:sz w:val="20"/>
              </w:rPr>
              <w:t>a</w:t>
            </w:r>
            <w:r>
              <w:rPr>
                <w:color w:val="231F20"/>
                <w:spacing w:val="-2"/>
                <w:sz w:val="20"/>
              </w:rPr>
              <w:t> </w:t>
            </w:r>
            <w:r>
              <w:rPr>
                <w:color w:val="231F20"/>
                <w:sz w:val="20"/>
              </w:rPr>
              <w:t>significant</w:t>
            </w:r>
            <w:r>
              <w:rPr>
                <w:color w:val="231F20"/>
                <w:spacing w:val="-2"/>
                <w:sz w:val="20"/>
              </w:rPr>
              <w:t> </w:t>
            </w:r>
            <w:r>
              <w:rPr>
                <w:color w:val="231F20"/>
                <w:sz w:val="20"/>
              </w:rPr>
              <w:t>barrier</w:t>
            </w:r>
            <w:r>
              <w:rPr>
                <w:color w:val="231F20"/>
                <w:spacing w:val="-3"/>
                <w:sz w:val="20"/>
              </w:rPr>
              <w:t> </w:t>
            </w:r>
            <w:r>
              <w:rPr>
                <w:color w:val="231F20"/>
                <w:sz w:val="20"/>
              </w:rPr>
              <w:t>to</w:t>
            </w:r>
            <w:r>
              <w:rPr>
                <w:color w:val="231F20"/>
                <w:spacing w:val="-2"/>
                <w:sz w:val="20"/>
              </w:rPr>
              <w:t> </w:t>
            </w:r>
            <w:r>
              <w:rPr>
                <w:color w:val="231F20"/>
                <w:sz w:val="20"/>
              </w:rPr>
              <w:t>participation</w:t>
            </w:r>
            <w:r>
              <w:rPr>
                <w:color w:val="231F20"/>
                <w:position w:val="7"/>
                <w:sz w:val="11"/>
              </w:rPr>
              <w:t>50</w:t>
            </w:r>
          </w:p>
          <w:p>
            <w:pPr>
              <w:pStyle w:val="TableParagraph"/>
              <w:numPr>
                <w:ilvl w:val="0"/>
                <w:numId w:val="35"/>
              </w:numPr>
              <w:tabs>
                <w:tab w:pos="439" w:val="left" w:leader="none"/>
                <w:tab w:pos="440" w:val="left" w:leader="none"/>
              </w:tabs>
              <w:spacing w:line="247" w:lineRule="auto" w:before="0" w:after="0"/>
              <w:ind w:left="440" w:right="263" w:hanging="360"/>
              <w:jc w:val="left"/>
              <w:rPr>
                <w:sz w:val="11"/>
              </w:rPr>
            </w:pPr>
            <w:r>
              <w:rPr>
                <w:color w:val="231F20"/>
                <w:sz w:val="20"/>
              </w:rPr>
              <w:t>Providing</w:t>
            </w:r>
            <w:r>
              <w:rPr>
                <w:color w:val="231F20"/>
                <w:spacing w:val="-2"/>
                <w:sz w:val="20"/>
              </w:rPr>
              <w:t> </w:t>
            </w:r>
            <w:r>
              <w:rPr>
                <w:color w:val="231F20"/>
                <w:sz w:val="20"/>
              </w:rPr>
              <w:t>culturally</w:t>
            </w:r>
            <w:r>
              <w:rPr>
                <w:color w:val="231F20"/>
                <w:spacing w:val="-1"/>
                <w:sz w:val="20"/>
              </w:rPr>
              <w:t> </w:t>
            </w:r>
            <w:r>
              <w:rPr>
                <w:color w:val="231F20"/>
                <w:sz w:val="20"/>
              </w:rPr>
              <w:t>tailored</w:t>
            </w:r>
            <w:r>
              <w:rPr>
                <w:color w:val="231F20"/>
                <w:spacing w:val="-1"/>
                <w:sz w:val="20"/>
              </w:rPr>
              <w:t> </w:t>
            </w:r>
            <w:r>
              <w:rPr>
                <w:color w:val="231F20"/>
                <w:sz w:val="20"/>
              </w:rPr>
              <w:t>CBT</w:t>
            </w:r>
            <w:r>
              <w:rPr>
                <w:color w:val="231F20"/>
                <w:spacing w:val="-5"/>
                <w:sz w:val="20"/>
              </w:rPr>
              <w:t> </w:t>
            </w:r>
            <w:r>
              <w:rPr>
                <w:color w:val="231F20"/>
                <w:sz w:val="20"/>
              </w:rPr>
              <w:t>via</w:t>
            </w:r>
            <w:r>
              <w:rPr>
                <w:color w:val="231F20"/>
                <w:spacing w:val="-1"/>
                <w:sz w:val="20"/>
              </w:rPr>
              <w:t> </w:t>
            </w:r>
            <w:r>
              <w:rPr>
                <w:color w:val="231F20"/>
                <w:sz w:val="20"/>
              </w:rPr>
              <w:t>telephone</w:t>
            </w:r>
            <w:r>
              <w:rPr>
                <w:color w:val="231F20"/>
                <w:spacing w:val="-1"/>
                <w:sz w:val="20"/>
              </w:rPr>
              <w:t> </w:t>
            </w:r>
            <w:r>
              <w:rPr>
                <w:color w:val="231F20"/>
                <w:sz w:val="20"/>
              </w:rPr>
              <w:t>has</w:t>
            </w:r>
            <w:r>
              <w:rPr>
                <w:color w:val="231F20"/>
                <w:spacing w:val="-2"/>
                <w:sz w:val="20"/>
              </w:rPr>
              <w:t> </w:t>
            </w:r>
            <w:r>
              <w:rPr>
                <w:color w:val="231F20"/>
                <w:sz w:val="20"/>
              </w:rPr>
              <w:t>the</w:t>
            </w:r>
            <w:r>
              <w:rPr>
                <w:color w:val="231F20"/>
                <w:spacing w:val="-1"/>
                <w:sz w:val="20"/>
              </w:rPr>
              <w:t> </w:t>
            </w:r>
            <w:r>
              <w:rPr>
                <w:color w:val="231F20"/>
                <w:sz w:val="20"/>
              </w:rPr>
              <w:t>potential</w:t>
            </w:r>
            <w:r>
              <w:rPr>
                <w:color w:val="231F20"/>
                <w:spacing w:val="-1"/>
                <w:sz w:val="20"/>
              </w:rPr>
              <w:t> </w:t>
            </w:r>
            <w:r>
              <w:rPr>
                <w:color w:val="231F20"/>
                <w:sz w:val="20"/>
              </w:rPr>
              <w:t>to</w:t>
            </w:r>
            <w:r>
              <w:rPr>
                <w:color w:val="231F20"/>
                <w:spacing w:val="-1"/>
                <w:sz w:val="20"/>
              </w:rPr>
              <w:t> </w:t>
            </w:r>
            <w:r>
              <w:rPr>
                <w:color w:val="231F20"/>
                <w:sz w:val="20"/>
              </w:rPr>
              <w:t>enhance</w:t>
            </w:r>
            <w:r>
              <w:rPr>
                <w:color w:val="231F20"/>
                <w:spacing w:val="-1"/>
                <w:sz w:val="20"/>
              </w:rPr>
              <w:t> </w:t>
            </w:r>
            <w:r>
              <w:rPr>
                <w:color w:val="231F20"/>
                <w:sz w:val="20"/>
              </w:rPr>
              <w:t>access</w:t>
            </w:r>
            <w:r>
              <w:rPr>
                <w:color w:val="231F20"/>
                <w:spacing w:val="-1"/>
                <w:sz w:val="20"/>
              </w:rPr>
              <w:t> </w:t>
            </w:r>
            <w:r>
              <w:rPr>
                <w:color w:val="231F20"/>
                <w:sz w:val="20"/>
              </w:rPr>
              <w:t>to</w:t>
            </w:r>
            <w:r>
              <w:rPr>
                <w:color w:val="231F20"/>
                <w:spacing w:val="-2"/>
                <w:sz w:val="20"/>
              </w:rPr>
              <w:t> </w:t>
            </w:r>
            <w:r>
              <w:rPr>
                <w:color w:val="231F20"/>
                <w:sz w:val="20"/>
              </w:rPr>
              <w:t>care</w:t>
            </w:r>
            <w:r>
              <w:rPr>
                <w:color w:val="231F20"/>
                <w:spacing w:val="-1"/>
                <w:sz w:val="20"/>
              </w:rPr>
              <w:t> </w:t>
            </w:r>
            <w:r>
              <w:rPr>
                <w:color w:val="231F20"/>
                <w:sz w:val="20"/>
              </w:rPr>
              <w:t>for</w:t>
            </w:r>
            <w:r>
              <w:rPr>
                <w:color w:val="231F20"/>
                <w:spacing w:val="-52"/>
                <w:sz w:val="20"/>
              </w:rPr>
              <w:t> </w:t>
            </w:r>
            <w:r>
              <w:rPr>
                <w:color w:val="231F20"/>
                <w:sz w:val="20"/>
              </w:rPr>
              <w:t>Latinas/Latinos living in rural areas</w:t>
            </w:r>
            <w:r>
              <w:rPr>
                <w:color w:val="231F20"/>
                <w:position w:val="7"/>
                <w:sz w:val="11"/>
              </w:rPr>
              <w:t>50</w:t>
            </w:r>
          </w:p>
          <w:p>
            <w:pPr>
              <w:pStyle w:val="TableParagraph"/>
              <w:numPr>
                <w:ilvl w:val="0"/>
                <w:numId w:val="35"/>
              </w:numPr>
              <w:tabs>
                <w:tab w:pos="439" w:val="left" w:leader="none"/>
                <w:tab w:pos="440" w:val="left" w:leader="none"/>
              </w:tabs>
              <w:spacing w:line="247" w:lineRule="auto" w:before="0" w:after="0"/>
              <w:ind w:left="440" w:right="738" w:hanging="360"/>
              <w:jc w:val="left"/>
              <w:rPr>
                <w:sz w:val="11"/>
              </w:rPr>
            </w:pPr>
            <w:r>
              <w:rPr>
                <w:color w:val="231F20"/>
                <w:sz w:val="20"/>
              </w:rPr>
              <w:t>Providers</w:t>
            </w:r>
            <w:r>
              <w:rPr>
                <w:color w:val="231F20"/>
                <w:spacing w:val="-2"/>
                <w:sz w:val="20"/>
              </w:rPr>
              <w:t> </w:t>
            </w:r>
            <w:r>
              <w:rPr>
                <w:color w:val="231F20"/>
                <w:sz w:val="20"/>
              </w:rPr>
              <w:t>and</w:t>
            </w:r>
            <w:r>
              <w:rPr>
                <w:color w:val="231F20"/>
                <w:spacing w:val="-2"/>
                <w:sz w:val="20"/>
              </w:rPr>
              <w:t> </w:t>
            </w:r>
            <w:r>
              <w:rPr>
                <w:color w:val="231F20"/>
                <w:sz w:val="20"/>
              </w:rPr>
              <w:t>clients</w:t>
            </w:r>
            <w:r>
              <w:rPr>
                <w:color w:val="231F20"/>
                <w:spacing w:val="-1"/>
                <w:sz w:val="20"/>
              </w:rPr>
              <w:t> </w:t>
            </w:r>
            <w:r>
              <w:rPr>
                <w:color w:val="231F20"/>
                <w:sz w:val="20"/>
              </w:rPr>
              <w:t>developed</w:t>
            </w:r>
            <w:r>
              <w:rPr>
                <w:color w:val="231F20"/>
                <w:spacing w:val="-2"/>
                <w:sz w:val="20"/>
              </w:rPr>
              <w:t> </w:t>
            </w:r>
            <w:r>
              <w:rPr>
                <w:color w:val="231F20"/>
                <w:sz w:val="20"/>
              </w:rPr>
              <w:t>a</w:t>
            </w:r>
            <w:r>
              <w:rPr>
                <w:color w:val="231F20"/>
                <w:spacing w:val="-1"/>
                <w:sz w:val="20"/>
              </w:rPr>
              <w:t> </w:t>
            </w:r>
            <w:r>
              <w:rPr>
                <w:color w:val="231F20"/>
                <w:sz w:val="20"/>
              </w:rPr>
              <w:t>strong</w:t>
            </w:r>
            <w:r>
              <w:rPr>
                <w:color w:val="231F20"/>
                <w:spacing w:val="-2"/>
                <w:sz w:val="20"/>
              </w:rPr>
              <w:t> </w:t>
            </w:r>
            <w:r>
              <w:rPr>
                <w:color w:val="231F20"/>
                <w:sz w:val="20"/>
              </w:rPr>
              <w:t>therapeutic</w:t>
            </w:r>
            <w:r>
              <w:rPr>
                <w:color w:val="231F20"/>
                <w:spacing w:val="-1"/>
                <w:sz w:val="20"/>
              </w:rPr>
              <w:t> </w:t>
            </w:r>
            <w:r>
              <w:rPr>
                <w:color w:val="231F20"/>
                <w:sz w:val="20"/>
              </w:rPr>
              <w:t>working</w:t>
            </w:r>
            <w:r>
              <w:rPr>
                <w:color w:val="231F20"/>
                <w:spacing w:val="-2"/>
                <w:sz w:val="20"/>
              </w:rPr>
              <w:t> </w:t>
            </w:r>
            <w:r>
              <w:rPr>
                <w:color w:val="231F20"/>
                <w:sz w:val="20"/>
              </w:rPr>
              <w:t>alliance</w:t>
            </w:r>
            <w:r>
              <w:rPr>
                <w:color w:val="231F20"/>
                <w:spacing w:val="-2"/>
                <w:sz w:val="20"/>
              </w:rPr>
              <w:t> </w:t>
            </w:r>
            <w:r>
              <w:rPr>
                <w:color w:val="231F20"/>
                <w:sz w:val="20"/>
              </w:rPr>
              <w:t>despite</w:t>
            </w:r>
            <w:r>
              <w:rPr>
                <w:color w:val="231F20"/>
                <w:spacing w:val="-1"/>
                <w:sz w:val="20"/>
              </w:rPr>
              <w:t> </w:t>
            </w:r>
            <w:r>
              <w:rPr>
                <w:color w:val="231F20"/>
                <w:sz w:val="20"/>
              </w:rPr>
              <w:t>the</w:t>
            </w:r>
            <w:r>
              <w:rPr>
                <w:color w:val="231F20"/>
                <w:spacing w:val="-2"/>
                <w:sz w:val="20"/>
              </w:rPr>
              <w:t> </w:t>
            </w:r>
            <w:r>
              <w:rPr>
                <w:color w:val="231F20"/>
                <w:sz w:val="20"/>
              </w:rPr>
              <w:t>largely</w:t>
            </w:r>
            <w:r>
              <w:rPr>
                <w:color w:val="231F20"/>
                <w:spacing w:val="-52"/>
                <w:sz w:val="20"/>
              </w:rPr>
              <w:t> </w:t>
            </w:r>
            <w:r>
              <w:rPr>
                <w:color w:val="231F20"/>
                <w:sz w:val="20"/>
              </w:rPr>
              <w:t>asynchronous nature of communication</w:t>
            </w:r>
            <w:r>
              <w:rPr>
                <w:color w:val="231F20"/>
                <w:position w:val="7"/>
                <w:sz w:val="11"/>
              </w:rPr>
              <w:t>51</w:t>
            </w:r>
          </w:p>
          <w:p>
            <w:pPr>
              <w:pStyle w:val="TableParagraph"/>
              <w:numPr>
                <w:ilvl w:val="0"/>
                <w:numId w:val="35"/>
              </w:numPr>
              <w:tabs>
                <w:tab w:pos="439" w:val="left" w:leader="none"/>
                <w:tab w:pos="440" w:val="left" w:leader="none"/>
              </w:tabs>
              <w:spacing w:line="236" w:lineRule="exact" w:before="0" w:after="0"/>
              <w:ind w:left="440" w:right="0" w:hanging="360"/>
              <w:jc w:val="left"/>
              <w:rPr>
                <w:sz w:val="20"/>
              </w:rPr>
            </w:pPr>
            <w:r>
              <w:rPr>
                <w:color w:val="231F20"/>
                <w:sz w:val="20"/>
              </w:rPr>
              <w:t>Future</w:t>
            </w:r>
            <w:r>
              <w:rPr>
                <w:color w:val="231F20"/>
                <w:spacing w:val="-4"/>
                <w:sz w:val="20"/>
              </w:rPr>
              <w:t> </w:t>
            </w:r>
            <w:r>
              <w:rPr>
                <w:color w:val="231F20"/>
                <w:sz w:val="20"/>
              </w:rPr>
              <w:t>research</w:t>
            </w:r>
            <w:r>
              <w:rPr>
                <w:color w:val="231F20"/>
                <w:spacing w:val="-3"/>
                <w:sz w:val="20"/>
              </w:rPr>
              <w:t> </w:t>
            </w:r>
            <w:r>
              <w:rPr>
                <w:color w:val="231F20"/>
                <w:sz w:val="20"/>
              </w:rPr>
              <w:t>is</w:t>
            </w:r>
            <w:r>
              <w:rPr>
                <w:color w:val="231F20"/>
                <w:spacing w:val="-4"/>
                <w:sz w:val="20"/>
              </w:rPr>
              <w:t> </w:t>
            </w:r>
            <w:r>
              <w:rPr>
                <w:color w:val="231F20"/>
                <w:sz w:val="20"/>
              </w:rPr>
              <w:t>needed</w:t>
            </w:r>
            <w:r>
              <w:rPr>
                <w:color w:val="231F20"/>
                <w:spacing w:val="-4"/>
                <w:sz w:val="20"/>
              </w:rPr>
              <w:t> </w:t>
            </w:r>
            <w:r>
              <w:rPr>
                <w:color w:val="231F20"/>
                <w:sz w:val="20"/>
              </w:rPr>
              <w:t>to</w:t>
            </w:r>
            <w:r>
              <w:rPr>
                <w:color w:val="231F20"/>
                <w:spacing w:val="-3"/>
                <w:sz w:val="20"/>
              </w:rPr>
              <w:t> </w:t>
            </w:r>
            <w:r>
              <w:rPr>
                <w:color w:val="231F20"/>
                <w:sz w:val="20"/>
              </w:rPr>
              <w:t>assess</w:t>
            </w:r>
            <w:r>
              <w:rPr>
                <w:color w:val="231F20"/>
                <w:spacing w:val="-4"/>
                <w:sz w:val="20"/>
              </w:rPr>
              <w:t> </w:t>
            </w:r>
            <w:r>
              <w:rPr>
                <w:color w:val="231F20"/>
                <w:sz w:val="20"/>
              </w:rPr>
              <w:t>the</w:t>
            </w:r>
            <w:r>
              <w:rPr>
                <w:color w:val="231F20"/>
                <w:spacing w:val="-3"/>
                <w:sz w:val="20"/>
              </w:rPr>
              <w:t> </w:t>
            </w:r>
            <w:r>
              <w:rPr>
                <w:color w:val="231F20"/>
                <w:sz w:val="20"/>
              </w:rPr>
              <w:t>effectiveness</w:t>
            </w:r>
            <w:r>
              <w:rPr>
                <w:color w:val="231F20"/>
                <w:spacing w:val="-4"/>
                <w:sz w:val="20"/>
              </w:rPr>
              <w:t> </w:t>
            </w:r>
            <w:r>
              <w:rPr>
                <w:color w:val="231F20"/>
                <w:sz w:val="20"/>
              </w:rPr>
              <w:t>of</w:t>
            </w:r>
            <w:r>
              <w:rPr>
                <w:color w:val="231F20"/>
                <w:spacing w:val="-4"/>
                <w:sz w:val="20"/>
              </w:rPr>
              <w:t> </w:t>
            </w:r>
            <w:r>
              <w:rPr>
                <w:color w:val="231F20"/>
                <w:sz w:val="20"/>
              </w:rPr>
              <w:t>delivering</w:t>
            </w:r>
            <w:r>
              <w:rPr>
                <w:color w:val="231F20"/>
                <w:spacing w:val="-4"/>
                <w:sz w:val="20"/>
              </w:rPr>
              <w:t> </w:t>
            </w:r>
            <w:r>
              <w:rPr>
                <w:color w:val="231F20"/>
                <w:sz w:val="20"/>
              </w:rPr>
              <w:t>similar</w:t>
            </w:r>
            <w:r>
              <w:rPr>
                <w:color w:val="231F20"/>
                <w:spacing w:val="-3"/>
                <w:sz w:val="20"/>
              </w:rPr>
              <w:t> </w:t>
            </w:r>
            <w:r>
              <w:rPr>
                <w:color w:val="231F20"/>
                <w:sz w:val="20"/>
              </w:rPr>
              <w:t>therapist-facilitated</w:t>
            </w:r>
          </w:p>
          <w:p>
            <w:pPr>
              <w:pStyle w:val="TableParagraph"/>
              <w:rPr>
                <w:sz w:val="11"/>
              </w:rPr>
            </w:pPr>
            <w:r>
              <w:rPr>
                <w:color w:val="231F20"/>
                <w:sz w:val="20"/>
              </w:rPr>
              <w:t>online programs</w:t>
            </w:r>
            <w:r>
              <w:rPr>
                <w:color w:val="231F20"/>
                <w:spacing w:val="1"/>
                <w:sz w:val="20"/>
              </w:rPr>
              <w:t> </w:t>
            </w:r>
            <w:r>
              <w:rPr>
                <w:color w:val="231F20"/>
                <w:sz w:val="20"/>
              </w:rPr>
              <w:t>to diverse</w:t>
            </w:r>
            <w:r>
              <w:rPr>
                <w:color w:val="231F20"/>
                <w:spacing w:val="1"/>
                <w:sz w:val="20"/>
              </w:rPr>
              <w:t> </w:t>
            </w:r>
            <w:r>
              <w:rPr>
                <w:color w:val="231F20"/>
                <w:sz w:val="20"/>
              </w:rPr>
              <w:t>populations</w:t>
            </w:r>
            <w:r>
              <w:rPr>
                <w:color w:val="231F20"/>
                <w:spacing w:val="1"/>
                <w:sz w:val="20"/>
              </w:rPr>
              <w:t> </w:t>
            </w:r>
            <w:r>
              <w:rPr>
                <w:color w:val="231F20"/>
                <w:sz w:val="20"/>
              </w:rPr>
              <w:t>and in</w:t>
            </w:r>
            <w:r>
              <w:rPr>
                <w:color w:val="231F20"/>
                <w:spacing w:val="1"/>
                <w:sz w:val="20"/>
              </w:rPr>
              <w:t> </w:t>
            </w:r>
            <w:r>
              <w:rPr>
                <w:color w:val="231F20"/>
                <w:sz w:val="20"/>
              </w:rPr>
              <w:t>multiple practice</w:t>
            </w:r>
            <w:r>
              <w:rPr>
                <w:color w:val="231F20"/>
                <w:spacing w:val="1"/>
                <w:sz w:val="20"/>
              </w:rPr>
              <w:t> </w:t>
            </w:r>
            <w:r>
              <w:rPr>
                <w:color w:val="231F20"/>
                <w:sz w:val="20"/>
              </w:rPr>
              <w:t>settings</w:t>
            </w:r>
            <w:r>
              <w:rPr>
                <w:color w:val="231F20"/>
                <w:position w:val="7"/>
                <w:sz w:val="11"/>
              </w:rPr>
              <w:t>51</w:t>
            </w:r>
          </w:p>
        </w:tc>
      </w:tr>
      <w:tr>
        <w:trPr>
          <w:trHeight w:val="394" w:hRule="atLeast"/>
        </w:trPr>
        <w:tc>
          <w:tcPr>
            <w:tcW w:w="10915" w:type="dxa"/>
            <w:gridSpan w:val="2"/>
          </w:tcPr>
          <w:p>
            <w:pPr>
              <w:pStyle w:val="TableParagraph"/>
              <w:spacing w:before="33"/>
              <w:ind w:left="80"/>
              <w:rPr>
                <w:sz w:val="20"/>
              </w:rPr>
            </w:pPr>
            <w:r>
              <w:rPr>
                <w:color w:val="231F20"/>
                <w:sz w:val="20"/>
              </w:rPr>
              <w:t>Four</w:t>
            </w:r>
            <w:r>
              <w:rPr>
                <w:color w:val="231F20"/>
                <w:spacing w:val="-2"/>
                <w:sz w:val="20"/>
              </w:rPr>
              <w:t> </w:t>
            </w:r>
            <w:r>
              <w:rPr>
                <w:color w:val="231F20"/>
                <w:sz w:val="20"/>
              </w:rPr>
              <w:t>studies</w:t>
            </w:r>
            <w:r>
              <w:rPr>
                <w:color w:val="231F20"/>
                <w:spacing w:val="-1"/>
                <w:sz w:val="20"/>
              </w:rPr>
              <w:t> </w:t>
            </w:r>
            <w:r>
              <w:rPr>
                <w:color w:val="231F20"/>
                <w:sz w:val="20"/>
              </w:rPr>
              <w:t>met</w:t>
            </w:r>
            <w:r>
              <w:rPr>
                <w:color w:val="231F20"/>
                <w:spacing w:val="-1"/>
                <w:sz w:val="20"/>
              </w:rPr>
              <w:t> </w:t>
            </w:r>
            <w:r>
              <w:rPr>
                <w:color w:val="231F20"/>
                <w:sz w:val="20"/>
              </w:rPr>
              <w:t>criteria</w:t>
            </w:r>
            <w:r>
              <w:rPr>
                <w:color w:val="231F20"/>
                <w:spacing w:val="-2"/>
                <w:sz w:val="20"/>
              </w:rPr>
              <w:t> </w:t>
            </w:r>
            <w:r>
              <w:rPr>
                <w:color w:val="231F20"/>
                <w:sz w:val="20"/>
              </w:rPr>
              <w:t>for</w:t>
            </w:r>
            <w:r>
              <w:rPr>
                <w:color w:val="231F20"/>
                <w:spacing w:val="-1"/>
                <w:sz w:val="20"/>
              </w:rPr>
              <w:t> </w:t>
            </w:r>
            <w:r>
              <w:rPr>
                <w:color w:val="231F20"/>
                <w:sz w:val="20"/>
              </w:rPr>
              <w:t>review</w:t>
            </w:r>
            <w:r>
              <w:rPr>
                <w:color w:val="231F20"/>
                <w:spacing w:val="-1"/>
                <w:sz w:val="20"/>
              </w:rPr>
              <w:t> </w:t>
            </w:r>
            <w:r>
              <w:rPr>
                <w:color w:val="231F20"/>
                <w:sz w:val="20"/>
              </w:rPr>
              <w:t>(four</w:t>
            </w:r>
            <w:r>
              <w:rPr>
                <w:color w:val="231F20"/>
                <w:spacing w:val="-1"/>
                <w:sz w:val="20"/>
              </w:rPr>
              <w:t> </w:t>
            </w:r>
            <w:r>
              <w:rPr>
                <w:color w:val="231F20"/>
                <w:sz w:val="20"/>
              </w:rPr>
              <w:t>RCTs),</w:t>
            </w:r>
            <w:r>
              <w:rPr>
                <w:color w:val="231F20"/>
                <w:spacing w:val="-2"/>
                <w:sz w:val="20"/>
              </w:rPr>
              <w:t> </w:t>
            </w:r>
            <w:r>
              <w:rPr>
                <w:color w:val="231F20"/>
                <w:sz w:val="20"/>
              </w:rPr>
              <w:t>resulting</w:t>
            </w:r>
            <w:r>
              <w:rPr>
                <w:color w:val="231F20"/>
                <w:spacing w:val="-1"/>
                <w:sz w:val="20"/>
              </w:rPr>
              <w:t> </w:t>
            </w:r>
            <w:r>
              <w:rPr>
                <w:color w:val="231F20"/>
                <w:sz w:val="20"/>
              </w:rPr>
              <w:t>in</w:t>
            </w:r>
            <w:r>
              <w:rPr>
                <w:color w:val="231F20"/>
                <w:spacing w:val="-1"/>
                <w:sz w:val="20"/>
              </w:rPr>
              <w:t> </w:t>
            </w:r>
            <w:r>
              <w:rPr>
                <w:color w:val="231F20"/>
                <w:sz w:val="20"/>
              </w:rPr>
              <w:t>a</w:t>
            </w:r>
            <w:r>
              <w:rPr>
                <w:color w:val="231F20"/>
                <w:spacing w:val="-1"/>
                <w:sz w:val="20"/>
              </w:rPr>
              <w:t> </w:t>
            </w:r>
            <w:r>
              <w:rPr>
                <w:color w:val="231F20"/>
                <w:sz w:val="20"/>
              </w:rPr>
              <w:t>rating</w:t>
            </w:r>
            <w:r>
              <w:rPr>
                <w:color w:val="231F20"/>
                <w:spacing w:val="-2"/>
                <w:sz w:val="20"/>
              </w:rPr>
              <w:t> </w:t>
            </w:r>
            <w:r>
              <w:rPr>
                <w:color w:val="231F20"/>
                <w:sz w:val="20"/>
              </w:rPr>
              <w:t>of</w:t>
            </w:r>
            <w:r>
              <w:rPr>
                <w:color w:val="231F20"/>
                <w:spacing w:val="-1"/>
                <w:sz w:val="20"/>
              </w:rPr>
              <w:t> </w:t>
            </w:r>
            <w:r>
              <w:rPr>
                <w:color w:val="231F20"/>
                <w:sz w:val="20"/>
              </w:rPr>
              <w:t>Strong</w:t>
            </w:r>
            <w:r>
              <w:rPr>
                <w:color w:val="231F20"/>
                <w:spacing w:val="-1"/>
                <w:sz w:val="20"/>
              </w:rPr>
              <w:t> </w:t>
            </w:r>
            <w:r>
              <w:rPr>
                <w:color w:val="231F20"/>
                <w:sz w:val="20"/>
              </w:rPr>
              <w:t>Support</w:t>
            </w:r>
            <w:r>
              <w:rPr>
                <w:color w:val="231F20"/>
                <w:spacing w:val="-1"/>
                <w:sz w:val="20"/>
              </w:rPr>
              <w:t> </w:t>
            </w:r>
            <w:r>
              <w:rPr>
                <w:color w:val="231F20"/>
                <w:sz w:val="20"/>
              </w:rPr>
              <w:t>for</w:t>
            </w:r>
            <w:r>
              <w:rPr>
                <w:color w:val="231F20"/>
                <w:spacing w:val="-2"/>
                <w:sz w:val="20"/>
              </w:rPr>
              <w:t> </w:t>
            </w:r>
            <w:r>
              <w:rPr>
                <w:color w:val="231F20"/>
                <w:sz w:val="20"/>
              </w:rPr>
              <w:t>Causal</w:t>
            </w:r>
            <w:r>
              <w:rPr>
                <w:color w:val="231F20"/>
                <w:spacing w:val="-1"/>
                <w:sz w:val="20"/>
              </w:rPr>
              <w:t> </w:t>
            </w:r>
            <w:r>
              <w:rPr>
                <w:color w:val="231F20"/>
                <w:sz w:val="20"/>
              </w:rPr>
              <w:t>Evidence.</w:t>
            </w:r>
          </w:p>
        </w:tc>
      </w:tr>
    </w:tbl>
    <w:p>
      <w:pPr>
        <w:spacing w:after="0"/>
        <w:rPr>
          <w:sz w:val="20"/>
        </w:rPr>
        <w:sectPr>
          <w:headerReference w:type="default" r:id="rId118"/>
          <w:footerReference w:type="default" r:id="rId119"/>
          <w:pgSz w:w="12240" w:h="15840"/>
          <w:pgMar w:header="0" w:footer="666" w:top="2060" w:bottom="860" w:left="600" w:right="0"/>
        </w:sectPr>
      </w:pPr>
    </w:p>
    <w:p>
      <w:pPr>
        <w:pStyle w:val="BodyText"/>
        <w:spacing w:before="4"/>
        <w:rPr>
          <w:rFonts w:ascii="Arial"/>
          <w:b/>
          <w:sz w:val="15"/>
        </w:rPr>
      </w:pPr>
    </w:p>
    <w:tbl>
      <w:tblPr>
        <w:tblW w:w="0" w:type="auto"/>
        <w:jc w:val="left"/>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910"/>
        <w:gridCol w:w="8880"/>
      </w:tblGrid>
      <w:tr>
        <w:trPr>
          <w:trHeight w:val="1255" w:hRule="atLeast"/>
        </w:trPr>
        <w:tc>
          <w:tcPr>
            <w:tcW w:w="10790" w:type="dxa"/>
            <w:gridSpan w:val="2"/>
          </w:tcPr>
          <w:p>
            <w:pPr>
              <w:pStyle w:val="TableParagraph"/>
              <w:spacing w:line="249" w:lineRule="auto" w:before="33"/>
              <w:ind w:left="80" w:right="14" w:hanging="1"/>
              <w:rPr>
                <w:sz w:val="20"/>
              </w:rPr>
            </w:pPr>
            <w:bookmarkStart w:name="Cognitive Processing Therapy (CPT) via t" w:id="22"/>
            <w:bookmarkEnd w:id="22"/>
            <w:r>
              <w:rPr/>
            </w:r>
            <w:r>
              <w:rPr>
                <w:color w:val="231F20"/>
                <w:sz w:val="20"/>
              </w:rPr>
              <w:t>CPT</w:t>
            </w:r>
            <w:r>
              <w:rPr>
                <w:color w:val="231F20"/>
                <w:spacing w:val="-5"/>
                <w:sz w:val="20"/>
              </w:rPr>
              <w:t> </w:t>
            </w:r>
            <w:r>
              <w:rPr>
                <w:color w:val="231F20"/>
                <w:sz w:val="20"/>
              </w:rPr>
              <w:t>is</w:t>
            </w:r>
            <w:r>
              <w:rPr>
                <w:color w:val="231F20"/>
                <w:spacing w:val="-1"/>
                <w:sz w:val="20"/>
              </w:rPr>
              <w:t> </w:t>
            </w:r>
            <w:r>
              <w:rPr>
                <w:color w:val="231F20"/>
                <w:sz w:val="20"/>
              </w:rPr>
              <w:t>a trauma-focused</w:t>
            </w:r>
            <w:r>
              <w:rPr>
                <w:color w:val="231F20"/>
                <w:spacing w:val="-1"/>
                <w:sz w:val="20"/>
              </w:rPr>
              <w:t> </w:t>
            </w:r>
            <w:r>
              <w:rPr>
                <w:color w:val="231F20"/>
                <w:sz w:val="20"/>
              </w:rPr>
              <w:t>cognitive therapy</w:t>
            </w:r>
            <w:r>
              <w:rPr>
                <w:color w:val="231F20"/>
                <w:spacing w:val="-1"/>
                <w:sz w:val="20"/>
              </w:rPr>
              <w:t> </w:t>
            </w:r>
            <w:r>
              <w:rPr>
                <w:color w:val="231F20"/>
                <w:sz w:val="20"/>
              </w:rPr>
              <w:t>aimed at</w:t>
            </w:r>
            <w:r>
              <w:rPr>
                <w:color w:val="231F20"/>
                <w:spacing w:val="-1"/>
                <w:sz w:val="20"/>
              </w:rPr>
              <w:t> </w:t>
            </w:r>
            <w:r>
              <w:rPr>
                <w:color w:val="231F20"/>
                <w:sz w:val="20"/>
              </w:rPr>
              <w:t>reducing symptoms</w:t>
            </w:r>
            <w:r>
              <w:rPr>
                <w:color w:val="231F20"/>
                <w:spacing w:val="-1"/>
                <w:sz w:val="20"/>
              </w:rPr>
              <w:t> </w:t>
            </w:r>
            <w:r>
              <w:rPr>
                <w:color w:val="231F20"/>
                <w:sz w:val="20"/>
              </w:rPr>
              <w:t>of PTSD.</w:t>
            </w:r>
            <w:r>
              <w:rPr>
                <w:color w:val="231F20"/>
                <w:position w:val="7"/>
                <w:sz w:val="11"/>
              </w:rPr>
              <w:t>52</w:t>
            </w:r>
            <w:r>
              <w:rPr>
                <w:color w:val="231F20"/>
                <w:spacing w:val="24"/>
                <w:position w:val="7"/>
                <w:sz w:val="11"/>
              </w:rPr>
              <w:t> </w:t>
            </w:r>
            <w:r>
              <w:rPr>
                <w:color w:val="231F20"/>
                <w:sz w:val="20"/>
              </w:rPr>
              <w:t>CPT</w:t>
            </w:r>
            <w:r>
              <w:rPr>
                <w:color w:val="231F20"/>
                <w:spacing w:val="-5"/>
                <w:sz w:val="20"/>
              </w:rPr>
              <w:t> </w:t>
            </w:r>
            <w:r>
              <w:rPr>
                <w:color w:val="231F20"/>
                <w:sz w:val="20"/>
              </w:rPr>
              <w:t>has</w:t>
            </w:r>
            <w:r>
              <w:rPr>
                <w:color w:val="231F20"/>
                <w:spacing w:val="-1"/>
                <w:sz w:val="20"/>
              </w:rPr>
              <w:t> </w:t>
            </w:r>
            <w:r>
              <w:rPr>
                <w:color w:val="231F20"/>
                <w:sz w:val="20"/>
              </w:rPr>
              <w:t>been</w:t>
            </w:r>
            <w:r>
              <w:rPr>
                <w:color w:val="231F20"/>
                <w:spacing w:val="-2"/>
                <w:sz w:val="20"/>
              </w:rPr>
              <w:t> </w:t>
            </w:r>
            <w:r>
              <w:rPr>
                <w:color w:val="231F20"/>
                <w:sz w:val="20"/>
              </w:rPr>
              <w:t>found to</w:t>
            </w:r>
            <w:r>
              <w:rPr>
                <w:color w:val="231F20"/>
                <w:spacing w:val="-1"/>
                <w:sz w:val="20"/>
              </w:rPr>
              <w:t> </w:t>
            </w:r>
            <w:r>
              <w:rPr>
                <w:color w:val="231F20"/>
                <w:sz w:val="20"/>
              </w:rPr>
              <w:t>be</w:t>
            </w:r>
            <w:r>
              <w:rPr>
                <w:color w:val="231F20"/>
                <w:spacing w:val="-1"/>
                <w:sz w:val="20"/>
              </w:rPr>
              <w:t> </w:t>
            </w:r>
            <w:r>
              <w:rPr>
                <w:color w:val="231F20"/>
                <w:sz w:val="20"/>
              </w:rPr>
              <w:t>effective</w:t>
            </w:r>
            <w:r>
              <w:rPr>
                <w:color w:val="231F20"/>
                <w:spacing w:val="-53"/>
                <w:sz w:val="20"/>
              </w:rPr>
              <w:t> </w:t>
            </w:r>
            <w:r>
              <w:rPr>
                <w:color w:val="231F20"/>
                <w:sz w:val="20"/>
              </w:rPr>
              <w:t>in reducing symptoms of PTSD developed as a result of experiencing traumatic events, such as child maltreatment,</w:t>
            </w:r>
            <w:r>
              <w:rPr>
                <w:color w:val="231F20"/>
                <w:spacing w:val="1"/>
                <w:sz w:val="20"/>
              </w:rPr>
              <w:t> </w:t>
            </w:r>
            <w:r>
              <w:rPr>
                <w:color w:val="231F20"/>
                <w:sz w:val="20"/>
              </w:rPr>
              <w:t>sexual assault,</w:t>
            </w:r>
            <w:r>
              <w:rPr>
                <w:color w:val="231F20"/>
                <w:spacing w:val="1"/>
                <w:sz w:val="20"/>
              </w:rPr>
              <w:t> </w:t>
            </w:r>
            <w:r>
              <w:rPr>
                <w:color w:val="231F20"/>
                <w:sz w:val="20"/>
              </w:rPr>
              <w:t>and</w:t>
            </w:r>
            <w:r>
              <w:rPr>
                <w:color w:val="231F20"/>
                <w:spacing w:val="1"/>
                <w:sz w:val="20"/>
              </w:rPr>
              <w:t> </w:t>
            </w:r>
            <w:r>
              <w:rPr>
                <w:color w:val="231F20"/>
                <w:sz w:val="20"/>
              </w:rPr>
              <w:t>military-related</w:t>
            </w:r>
            <w:r>
              <w:rPr>
                <w:color w:val="231F20"/>
                <w:spacing w:val="1"/>
                <w:sz w:val="20"/>
              </w:rPr>
              <w:t> </w:t>
            </w:r>
            <w:r>
              <w:rPr>
                <w:color w:val="231F20"/>
                <w:sz w:val="20"/>
              </w:rPr>
              <w:t>stressors.</w:t>
            </w:r>
            <w:r>
              <w:rPr>
                <w:color w:val="231F20"/>
                <w:position w:val="7"/>
                <w:sz w:val="11"/>
              </w:rPr>
              <w:t>53-55</w:t>
            </w:r>
            <w:r>
              <w:rPr>
                <w:color w:val="231F20"/>
                <w:spacing w:val="26"/>
                <w:position w:val="7"/>
                <w:sz w:val="11"/>
              </w:rPr>
              <w:t> </w:t>
            </w:r>
            <w:r>
              <w:rPr>
                <w:color w:val="231F20"/>
                <w:sz w:val="20"/>
              </w:rPr>
              <w:t>CPT</w:t>
            </w:r>
            <w:r>
              <w:rPr>
                <w:color w:val="231F20"/>
                <w:spacing w:val="-3"/>
                <w:sz w:val="20"/>
              </w:rPr>
              <w:t> </w:t>
            </w:r>
            <w:r>
              <w:rPr>
                <w:color w:val="231F20"/>
                <w:sz w:val="20"/>
              </w:rPr>
              <w:t>consists</w:t>
            </w:r>
            <w:r>
              <w:rPr>
                <w:color w:val="231F20"/>
                <w:spacing w:val="1"/>
                <w:sz w:val="20"/>
              </w:rPr>
              <w:t> </w:t>
            </w:r>
            <w:r>
              <w:rPr>
                <w:color w:val="231F20"/>
                <w:sz w:val="20"/>
              </w:rPr>
              <w:t>of</w:t>
            </w:r>
            <w:r>
              <w:rPr>
                <w:color w:val="231F20"/>
                <w:spacing w:val="1"/>
                <w:sz w:val="20"/>
              </w:rPr>
              <w:t> </w:t>
            </w:r>
            <w:r>
              <w:rPr>
                <w:color w:val="231F20"/>
                <w:sz w:val="20"/>
              </w:rPr>
              <w:t>four main</w:t>
            </w:r>
            <w:r>
              <w:rPr>
                <w:color w:val="231F20"/>
                <w:spacing w:val="1"/>
                <w:sz w:val="20"/>
              </w:rPr>
              <w:t> </w:t>
            </w:r>
            <w:r>
              <w:rPr>
                <w:color w:val="231F20"/>
                <w:sz w:val="20"/>
              </w:rPr>
              <w:t>components:</w:t>
            </w:r>
            <w:r>
              <w:rPr>
                <w:color w:val="231F20"/>
                <w:spacing w:val="1"/>
                <w:sz w:val="20"/>
              </w:rPr>
              <w:t> </w:t>
            </w:r>
            <w:r>
              <w:rPr>
                <w:color w:val="231F20"/>
                <w:sz w:val="20"/>
              </w:rPr>
              <w:t>1)</w:t>
            </w:r>
            <w:r>
              <w:rPr>
                <w:color w:val="231F20"/>
                <w:spacing w:val="1"/>
                <w:sz w:val="20"/>
              </w:rPr>
              <w:t> </w:t>
            </w:r>
            <w:r>
              <w:rPr>
                <w:color w:val="231F20"/>
                <w:sz w:val="20"/>
              </w:rPr>
              <w:t>Education;</w:t>
            </w:r>
            <w:r>
              <w:rPr>
                <w:color w:val="231F20"/>
                <w:spacing w:val="1"/>
                <w:sz w:val="20"/>
              </w:rPr>
              <w:t> </w:t>
            </w:r>
            <w:r>
              <w:rPr>
                <w:color w:val="231F20"/>
                <w:sz w:val="20"/>
              </w:rPr>
              <w:t>2)</w:t>
            </w:r>
            <w:r>
              <w:rPr>
                <w:color w:val="231F20"/>
                <w:spacing w:val="1"/>
                <w:sz w:val="20"/>
              </w:rPr>
              <w:t> </w:t>
            </w:r>
            <w:r>
              <w:rPr>
                <w:color w:val="231F20"/>
                <w:sz w:val="20"/>
              </w:rPr>
              <w:t>Processing;</w:t>
            </w:r>
          </w:p>
          <w:p>
            <w:pPr>
              <w:pStyle w:val="TableParagraph"/>
              <w:spacing w:line="249" w:lineRule="auto" w:before="2"/>
              <w:ind w:left="79" w:right="419"/>
              <w:rPr>
                <w:sz w:val="11"/>
              </w:rPr>
            </w:pPr>
            <w:r>
              <w:rPr>
                <w:color w:val="231F20"/>
                <w:sz w:val="20"/>
              </w:rPr>
              <w:t>3) Challenging thoughts about the trauma to restructure thought patterns; and 4) Focus on trauma-related themes of</w:t>
            </w:r>
            <w:r>
              <w:rPr>
                <w:color w:val="231F20"/>
                <w:spacing w:val="-54"/>
                <w:sz w:val="20"/>
              </w:rPr>
              <w:t> </w:t>
            </w:r>
            <w:r>
              <w:rPr>
                <w:color w:val="231F20"/>
                <w:sz w:val="20"/>
              </w:rPr>
              <w:t>safety,</w:t>
            </w:r>
            <w:r>
              <w:rPr>
                <w:color w:val="231F20"/>
                <w:spacing w:val="-1"/>
                <w:sz w:val="20"/>
              </w:rPr>
              <w:t> </w:t>
            </w:r>
            <w:r>
              <w:rPr>
                <w:color w:val="231F20"/>
                <w:sz w:val="20"/>
              </w:rPr>
              <w:t>trust, power and control, esteem, and intimacy</w:t>
            </w:r>
            <w:r>
              <w:rPr>
                <w:color w:val="231F20"/>
                <w:position w:val="7"/>
                <w:sz w:val="11"/>
              </w:rPr>
              <w:t>.55-57</w:t>
            </w:r>
          </w:p>
        </w:tc>
      </w:tr>
      <w:tr>
        <w:trPr>
          <w:trHeight w:val="535" w:hRule="atLeast"/>
        </w:trPr>
        <w:tc>
          <w:tcPr>
            <w:tcW w:w="1910" w:type="dxa"/>
          </w:tcPr>
          <w:p>
            <w:pPr>
              <w:pStyle w:val="TableParagraph"/>
              <w:spacing w:before="33"/>
              <w:ind w:left="80"/>
              <w:rPr>
                <w:b/>
                <w:sz w:val="20"/>
              </w:rPr>
            </w:pPr>
            <w:r>
              <w:rPr>
                <w:b/>
                <w:color w:val="231F20"/>
                <w:sz w:val="20"/>
              </w:rPr>
              <w:t>Health</w:t>
            </w:r>
            <w:r>
              <w:rPr>
                <w:b/>
                <w:color w:val="231F20"/>
                <w:spacing w:val="-1"/>
                <w:sz w:val="20"/>
              </w:rPr>
              <w:t> </w:t>
            </w:r>
            <w:r>
              <w:rPr>
                <w:b/>
                <w:color w:val="231F20"/>
                <w:sz w:val="20"/>
              </w:rPr>
              <w:t>outcomes</w:t>
            </w:r>
          </w:p>
        </w:tc>
        <w:tc>
          <w:tcPr>
            <w:tcW w:w="8880" w:type="dxa"/>
          </w:tcPr>
          <w:p>
            <w:pPr>
              <w:pStyle w:val="TableParagraph"/>
              <w:numPr>
                <w:ilvl w:val="0"/>
                <w:numId w:val="36"/>
              </w:numPr>
              <w:tabs>
                <w:tab w:pos="439" w:val="left" w:leader="none"/>
                <w:tab w:pos="440" w:val="left" w:leader="none"/>
              </w:tabs>
              <w:spacing w:line="243" w:lineRule="exact" w:before="19" w:after="0"/>
              <w:ind w:left="440" w:right="0" w:hanging="360"/>
              <w:jc w:val="left"/>
              <w:rPr>
                <w:sz w:val="11"/>
              </w:rPr>
            </w:pPr>
            <w:r>
              <w:rPr>
                <w:color w:val="231F20"/>
                <w:sz w:val="20"/>
              </w:rPr>
              <w:t>Greater</w:t>
            </w:r>
            <w:r>
              <w:rPr>
                <w:color w:val="231F20"/>
                <w:spacing w:val="2"/>
                <w:sz w:val="20"/>
              </w:rPr>
              <w:t> </w:t>
            </w:r>
            <w:r>
              <w:rPr>
                <w:color w:val="231F20"/>
                <w:sz w:val="20"/>
              </w:rPr>
              <w:t>or</w:t>
            </w:r>
            <w:r>
              <w:rPr>
                <w:color w:val="231F20"/>
                <w:spacing w:val="2"/>
                <w:sz w:val="20"/>
              </w:rPr>
              <w:t> </w:t>
            </w:r>
            <w:r>
              <w:rPr>
                <w:color w:val="231F20"/>
                <w:sz w:val="20"/>
              </w:rPr>
              <w:t>equivalent</w:t>
            </w:r>
            <w:r>
              <w:rPr>
                <w:color w:val="231F20"/>
                <w:spacing w:val="3"/>
                <w:sz w:val="20"/>
              </w:rPr>
              <w:t> </w:t>
            </w:r>
            <w:r>
              <w:rPr>
                <w:color w:val="231F20"/>
                <w:sz w:val="20"/>
              </w:rPr>
              <w:t>reduction</w:t>
            </w:r>
            <w:r>
              <w:rPr>
                <w:color w:val="231F20"/>
                <w:spacing w:val="2"/>
                <w:sz w:val="20"/>
              </w:rPr>
              <w:t> </w:t>
            </w:r>
            <w:r>
              <w:rPr>
                <w:color w:val="231F20"/>
                <w:sz w:val="20"/>
              </w:rPr>
              <w:t>in</w:t>
            </w:r>
            <w:r>
              <w:rPr>
                <w:color w:val="231F20"/>
                <w:spacing w:val="2"/>
                <w:sz w:val="20"/>
              </w:rPr>
              <w:t> </w:t>
            </w:r>
            <w:r>
              <w:rPr>
                <w:color w:val="231F20"/>
                <w:sz w:val="20"/>
              </w:rPr>
              <w:t>severity</w:t>
            </w:r>
            <w:r>
              <w:rPr>
                <w:color w:val="231F20"/>
                <w:spacing w:val="3"/>
                <w:sz w:val="20"/>
              </w:rPr>
              <w:t> </w:t>
            </w:r>
            <w:r>
              <w:rPr>
                <w:color w:val="231F20"/>
                <w:sz w:val="20"/>
              </w:rPr>
              <w:t>of</w:t>
            </w:r>
            <w:r>
              <w:rPr>
                <w:color w:val="231F20"/>
                <w:spacing w:val="2"/>
                <w:sz w:val="20"/>
              </w:rPr>
              <w:t> </w:t>
            </w:r>
            <w:r>
              <w:rPr>
                <w:color w:val="231F20"/>
                <w:sz w:val="20"/>
              </w:rPr>
              <w:t>PTSD</w:t>
            </w:r>
            <w:r>
              <w:rPr>
                <w:color w:val="231F20"/>
                <w:spacing w:val="2"/>
                <w:sz w:val="20"/>
              </w:rPr>
              <w:t> </w:t>
            </w:r>
            <w:r>
              <w:rPr>
                <w:color w:val="231F20"/>
                <w:sz w:val="20"/>
              </w:rPr>
              <w:t>symptoms</w:t>
            </w:r>
            <w:r>
              <w:rPr>
                <w:color w:val="231F20"/>
                <w:spacing w:val="3"/>
                <w:sz w:val="20"/>
              </w:rPr>
              <w:t> </w:t>
            </w:r>
            <w:r>
              <w:rPr>
                <w:color w:val="231F20"/>
                <w:position w:val="7"/>
                <w:sz w:val="11"/>
              </w:rPr>
              <w:t>55,</w:t>
            </w:r>
            <w:r>
              <w:rPr>
                <w:color w:val="231F20"/>
                <w:spacing w:val="2"/>
                <w:position w:val="7"/>
                <w:sz w:val="11"/>
              </w:rPr>
              <w:t> </w:t>
            </w:r>
            <w:r>
              <w:rPr>
                <w:color w:val="231F20"/>
                <w:position w:val="7"/>
                <w:sz w:val="11"/>
              </w:rPr>
              <w:t>58-60</w:t>
            </w:r>
          </w:p>
          <w:p>
            <w:pPr>
              <w:pStyle w:val="TableParagraph"/>
              <w:numPr>
                <w:ilvl w:val="0"/>
                <w:numId w:val="36"/>
              </w:numPr>
              <w:tabs>
                <w:tab w:pos="439" w:val="left" w:leader="none"/>
                <w:tab w:pos="440" w:val="left" w:leader="none"/>
              </w:tabs>
              <w:spacing w:line="243" w:lineRule="exact" w:before="0" w:after="0"/>
              <w:ind w:left="440" w:right="0" w:hanging="360"/>
              <w:jc w:val="left"/>
              <w:rPr>
                <w:sz w:val="11"/>
              </w:rPr>
            </w:pPr>
            <w:r>
              <w:rPr>
                <w:color w:val="231F20"/>
                <w:sz w:val="20"/>
              </w:rPr>
              <w:t>Reduction</w:t>
            </w:r>
            <w:r>
              <w:rPr>
                <w:color w:val="231F20"/>
                <w:spacing w:val="2"/>
                <w:sz w:val="20"/>
              </w:rPr>
              <w:t> </w:t>
            </w:r>
            <w:r>
              <w:rPr>
                <w:color w:val="231F20"/>
                <w:sz w:val="20"/>
              </w:rPr>
              <w:t>in</w:t>
            </w:r>
            <w:r>
              <w:rPr>
                <w:color w:val="231F20"/>
                <w:spacing w:val="3"/>
                <w:sz w:val="20"/>
              </w:rPr>
              <w:t> </w:t>
            </w:r>
            <w:r>
              <w:rPr>
                <w:color w:val="231F20"/>
                <w:sz w:val="20"/>
              </w:rPr>
              <w:t>symptoms</w:t>
            </w:r>
            <w:r>
              <w:rPr>
                <w:color w:val="231F20"/>
                <w:spacing w:val="3"/>
                <w:sz w:val="20"/>
              </w:rPr>
              <w:t> </w:t>
            </w:r>
            <w:r>
              <w:rPr>
                <w:color w:val="231F20"/>
                <w:sz w:val="20"/>
              </w:rPr>
              <w:t>of</w:t>
            </w:r>
            <w:r>
              <w:rPr>
                <w:color w:val="231F20"/>
                <w:spacing w:val="3"/>
                <w:sz w:val="20"/>
              </w:rPr>
              <w:t> </w:t>
            </w:r>
            <w:r>
              <w:rPr>
                <w:color w:val="231F20"/>
                <w:sz w:val="20"/>
              </w:rPr>
              <w:t>depression</w:t>
            </w:r>
            <w:r>
              <w:rPr>
                <w:color w:val="231F20"/>
                <w:position w:val="7"/>
                <w:sz w:val="11"/>
              </w:rPr>
              <w:t>59,</w:t>
            </w:r>
            <w:r>
              <w:rPr>
                <w:color w:val="231F20"/>
                <w:spacing w:val="2"/>
                <w:position w:val="7"/>
                <w:sz w:val="11"/>
              </w:rPr>
              <w:t> </w:t>
            </w:r>
            <w:r>
              <w:rPr>
                <w:color w:val="231F20"/>
                <w:position w:val="7"/>
                <w:sz w:val="11"/>
              </w:rPr>
              <w:t>60</w:t>
            </w:r>
          </w:p>
        </w:tc>
      </w:tr>
      <w:tr>
        <w:trPr>
          <w:trHeight w:val="1345" w:hRule="atLeast"/>
        </w:trPr>
        <w:tc>
          <w:tcPr>
            <w:tcW w:w="1910" w:type="dxa"/>
          </w:tcPr>
          <w:p>
            <w:pPr>
              <w:pStyle w:val="TableParagraph"/>
              <w:spacing w:before="33"/>
              <w:ind w:left="80"/>
              <w:rPr>
                <w:b/>
                <w:sz w:val="20"/>
              </w:rPr>
            </w:pPr>
            <w:r>
              <w:rPr>
                <w:b/>
                <w:color w:val="231F20"/>
                <w:sz w:val="20"/>
              </w:rPr>
              <w:t>Telehealth-</w:t>
            </w:r>
          </w:p>
          <w:p>
            <w:pPr>
              <w:pStyle w:val="TableParagraph"/>
              <w:spacing w:before="10"/>
              <w:ind w:left="80"/>
              <w:rPr>
                <w:b/>
                <w:sz w:val="20"/>
              </w:rPr>
            </w:pPr>
            <w:r>
              <w:rPr>
                <w:b/>
                <w:color w:val="231F20"/>
                <w:sz w:val="20"/>
              </w:rPr>
              <w:t>specific</w:t>
            </w:r>
            <w:r>
              <w:rPr>
                <w:b/>
                <w:color w:val="231F20"/>
                <w:spacing w:val="-5"/>
                <w:sz w:val="20"/>
              </w:rPr>
              <w:t> </w:t>
            </w:r>
            <w:r>
              <w:rPr>
                <w:b/>
                <w:color w:val="231F20"/>
                <w:sz w:val="20"/>
              </w:rPr>
              <w:t>outcomes</w:t>
            </w:r>
          </w:p>
        </w:tc>
        <w:tc>
          <w:tcPr>
            <w:tcW w:w="8880" w:type="dxa"/>
          </w:tcPr>
          <w:p>
            <w:pPr>
              <w:pStyle w:val="TableParagraph"/>
              <w:spacing w:before="33"/>
              <w:ind w:left="80"/>
              <w:rPr>
                <w:sz w:val="20"/>
              </w:rPr>
            </w:pPr>
            <w:r>
              <w:rPr>
                <w:color w:val="231F20"/>
                <w:sz w:val="20"/>
              </w:rPr>
              <w:t>When</w:t>
            </w:r>
            <w:r>
              <w:rPr>
                <w:color w:val="231F20"/>
                <w:spacing w:val="-1"/>
                <w:sz w:val="20"/>
              </w:rPr>
              <w:t> </w:t>
            </w:r>
            <w:r>
              <w:rPr>
                <w:color w:val="231F20"/>
                <w:sz w:val="20"/>
              </w:rPr>
              <w:t>compared to in-person treatments:</w:t>
            </w:r>
          </w:p>
          <w:p>
            <w:pPr>
              <w:pStyle w:val="TableParagraph"/>
              <w:numPr>
                <w:ilvl w:val="0"/>
                <w:numId w:val="37"/>
              </w:numPr>
              <w:tabs>
                <w:tab w:pos="439" w:val="left" w:leader="none"/>
                <w:tab w:pos="440" w:val="left" w:leader="none"/>
              </w:tabs>
              <w:spacing w:line="243" w:lineRule="exact" w:before="86" w:after="0"/>
              <w:ind w:left="440" w:right="0" w:hanging="360"/>
              <w:jc w:val="left"/>
              <w:rPr>
                <w:sz w:val="11"/>
              </w:rPr>
            </w:pPr>
            <w:r>
              <w:rPr>
                <w:color w:val="231F20"/>
                <w:sz w:val="20"/>
              </w:rPr>
              <w:t>Increased access</w:t>
            </w:r>
            <w:r>
              <w:rPr>
                <w:color w:val="231F20"/>
                <w:spacing w:val="1"/>
                <w:sz w:val="20"/>
              </w:rPr>
              <w:t> </w:t>
            </w:r>
            <w:r>
              <w:rPr>
                <w:color w:val="231F20"/>
                <w:sz w:val="20"/>
              </w:rPr>
              <w:t>to</w:t>
            </w:r>
            <w:r>
              <w:rPr>
                <w:color w:val="231F20"/>
                <w:spacing w:val="1"/>
                <w:sz w:val="20"/>
              </w:rPr>
              <w:t> </w:t>
            </w:r>
            <w:r>
              <w:rPr>
                <w:color w:val="231F20"/>
                <w:sz w:val="20"/>
              </w:rPr>
              <w:t>care</w:t>
            </w:r>
            <w:r>
              <w:rPr>
                <w:color w:val="231F20"/>
                <w:spacing w:val="1"/>
                <w:sz w:val="20"/>
              </w:rPr>
              <w:t> </w:t>
            </w:r>
            <w:r>
              <w:rPr>
                <w:color w:val="231F20"/>
                <w:sz w:val="20"/>
              </w:rPr>
              <w:t>for</w:t>
            </w:r>
            <w:r>
              <w:rPr>
                <w:color w:val="231F20"/>
                <w:spacing w:val="1"/>
                <w:sz w:val="20"/>
              </w:rPr>
              <w:t> </w:t>
            </w:r>
            <w:r>
              <w:rPr>
                <w:color w:val="231F20"/>
                <w:sz w:val="20"/>
              </w:rPr>
              <w:t>underserved rural</w:t>
            </w:r>
            <w:r>
              <w:rPr>
                <w:color w:val="231F20"/>
                <w:spacing w:val="1"/>
                <w:sz w:val="20"/>
              </w:rPr>
              <w:t> </w:t>
            </w:r>
            <w:r>
              <w:rPr>
                <w:color w:val="231F20"/>
                <w:sz w:val="20"/>
              </w:rPr>
              <w:t>populations</w:t>
            </w:r>
            <w:r>
              <w:rPr>
                <w:color w:val="231F20"/>
                <w:position w:val="7"/>
                <w:sz w:val="11"/>
              </w:rPr>
              <w:t>58</w:t>
            </w:r>
          </w:p>
          <w:p>
            <w:pPr>
              <w:pStyle w:val="TableParagraph"/>
              <w:numPr>
                <w:ilvl w:val="0"/>
                <w:numId w:val="37"/>
              </w:numPr>
              <w:tabs>
                <w:tab w:pos="439" w:val="left" w:leader="none"/>
                <w:tab w:pos="441" w:val="left" w:leader="none"/>
              </w:tabs>
              <w:spacing w:line="240" w:lineRule="exact" w:before="0" w:after="0"/>
              <w:ind w:left="440" w:right="0" w:hanging="361"/>
              <w:jc w:val="left"/>
              <w:rPr>
                <w:sz w:val="11"/>
              </w:rPr>
            </w:pPr>
            <w:r>
              <w:rPr>
                <w:color w:val="231F20"/>
                <w:spacing w:val="-1"/>
                <w:sz w:val="20"/>
              </w:rPr>
              <w:t>No</w:t>
            </w:r>
            <w:r>
              <w:rPr>
                <w:color w:val="231F20"/>
                <w:spacing w:val="-13"/>
                <w:sz w:val="20"/>
              </w:rPr>
              <w:t> </w:t>
            </w:r>
            <w:r>
              <w:rPr>
                <w:color w:val="231F20"/>
                <w:spacing w:val="-1"/>
                <w:sz w:val="20"/>
              </w:rPr>
              <w:t>significant</w:t>
            </w:r>
            <w:r>
              <w:rPr>
                <w:color w:val="231F20"/>
                <w:spacing w:val="-11"/>
                <w:sz w:val="20"/>
              </w:rPr>
              <w:t> </w:t>
            </w:r>
            <w:r>
              <w:rPr>
                <w:color w:val="231F20"/>
                <w:spacing w:val="-1"/>
                <w:sz w:val="20"/>
              </w:rPr>
              <w:t>difference</w:t>
            </w:r>
            <w:r>
              <w:rPr>
                <w:color w:val="231F20"/>
                <w:spacing w:val="-13"/>
                <w:sz w:val="20"/>
              </w:rPr>
              <w:t> </w:t>
            </w:r>
            <w:r>
              <w:rPr>
                <w:color w:val="231F20"/>
                <w:spacing w:val="-1"/>
                <w:sz w:val="20"/>
              </w:rPr>
              <w:t>in</w:t>
            </w:r>
            <w:r>
              <w:rPr>
                <w:color w:val="231F20"/>
                <w:spacing w:val="-12"/>
                <w:sz w:val="20"/>
              </w:rPr>
              <w:t> </w:t>
            </w:r>
            <w:r>
              <w:rPr>
                <w:color w:val="231F20"/>
                <w:spacing w:val="-1"/>
                <w:sz w:val="20"/>
              </w:rPr>
              <w:t>client</w:t>
            </w:r>
            <w:r>
              <w:rPr>
                <w:color w:val="231F20"/>
                <w:spacing w:val="-11"/>
                <w:sz w:val="20"/>
              </w:rPr>
              <w:t> </w:t>
            </w:r>
            <w:r>
              <w:rPr>
                <w:color w:val="231F20"/>
                <w:spacing w:val="-1"/>
                <w:sz w:val="20"/>
              </w:rPr>
              <w:t>treatment</w:t>
            </w:r>
            <w:r>
              <w:rPr>
                <w:color w:val="231F20"/>
                <w:spacing w:val="-12"/>
                <w:sz w:val="20"/>
              </w:rPr>
              <w:t> </w:t>
            </w:r>
            <w:r>
              <w:rPr>
                <w:color w:val="231F20"/>
                <w:spacing w:val="-1"/>
                <w:sz w:val="20"/>
              </w:rPr>
              <w:t>adherence</w:t>
            </w:r>
            <w:r>
              <w:rPr>
                <w:color w:val="231F20"/>
                <w:spacing w:val="-12"/>
                <w:sz w:val="20"/>
              </w:rPr>
              <w:t> </w:t>
            </w:r>
            <w:r>
              <w:rPr>
                <w:color w:val="231F20"/>
                <w:spacing w:val="-1"/>
                <w:sz w:val="20"/>
              </w:rPr>
              <w:t>(homework</w:t>
            </w:r>
            <w:r>
              <w:rPr>
                <w:color w:val="231F20"/>
                <w:spacing w:val="-12"/>
                <w:sz w:val="20"/>
              </w:rPr>
              <w:t> </w:t>
            </w:r>
            <w:r>
              <w:rPr>
                <w:color w:val="231F20"/>
                <w:spacing w:val="-1"/>
                <w:sz w:val="20"/>
              </w:rPr>
              <w:t>completion)</w:t>
            </w:r>
            <w:r>
              <w:rPr>
                <w:color w:val="231F20"/>
                <w:spacing w:val="-11"/>
                <w:sz w:val="20"/>
              </w:rPr>
              <w:t> </w:t>
            </w:r>
            <w:r>
              <w:rPr>
                <w:color w:val="231F20"/>
                <w:sz w:val="20"/>
              </w:rPr>
              <w:t>and</w:t>
            </w:r>
            <w:r>
              <w:rPr>
                <w:color w:val="231F20"/>
                <w:spacing w:val="-12"/>
                <w:sz w:val="20"/>
              </w:rPr>
              <w:t> </w:t>
            </w:r>
            <w:r>
              <w:rPr>
                <w:color w:val="231F20"/>
                <w:sz w:val="20"/>
              </w:rPr>
              <w:t>retention</w:t>
            </w:r>
            <w:r>
              <w:rPr>
                <w:color w:val="231F20"/>
                <w:position w:val="7"/>
                <w:sz w:val="11"/>
              </w:rPr>
              <w:t>55,</w:t>
            </w:r>
            <w:r>
              <w:rPr>
                <w:color w:val="231F20"/>
                <w:spacing w:val="-6"/>
                <w:position w:val="7"/>
                <w:sz w:val="11"/>
              </w:rPr>
              <w:t> </w:t>
            </w:r>
            <w:r>
              <w:rPr>
                <w:color w:val="231F20"/>
                <w:position w:val="7"/>
                <w:sz w:val="11"/>
              </w:rPr>
              <w:t>58</w:t>
            </w:r>
          </w:p>
          <w:p>
            <w:pPr>
              <w:pStyle w:val="TableParagraph"/>
              <w:numPr>
                <w:ilvl w:val="0"/>
                <w:numId w:val="37"/>
              </w:numPr>
              <w:tabs>
                <w:tab w:pos="439" w:val="left" w:leader="none"/>
                <w:tab w:pos="440" w:val="left" w:leader="none"/>
              </w:tabs>
              <w:spacing w:line="240" w:lineRule="exact" w:before="0" w:after="0"/>
              <w:ind w:left="440" w:right="0" w:hanging="360"/>
              <w:jc w:val="left"/>
              <w:rPr>
                <w:sz w:val="11"/>
              </w:rPr>
            </w:pPr>
            <w:r>
              <w:rPr>
                <w:color w:val="231F20"/>
                <w:sz w:val="20"/>
              </w:rPr>
              <w:t>No</w:t>
            </w:r>
            <w:r>
              <w:rPr>
                <w:color w:val="231F20"/>
                <w:spacing w:val="-1"/>
                <w:sz w:val="20"/>
              </w:rPr>
              <w:t> </w:t>
            </w:r>
            <w:r>
              <w:rPr>
                <w:color w:val="231F20"/>
                <w:sz w:val="20"/>
              </w:rPr>
              <w:t>significant difference</w:t>
            </w:r>
            <w:r>
              <w:rPr>
                <w:color w:val="231F20"/>
                <w:spacing w:val="-1"/>
                <w:sz w:val="20"/>
              </w:rPr>
              <w:t> </w:t>
            </w:r>
            <w:r>
              <w:rPr>
                <w:color w:val="231F20"/>
                <w:sz w:val="20"/>
              </w:rPr>
              <w:t>in</w:t>
            </w:r>
            <w:r>
              <w:rPr>
                <w:color w:val="231F20"/>
                <w:spacing w:val="-1"/>
                <w:sz w:val="20"/>
              </w:rPr>
              <w:t> </w:t>
            </w:r>
            <w:r>
              <w:rPr>
                <w:color w:val="231F20"/>
                <w:sz w:val="20"/>
              </w:rPr>
              <w:t>client satisfaction</w:t>
            </w:r>
            <w:r>
              <w:rPr>
                <w:color w:val="231F20"/>
                <w:position w:val="7"/>
                <w:sz w:val="11"/>
              </w:rPr>
              <w:t>55,</w:t>
            </w:r>
            <w:r>
              <w:rPr>
                <w:color w:val="231F20"/>
                <w:spacing w:val="1"/>
                <w:position w:val="7"/>
                <w:sz w:val="11"/>
              </w:rPr>
              <w:t> </w:t>
            </w:r>
            <w:r>
              <w:rPr>
                <w:color w:val="231F20"/>
                <w:position w:val="7"/>
                <w:sz w:val="11"/>
              </w:rPr>
              <w:t>58</w:t>
            </w:r>
          </w:p>
          <w:p>
            <w:pPr>
              <w:pStyle w:val="TableParagraph"/>
              <w:numPr>
                <w:ilvl w:val="0"/>
                <w:numId w:val="37"/>
              </w:numPr>
              <w:tabs>
                <w:tab w:pos="440" w:val="left" w:leader="none"/>
                <w:tab w:pos="441" w:val="left" w:leader="none"/>
              </w:tabs>
              <w:spacing w:line="243" w:lineRule="exact" w:before="0" w:after="0"/>
              <w:ind w:left="440" w:right="0" w:hanging="361"/>
              <w:jc w:val="left"/>
              <w:rPr>
                <w:sz w:val="11"/>
              </w:rPr>
            </w:pPr>
            <w:r>
              <w:rPr>
                <w:color w:val="231F20"/>
                <w:sz w:val="20"/>
              </w:rPr>
              <w:t>No</w:t>
            </w:r>
            <w:r>
              <w:rPr>
                <w:color w:val="231F20"/>
                <w:spacing w:val="-2"/>
                <w:sz w:val="20"/>
              </w:rPr>
              <w:t> </w:t>
            </w:r>
            <w:r>
              <w:rPr>
                <w:color w:val="231F20"/>
                <w:sz w:val="20"/>
              </w:rPr>
              <w:t>significant</w:t>
            </w:r>
            <w:r>
              <w:rPr>
                <w:color w:val="231F20"/>
                <w:spacing w:val="-1"/>
                <w:sz w:val="20"/>
              </w:rPr>
              <w:t> </w:t>
            </w:r>
            <w:r>
              <w:rPr>
                <w:color w:val="231F20"/>
                <w:sz w:val="20"/>
              </w:rPr>
              <w:t>difference</w:t>
            </w:r>
            <w:r>
              <w:rPr>
                <w:color w:val="231F20"/>
                <w:spacing w:val="-2"/>
                <w:sz w:val="20"/>
              </w:rPr>
              <w:t> </w:t>
            </w:r>
            <w:r>
              <w:rPr>
                <w:color w:val="231F20"/>
                <w:sz w:val="20"/>
              </w:rPr>
              <w:t>in</w:t>
            </w:r>
            <w:r>
              <w:rPr>
                <w:color w:val="231F20"/>
                <w:spacing w:val="-2"/>
                <w:sz w:val="20"/>
              </w:rPr>
              <w:t> </w:t>
            </w:r>
            <w:r>
              <w:rPr>
                <w:color w:val="231F20"/>
                <w:sz w:val="20"/>
              </w:rPr>
              <w:t>therapeutic</w:t>
            </w:r>
            <w:r>
              <w:rPr>
                <w:color w:val="231F20"/>
                <w:spacing w:val="-1"/>
                <w:sz w:val="20"/>
              </w:rPr>
              <w:t> </w:t>
            </w:r>
            <w:r>
              <w:rPr>
                <w:color w:val="231F20"/>
                <w:sz w:val="20"/>
              </w:rPr>
              <w:t>alliance</w:t>
            </w:r>
            <w:r>
              <w:rPr>
                <w:color w:val="231F20"/>
                <w:spacing w:val="-2"/>
                <w:sz w:val="20"/>
              </w:rPr>
              <w:t> </w:t>
            </w:r>
            <w:r>
              <w:rPr>
                <w:color w:val="231F20"/>
                <w:sz w:val="20"/>
              </w:rPr>
              <w:t>between</w:t>
            </w:r>
            <w:r>
              <w:rPr>
                <w:color w:val="231F20"/>
                <w:spacing w:val="-2"/>
                <w:sz w:val="20"/>
              </w:rPr>
              <w:t> </w:t>
            </w:r>
            <w:r>
              <w:rPr>
                <w:color w:val="231F20"/>
                <w:sz w:val="20"/>
              </w:rPr>
              <w:t>provider</w:t>
            </w:r>
            <w:r>
              <w:rPr>
                <w:color w:val="231F20"/>
                <w:spacing w:val="-2"/>
                <w:sz w:val="20"/>
              </w:rPr>
              <w:t> </w:t>
            </w:r>
            <w:r>
              <w:rPr>
                <w:color w:val="231F20"/>
                <w:sz w:val="20"/>
              </w:rPr>
              <w:t>and</w:t>
            </w:r>
            <w:r>
              <w:rPr>
                <w:color w:val="231F20"/>
                <w:spacing w:val="-2"/>
                <w:sz w:val="20"/>
              </w:rPr>
              <w:t> </w:t>
            </w:r>
            <w:r>
              <w:rPr>
                <w:color w:val="231F20"/>
                <w:sz w:val="20"/>
              </w:rPr>
              <w:t>client</w:t>
            </w:r>
            <w:r>
              <w:rPr>
                <w:color w:val="231F20"/>
                <w:position w:val="7"/>
                <w:sz w:val="11"/>
              </w:rPr>
              <w:t>55,</w:t>
            </w:r>
            <w:r>
              <w:rPr>
                <w:color w:val="231F20"/>
                <w:spacing w:val="1"/>
                <w:position w:val="7"/>
                <w:sz w:val="11"/>
              </w:rPr>
              <w:t> </w:t>
            </w:r>
            <w:r>
              <w:rPr>
                <w:color w:val="231F20"/>
                <w:position w:val="7"/>
                <w:sz w:val="11"/>
              </w:rPr>
              <w:t>58, 60</w:t>
            </w:r>
          </w:p>
        </w:tc>
      </w:tr>
      <w:tr>
        <w:trPr>
          <w:trHeight w:val="1105" w:hRule="atLeast"/>
        </w:trPr>
        <w:tc>
          <w:tcPr>
            <w:tcW w:w="1910" w:type="dxa"/>
          </w:tcPr>
          <w:p>
            <w:pPr>
              <w:pStyle w:val="TableParagraph"/>
              <w:spacing w:line="249" w:lineRule="auto" w:before="33"/>
              <w:ind w:left="80" w:right="251"/>
              <w:jc w:val="both"/>
              <w:rPr>
                <w:b/>
                <w:sz w:val="20"/>
              </w:rPr>
            </w:pPr>
            <w:r>
              <w:rPr>
                <w:b/>
                <w:color w:val="231F20"/>
                <w:sz w:val="20"/>
              </w:rPr>
              <w:t>Populations that</w:t>
            </w:r>
            <w:r>
              <w:rPr>
                <w:b/>
                <w:color w:val="231F20"/>
                <w:spacing w:val="-54"/>
                <w:sz w:val="20"/>
              </w:rPr>
              <w:t> </w:t>
            </w:r>
            <w:r>
              <w:rPr>
                <w:b/>
                <w:color w:val="231F20"/>
                <w:sz w:val="20"/>
              </w:rPr>
              <w:t>benefit from the</w:t>
            </w:r>
            <w:r>
              <w:rPr>
                <w:b/>
                <w:color w:val="231F20"/>
                <w:spacing w:val="1"/>
                <w:sz w:val="20"/>
              </w:rPr>
              <w:t> </w:t>
            </w:r>
            <w:r>
              <w:rPr>
                <w:b/>
                <w:color w:val="231F20"/>
                <w:sz w:val="20"/>
              </w:rPr>
              <w:t>treatment</w:t>
            </w:r>
          </w:p>
        </w:tc>
        <w:tc>
          <w:tcPr>
            <w:tcW w:w="8880" w:type="dxa"/>
          </w:tcPr>
          <w:p>
            <w:pPr>
              <w:pStyle w:val="TableParagraph"/>
              <w:spacing w:before="33"/>
              <w:ind w:left="80"/>
              <w:rPr>
                <w:sz w:val="20"/>
              </w:rPr>
            </w:pPr>
            <w:r>
              <w:rPr>
                <w:color w:val="231F20"/>
                <w:sz w:val="20"/>
              </w:rPr>
              <w:t>People</w:t>
            </w:r>
            <w:r>
              <w:rPr>
                <w:color w:val="231F20"/>
                <w:spacing w:val="-1"/>
                <w:sz w:val="20"/>
              </w:rPr>
              <w:t> </w:t>
            </w:r>
            <w:r>
              <w:rPr>
                <w:color w:val="231F20"/>
                <w:sz w:val="20"/>
              </w:rPr>
              <w:t>experiencing PTSD, including:</w:t>
            </w:r>
          </w:p>
          <w:p>
            <w:pPr>
              <w:pStyle w:val="TableParagraph"/>
              <w:numPr>
                <w:ilvl w:val="0"/>
                <w:numId w:val="38"/>
              </w:numPr>
              <w:tabs>
                <w:tab w:pos="439" w:val="left" w:leader="none"/>
                <w:tab w:pos="440" w:val="left" w:leader="none"/>
              </w:tabs>
              <w:spacing w:line="243" w:lineRule="exact" w:before="86" w:after="0"/>
              <w:ind w:left="440" w:right="0" w:hanging="360"/>
              <w:jc w:val="left"/>
              <w:rPr>
                <w:sz w:val="11"/>
              </w:rPr>
            </w:pPr>
            <w:r>
              <w:rPr>
                <w:color w:val="231F20"/>
                <w:sz w:val="20"/>
              </w:rPr>
              <w:t>Veterans</w:t>
            </w:r>
            <w:r>
              <w:rPr>
                <w:color w:val="231F20"/>
                <w:position w:val="7"/>
                <w:sz w:val="11"/>
              </w:rPr>
              <w:t>55,</w:t>
            </w:r>
            <w:r>
              <w:rPr>
                <w:color w:val="231F20"/>
                <w:spacing w:val="4"/>
                <w:position w:val="7"/>
                <w:sz w:val="11"/>
              </w:rPr>
              <w:t> </w:t>
            </w:r>
            <w:r>
              <w:rPr>
                <w:color w:val="231F20"/>
                <w:position w:val="7"/>
                <w:sz w:val="11"/>
              </w:rPr>
              <w:t>59,</w:t>
            </w:r>
            <w:r>
              <w:rPr>
                <w:color w:val="231F20"/>
                <w:spacing w:val="4"/>
                <w:position w:val="7"/>
                <w:sz w:val="11"/>
              </w:rPr>
              <w:t> </w:t>
            </w:r>
            <w:r>
              <w:rPr>
                <w:color w:val="231F20"/>
                <w:position w:val="7"/>
                <w:sz w:val="11"/>
              </w:rPr>
              <w:t>60</w:t>
            </w:r>
          </w:p>
          <w:p>
            <w:pPr>
              <w:pStyle w:val="TableParagraph"/>
              <w:numPr>
                <w:ilvl w:val="0"/>
                <w:numId w:val="38"/>
              </w:numPr>
              <w:tabs>
                <w:tab w:pos="439" w:val="left" w:leader="none"/>
                <w:tab w:pos="440" w:val="left" w:leader="none"/>
              </w:tabs>
              <w:spacing w:line="240" w:lineRule="exact" w:before="0" w:after="0"/>
              <w:ind w:left="440" w:right="0" w:hanging="360"/>
              <w:jc w:val="left"/>
              <w:rPr>
                <w:sz w:val="11"/>
              </w:rPr>
            </w:pPr>
            <w:r>
              <w:rPr>
                <w:color w:val="231F20"/>
                <w:sz w:val="20"/>
              </w:rPr>
              <w:t>Civilian</w:t>
            </w:r>
            <w:r>
              <w:rPr>
                <w:color w:val="231F20"/>
                <w:spacing w:val="3"/>
                <w:sz w:val="20"/>
              </w:rPr>
              <w:t> </w:t>
            </w:r>
            <w:r>
              <w:rPr>
                <w:color w:val="231F20"/>
                <w:sz w:val="20"/>
              </w:rPr>
              <w:t>women</w:t>
            </w:r>
            <w:r>
              <w:rPr>
                <w:color w:val="231F20"/>
                <w:position w:val="7"/>
                <w:sz w:val="11"/>
              </w:rPr>
              <w:t>55</w:t>
            </w:r>
          </w:p>
          <w:p>
            <w:pPr>
              <w:pStyle w:val="TableParagraph"/>
              <w:numPr>
                <w:ilvl w:val="0"/>
                <w:numId w:val="38"/>
              </w:numPr>
              <w:tabs>
                <w:tab w:pos="439" w:val="left" w:leader="none"/>
                <w:tab w:pos="440" w:val="left" w:leader="none"/>
              </w:tabs>
              <w:spacing w:line="243" w:lineRule="exact" w:before="0" w:after="0"/>
              <w:ind w:left="440" w:right="0" w:hanging="360"/>
              <w:jc w:val="left"/>
              <w:rPr>
                <w:sz w:val="11"/>
              </w:rPr>
            </w:pPr>
            <w:r>
              <w:rPr>
                <w:color w:val="231F20"/>
                <w:sz w:val="20"/>
              </w:rPr>
              <w:t>Male</w:t>
            </w:r>
            <w:r>
              <w:rPr>
                <w:color w:val="231F20"/>
                <w:spacing w:val="-1"/>
                <w:sz w:val="20"/>
              </w:rPr>
              <w:t> </w:t>
            </w:r>
            <w:r>
              <w:rPr>
                <w:color w:val="231F20"/>
                <w:sz w:val="20"/>
              </w:rPr>
              <w:t>combat veterans</w:t>
            </w:r>
            <w:r>
              <w:rPr>
                <w:color w:val="231F20"/>
                <w:spacing w:val="-1"/>
                <w:sz w:val="20"/>
              </w:rPr>
              <w:t> </w:t>
            </w:r>
            <w:r>
              <w:rPr>
                <w:color w:val="231F20"/>
                <w:sz w:val="20"/>
              </w:rPr>
              <w:t>living</w:t>
            </w:r>
            <w:r>
              <w:rPr>
                <w:color w:val="231F20"/>
                <w:spacing w:val="-1"/>
                <w:sz w:val="20"/>
              </w:rPr>
              <w:t> </w:t>
            </w:r>
            <w:r>
              <w:rPr>
                <w:color w:val="231F20"/>
                <w:sz w:val="20"/>
              </w:rPr>
              <w:t>in</w:t>
            </w:r>
            <w:r>
              <w:rPr>
                <w:color w:val="231F20"/>
                <w:spacing w:val="-1"/>
                <w:sz w:val="20"/>
              </w:rPr>
              <w:t> </w:t>
            </w:r>
            <w:r>
              <w:rPr>
                <w:color w:val="231F20"/>
                <w:sz w:val="20"/>
              </w:rPr>
              <w:t>rural</w:t>
            </w:r>
            <w:r>
              <w:rPr>
                <w:color w:val="231F20"/>
                <w:spacing w:val="-1"/>
                <w:sz w:val="20"/>
              </w:rPr>
              <w:t> </w:t>
            </w:r>
            <w:r>
              <w:rPr>
                <w:color w:val="231F20"/>
                <w:sz w:val="20"/>
              </w:rPr>
              <w:t>areas</w:t>
            </w:r>
            <w:r>
              <w:rPr>
                <w:color w:val="231F20"/>
                <w:position w:val="7"/>
                <w:sz w:val="11"/>
              </w:rPr>
              <w:t>58</w:t>
            </w:r>
          </w:p>
        </w:tc>
      </w:tr>
      <w:tr>
        <w:trPr>
          <w:trHeight w:val="1915" w:hRule="atLeast"/>
        </w:trPr>
        <w:tc>
          <w:tcPr>
            <w:tcW w:w="1910" w:type="dxa"/>
          </w:tcPr>
          <w:p>
            <w:pPr>
              <w:pStyle w:val="TableParagraph"/>
              <w:spacing w:line="249" w:lineRule="auto" w:before="33"/>
              <w:ind w:left="80" w:right="518"/>
              <w:rPr>
                <w:b/>
                <w:sz w:val="20"/>
              </w:rPr>
            </w:pPr>
            <w:r>
              <w:rPr>
                <w:b/>
                <w:color w:val="231F20"/>
                <w:sz w:val="20"/>
              </w:rPr>
              <w:t>Providers</w:t>
            </w:r>
            <w:r>
              <w:rPr>
                <w:b/>
                <w:color w:val="231F20"/>
                <w:spacing w:val="1"/>
                <w:sz w:val="20"/>
              </w:rPr>
              <w:t> </w:t>
            </w:r>
            <w:r>
              <w:rPr>
                <w:b/>
                <w:color w:val="231F20"/>
                <w:sz w:val="20"/>
              </w:rPr>
              <w:t>who</w:t>
            </w:r>
            <w:r>
              <w:rPr>
                <w:b/>
                <w:color w:val="231F20"/>
                <w:spacing w:val="-10"/>
                <w:sz w:val="20"/>
              </w:rPr>
              <w:t> </w:t>
            </w:r>
            <w:r>
              <w:rPr>
                <w:b/>
                <w:color w:val="231F20"/>
                <w:sz w:val="20"/>
              </w:rPr>
              <w:t>can</w:t>
            </w:r>
            <w:r>
              <w:rPr>
                <w:b/>
                <w:color w:val="231F20"/>
                <w:spacing w:val="-9"/>
                <w:sz w:val="20"/>
              </w:rPr>
              <w:t> </w:t>
            </w:r>
            <w:r>
              <w:rPr>
                <w:b/>
                <w:color w:val="231F20"/>
                <w:sz w:val="20"/>
              </w:rPr>
              <w:t>offer</w:t>
            </w:r>
            <w:r>
              <w:rPr>
                <w:b/>
                <w:color w:val="231F20"/>
                <w:spacing w:val="-53"/>
                <w:sz w:val="20"/>
              </w:rPr>
              <w:t> </w:t>
            </w:r>
            <w:r>
              <w:rPr>
                <w:b/>
                <w:color w:val="231F20"/>
                <w:sz w:val="20"/>
              </w:rPr>
              <w:t>intervention</w:t>
            </w:r>
            <w:r>
              <w:rPr>
                <w:b/>
                <w:color w:val="231F20"/>
                <w:spacing w:val="1"/>
                <w:sz w:val="20"/>
              </w:rPr>
              <w:t> </w:t>
            </w:r>
            <w:r>
              <w:rPr>
                <w:b/>
                <w:color w:val="231F20"/>
                <w:sz w:val="20"/>
              </w:rPr>
              <w:t>services</w:t>
            </w:r>
          </w:p>
        </w:tc>
        <w:tc>
          <w:tcPr>
            <w:tcW w:w="8880" w:type="dxa"/>
          </w:tcPr>
          <w:p>
            <w:pPr>
              <w:pStyle w:val="TableParagraph"/>
              <w:numPr>
                <w:ilvl w:val="0"/>
                <w:numId w:val="39"/>
              </w:numPr>
              <w:tabs>
                <w:tab w:pos="439" w:val="left" w:leader="none"/>
                <w:tab w:pos="440" w:val="left" w:leader="none"/>
              </w:tabs>
              <w:spacing w:line="243" w:lineRule="exact" w:before="19" w:after="0"/>
              <w:ind w:left="440" w:right="0" w:hanging="360"/>
              <w:jc w:val="left"/>
              <w:rPr>
                <w:sz w:val="11"/>
              </w:rPr>
            </w:pPr>
            <w:r>
              <w:rPr>
                <w:color w:val="231F20"/>
                <w:sz w:val="20"/>
              </w:rPr>
              <w:t>Licensed</w:t>
            </w:r>
            <w:r>
              <w:rPr>
                <w:color w:val="231F20"/>
                <w:spacing w:val="3"/>
                <w:sz w:val="20"/>
              </w:rPr>
              <w:t> </w:t>
            </w:r>
            <w:r>
              <w:rPr>
                <w:color w:val="231F20"/>
                <w:sz w:val="20"/>
              </w:rPr>
              <w:t>psychologists</w:t>
            </w:r>
            <w:r>
              <w:rPr>
                <w:color w:val="231F20"/>
                <w:position w:val="7"/>
                <w:sz w:val="11"/>
              </w:rPr>
              <w:t>59</w:t>
            </w:r>
          </w:p>
          <w:p>
            <w:pPr>
              <w:pStyle w:val="TableParagraph"/>
              <w:numPr>
                <w:ilvl w:val="0"/>
                <w:numId w:val="39"/>
              </w:numPr>
              <w:tabs>
                <w:tab w:pos="439" w:val="left" w:leader="none"/>
                <w:tab w:pos="441" w:val="left" w:leader="none"/>
              </w:tabs>
              <w:spacing w:line="240" w:lineRule="exact" w:before="0" w:after="0"/>
              <w:ind w:left="440" w:right="0" w:hanging="361"/>
              <w:jc w:val="left"/>
              <w:rPr>
                <w:sz w:val="11"/>
              </w:rPr>
            </w:pPr>
            <w:r>
              <w:rPr>
                <w:color w:val="231F20"/>
                <w:sz w:val="20"/>
              </w:rPr>
              <w:t>Doctoral-level</w:t>
            </w:r>
            <w:r>
              <w:rPr>
                <w:color w:val="231F20"/>
                <w:spacing w:val="5"/>
                <w:sz w:val="20"/>
              </w:rPr>
              <w:t> </w:t>
            </w:r>
            <w:r>
              <w:rPr>
                <w:color w:val="231F20"/>
                <w:sz w:val="20"/>
              </w:rPr>
              <w:t>psychologists</w:t>
            </w:r>
            <w:r>
              <w:rPr>
                <w:color w:val="231F20"/>
                <w:position w:val="7"/>
                <w:sz w:val="11"/>
              </w:rPr>
              <w:t>58,</w:t>
            </w:r>
            <w:r>
              <w:rPr>
                <w:color w:val="231F20"/>
                <w:spacing w:val="5"/>
                <w:position w:val="7"/>
                <w:sz w:val="11"/>
              </w:rPr>
              <w:t> </w:t>
            </w:r>
            <w:r>
              <w:rPr>
                <w:color w:val="231F20"/>
                <w:position w:val="7"/>
                <w:sz w:val="11"/>
              </w:rPr>
              <w:t>60</w:t>
            </w:r>
          </w:p>
          <w:p>
            <w:pPr>
              <w:pStyle w:val="TableParagraph"/>
              <w:numPr>
                <w:ilvl w:val="0"/>
                <w:numId w:val="39"/>
              </w:numPr>
              <w:tabs>
                <w:tab w:pos="439" w:val="left" w:leader="none"/>
                <w:tab w:pos="440" w:val="left" w:leader="none"/>
              </w:tabs>
              <w:spacing w:line="240" w:lineRule="exact" w:before="0" w:after="0"/>
              <w:ind w:left="440" w:right="0" w:hanging="361"/>
              <w:jc w:val="left"/>
              <w:rPr>
                <w:sz w:val="11"/>
              </w:rPr>
            </w:pPr>
            <w:r>
              <w:rPr>
                <w:color w:val="231F20"/>
                <w:sz w:val="20"/>
              </w:rPr>
              <w:t>Licensed</w:t>
            </w:r>
            <w:r>
              <w:rPr>
                <w:color w:val="231F20"/>
                <w:spacing w:val="2"/>
                <w:sz w:val="20"/>
              </w:rPr>
              <w:t> </w:t>
            </w:r>
            <w:r>
              <w:rPr>
                <w:color w:val="231F20"/>
                <w:sz w:val="20"/>
              </w:rPr>
              <w:t>social</w:t>
            </w:r>
            <w:r>
              <w:rPr>
                <w:color w:val="231F20"/>
                <w:spacing w:val="2"/>
                <w:sz w:val="20"/>
              </w:rPr>
              <w:t> </w:t>
            </w:r>
            <w:r>
              <w:rPr>
                <w:color w:val="231F20"/>
                <w:sz w:val="20"/>
              </w:rPr>
              <w:t>workers</w:t>
            </w:r>
            <w:r>
              <w:rPr>
                <w:color w:val="231F20"/>
                <w:position w:val="7"/>
                <w:sz w:val="11"/>
              </w:rPr>
              <w:t>59</w:t>
            </w:r>
          </w:p>
          <w:p>
            <w:pPr>
              <w:pStyle w:val="TableParagraph"/>
              <w:numPr>
                <w:ilvl w:val="0"/>
                <w:numId w:val="39"/>
              </w:numPr>
              <w:tabs>
                <w:tab w:pos="439" w:val="left" w:leader="none"/>
                <w:tab w:pos="440" w:val="left" w:leader="none"/>
              </w:tabs>
              <w:spacing w:line="240" w:lineRule="exact" w:before="0" w:after="0"/>
              <w:ind w:left="440" w:right="0" w:hanging="360"/>
              <w:jc w:val="left"/>
              <w:rPr>
                <w:sz w:val="11"/>
              </w:rPr>
            </w:pPr>
            <w:r>
              <w:rPr>
                <w:color w:val="231F20"/>
                <w:sz w:val="20"/>
              </w:rPr>
              <w:t>Master’s-level</w:t>
            </w:r>
            <w:r>
              <w:rPr>
                <w:color w:val="231F20"/>
                <w:spacing w:val="-1"/>
                <w:sz w:val="20"/>
              </w:rPr>
              <w:t> </w:t>
            </w:r>
            <w:r>
              <w:rPr>
                <w:color w:val="231F20"/>
                <w:sz w:val="20"/>
              </w:rPr>
              <w:t>and</w:t>
            </w:r>
            <w:r>
              <w:rPr>
                <w:color w:val="231F20"/>
                <w:spacing w:val="-1"/>
                <w:sz w:val="20"/>
              </w:rPr>
              <w:t> </w:t>
            </w:r>
            <w:r>
              <w:rPr>
                <w:color w:val="231F20"/>
                <w:sz w:val="20"/>
              </w:rPr>
              <w:t>doctoral-level</w:t>
            </w:r>
            <w:r>
              <w:rPr>
                <w:color w:val="231F20"/>
                <w:spacing w:val="-1"/>
                <w:sz w:val="20"/>
              </w:rPr>
              <w:t> </w:t>
            </w:r>
            <w:r>
              <w:rPr>
                <w:color w:val="231F20"/>
                <w:sz w:val="20"/>
              </w:rPr>
              <w:t>social workers</w:t>
            </w:r>
            <w:r>
              <w:rPr>
                <w:color w:val="231F20"/>
                <w:position w:val="7"/>
                <w:sz w:val="11"/>
              </w:rPr>
              <w:t>58,</w:t>
            </w:r>
            <w:r>
              <w:rPr>
                <w:color w:val="231F20"/>
                <w:spacing w:val="1"/>
                <w:position w:val="7"/>
                <w:sz w:val="11"/>
              </w:rPr>
              <w:t> </w:t>
            </w:r>
            <w:r>
              <w:rPr>
                <w:color w:val="231F20"/>
                <w:position w:val="7"/>
                <w:sz w:val="11"/>
              </w:rPr>
              <w:t>60</w:t>
            </w:r>
          </w:p>
          <w:p>
            <w:pPr>
              <w:pStyle w:val="TableParagraph"/>
              <w:numPr>
                <w:ilvl w:val="0"/>
                <w:numId w:val="39"/>
              </w:numPr>
              <w:tabs>
                <w:tab w:pos="439" w:val="left" w:leader="none"/>
                <w:tab w:pos="440" w:val="left" w:leader="none"/>
              </w:tabs>
              <w:spacing w:line="243" w:lineRule="exact" w:before="0" w:after="0"/>
              <w:ind w:left="440" w:right="0" w:hanging="360"/>
              <w:jc w:val="left"/>
              <w:rPr>
                <w:sz w:val="11"/>
              </w:rPr>
            </w:pPr>
            <w:r>
              <w:rPr>
                <w:color w:val="231F20"/>
                <w:sz w:val="20"/>
              </w:rPr>
              <w:t>Family</w:t>
            </w:r>
            <w:r>
              <w:rPr>
                <w:color w:val="231F20"/>
                <w:spacing w:val="3"/>
                <w:sz w:val="20"/>
              </w:rPr>
              <w:t> </w:t>
            </w:r>
            <w:r>
              <w:rPr>
                <w:color w:val="231F20"/>
                <w:sz w:val="20"/>
              </w:rPr>
              <w:t>therapists</w:t>
            </w:r>
            <w:r>
              <w:rPr>
                <w:color w:val="231F20"/>
                <w:position w:val="7"/>
                <w:sz w:val="11"/>
              </w:rPr>
              <w:t>59</w:t>
            </w:r>
          </w:p>
          <w:p>
            <w:pPr>
              <w:pStyle w:val="TableParagraph"/>
              <w:spacing w:before="189"/>
              <w:ind w:left="80"/>
              <w:rPr>
                <w:sz w:val="20"/>
              </w:rPr>
            </w:pPr>
            <w:r>
              <w:rPr>
                <w:color w:val="231F20"/>
                <w:sz w:val="20"/>
              </w:rPr>
              <w:t>Although</w:t>
            </w:r>
            <w:r>
              <w:rPr>
                <w:color w:val="231F20"/>
                <w:spacing w:val="-1"/>
                <w:sz w:val="20"/>
              </w:rPr>
              <w:t> </w:t>
            </w:r>
            <w:r>
              <w:rPr>
                <w:color w:val="231F20"/>
                <w:sz w:val="20"/>
              </w:rPr>
              <w:t>formal CPT</w:t>
            </w:r>
            <w:r>
              <w:rPr>
                <w:color w:val="231F20"/>
                <w:spacing w:val="-4"/>
                <w:sz w:val="20"/>
              </w:rPr>
              <w:t> </w:t>
            </w:r>
            <w:r>
              <w:rPr>
                <w:color w:val="231F20"/>
                <w:sz w:val="20"/>
              </w:rPr>
              <w:t>training is not required for practitioners, resources are</w:t>
            </w:r>
            <w:r>
              <w:rPr>
                <w:color w:val="231F20"/>
                <w:spacing w:val="-1"/>
                <w:sz w:val="20"/>
              </w:rPr>
              <w:t> </w:t>
            </w:r>
            <w:r>
              <w:rPr>
                <w:color w:val="231F20"/>
                <w:sz w:val="20"/>
              </w:rPr>
              <w:t>available, including a</w:t>
            </w:r>
          </w:p>
          <w:p>
            <w:pPr>
              <w:pStyle w:val="TableParagraph"/>
              <w:spacing w:before="10"/>
              <w:ind w:left="80"/>
              <w:rPr>
                <w:sz w:val="11"/>
              </w:rPr>
            </w:pPr>
            <w:r>
              <w:rPr>
                <w:color w:val="231F20"/>
                <w:sz w:val="20"/>
              </w:rPr>
              <w:t>program</w:t>
            </w:r>
            <w:r>
              <w:rPr>
                <w:color w:val="231F20"/>
                <w:spacing w:val="-3"/>
                <w:sz w:val="20"/>
              </w:rPr>
              <w:t> </w:t>
            </w:r>
            <w:r>
              <w:rPr>
                <w:color w:val="231F20"/>
                <w:sz w:val="20"/>
              </w:rPr>
              <w:t>delivery</w:t>
            </w:r>
            <w:r>
              <w:rPr>
                <w:color w:val="231F20"/>
                <w:spacing w:val="-2"/>
                <w:sz w:val="20"/>
              </w:rPr>
              <w:t> </w:t>
            </w:r>
            <w:r>
              <w:rPr>
                <w:color w:val="231F20"/>
                <w:sz w:val="20"/>
              </w:rPr>
              <w:t>manual</w:t>
            </w:r>
            <w:r>
              <w:rPr>
                <w:color w:val="231F20"/>
                <w:spacing w:val="-1"/>
                <w:sz w:val="20"/>
              </w:rPr>
              <w:t> </w:t>
            </w:r>
            <w:r>
              <w:rPr>
                <w:color w:val="231F20"/>
                <w:sz w:val="20"/>
              </w:rPr>
              <w:t>and</w:t>
            </w:r>
            <w:r>
              <w:rPr>
                <w:color w:val="231F20"/>
                <w:spacing w:val="-2"/>
                <w:sz w:val="20"/>
              </w:rPr>
              <w:t> </w:t>
            </w:r>
            <w:r>
              <w:rPr>
                <w:color w:val="231F20"/>
                <w:sz w:val="20"/>
              </w:rPr>
              <w:t>certification</w:t>
            </w:r>
            <w:r>
              <w:rPr>
                <w:color w:val="231F20"/>
                <w:spacing w:val="-2"/>
                <w:sz w:val="20"/>
              </w:rPr>
              <w:t> </w:t>
            </w:r>
            <w:r>
              <w:rPr>
                <w:color w:val="231F20"/>
                <w:sz w:val="20"/>
              </w:rPr>
              <w:t>trainings</w:t>
            </w:r>
            <w:r>
              <w:rPr>
                <w:color w:val="231F20"/>
                <w:position w:val="7"/>
                <w:sz w:val="11"/>
              </w:rPr>
              <w:t>52</w:t>
            </w:r>
          </w:p>
        </w:tc>
      </w:tr>
      <w:tr>
        <w:trPr>
          <w:trHeight w:val="295" w:hRule="atLeast"/>
        </w:trPr>
        <w:tc>
          <w:tcPr>
            <w:tcW w:w="1910" w:type="dxa"/>
          </w:tcPr>
          <w:p>
            <w:pPr>
              <w:pStyle w:val="TableParagraph"/>
              <w:spacing w:before="33"/>
              <w:ind w:left="80"/>
              <w:rPr>
                <w:b/>
                <w:sz w:val="20"/>
              </w:rPr>
            </w:pPr>
            <w:r>
              <w:rPr>
                <w:b/>
                <w:color w:val="231F20"/>
                <w:sz w:val="20"/>
              </w:rPr>
              <w:t>Technology</w:t>
            </w:r>
            <w:r>
              <w:rPr>
                <w:b/>
                <w:color w:val="231F20"/>
                <w:spacing w:val="-7"/>
                <w:sz w:val="20"/>
              </w:rPr>
              <w:t> </w:t>
            </w:r>
            <w:r>
              <w:rPr>
                <w:b/>
                <w:color w:val="231F20"/>
                <w:sz w:val="20"/>
              </w:rPr>
              <w:t>used</w:t>
            </w:r>
          </w:p>
        </w:tc>
        <w:tc>
          <w:tcPr>
            <w:tcW w:w="8880" w:type="dxa"/>
          </w:tcPr>
          <w:p>
            <w:pPr>
              <w:pStyle w:val="TableParagraph"/>
              <w:numPr>
                <w:ilvl w:val="0"/>
                <w:numId w:val="40"/>
              </w:numPr>
              <w:tabs>
                <w:tab w:pos="439" w:val="left" w:leader="none"/>
                <w:tab w:pos="440" w:val="left" w:leader="none"/>
              </w:tabs>
              <w:spacing w:line="240" w:lineRule="auto" w:before="19" w:after="0"/>
              <w:ind w:left="440" w:right="0" w:hanging="360"/>
              <w:jc w:val="left"/>
              <w:rPr>
                <w:sz w:val="11"/>
              </w:rPr>
            </w:pPr>
            <w:r>
              <w:rPr>
                <w:color w:val="231F20"/>
                <w:sz w:val="20"/>
              </w:rPr>
              <w:t>Videoconference</w:t>
            </w:r>
            <w:r>
              <w:rPr>
                <w:color w:val="231F20"/>
                <w:position w:val="7"/>
                <w:sz w:val="11"/>
              </w:rPr>
              <w:t>55,</w:t>
            </w:r>
            <w:r>
              <w:rPr>
                <w:color w:val="231F20"/>
                <w:spacing w:val="7"/>
                <w:position w:val="7"/>
                <w:sz w:val="11"/>
              </w:rPr>
              <w:t> </w:t>
            </w:r>
            <w:r>
              <w:rPr>
                <w:color w:val="231F20"/>
                <w:position w:val="7"/>
                <w:sz w:val="11"/>
              </w:rPr>
              <w:t>58-60</w:t>
            </w:r>
          </w:p>
        </w:tc>
      </w:tr>
      <w:tr>
        <w:trPr>
          <w:trHeight w:val="775" w:hRule="atLeast"/>
        </w:trPr>
        <w:tc>
          <w:tcPr>
            <w:tcW w:w="1910" w:type="dxa"/>
          </w:tcPr>
          <w:p>
            <w:pPr>
              <w:pStyle w:val="TableParagraph"/>
              <w:spacing w:line="249" w:lineRule="auto" w:before="33"/>
              <w:ind w:left="80" w:right="533"/>
              <w:rPr>
                <w:b/>
                <w:sz w:val="20"/>
              </w:rPr>
            </w:pPr>
            <w:r>
              <w:rPr>
                <w:b/>
                <w:color w:val="231F20"/>
                <w:sz w:val="20"/>
              </w:rPr>
              <w:t>Intensity,</w:t>
            </w:r>
            <w:r>
              <w:rPr>
                <w:b/>
                <w:color w:val="231F20"/>
                <w:spacing w:val="1"/>
                <w:sz w:val="20"/>
              </w:rPr>
              <w:t> </w:t>
            </w:r>
            <w:r>
              <w:rPr>
                <w:b/>
                <w:color w:val="231F20"/>
                <w:sz w:val="20"/>
              </w:rPr>
              <w:t>duration, and</w:t>
            </w:r>
            <w:r>
              <w:rPr>
                <w:b/>
                <w:color w:val="231F20"/>
                <w:spacing w:val="-54"/>
                <w:sz w:val="20"/>
              </w:rPr>
              <w:t> </w:t>
            </w:r>
            <w:r>
              <w:rPr>
                <w:b/>
                <w:color w:val="231F20"/>
                <w:sz w:val="20"/>
              </w:rPr>
              <w:t>frequency</w:t>
            </w:r>
          </w:p>
        </w:tc>
        <w:tc>
          <w:tcPr>
            <w:tcW w:w="8880" w:type="dxa"/>
          </w:tcPr>
          <w:p>
            <w:pPr>
              <w:pStyle w:val="TableParagraph"/>
              <w:numPr>
                <w:ilvl w:val="0"/>
                <w:numId w:val="41"/>
              </w:numPr>
              <w:tabs>
                <w:tab w:pos="439" w:val="left" w:leader="none"/>
                <w:tab w:pos="440" w:val="left" w:leader="none"/>
              </w:tabs>
              <w:spacing w:line="247" w:lineRule="auto" w:before="19" w:after="0"/>
              <w:ind w:left="440" w:right="1317" w:hanging="360"/>
              <w:jc w:val="left"/>
              <w:rPr>
                <w:sz w:val="11"/>
              </w:rPr>
            </w:pPr>
            <w:r>
              <w:rPr>
                <w:color w:val="231F20"/>
                <w:sz w:val="20"/>
              </w:rPr>
              <w:t>Participants</w:t>
            </w:r>
            <w:r>
              <w:rPr>
                <w:color w:val="231F20"/>
                <w:spacing w:val="-2"/>
                <w:sz w:val="20"/>
              </w:rPr>
              <w:t> </w:t>
            </w:r>
            <w:r>
              <w:rPr>
                <w:color w:val="231F20"/>
                <w:sz w:val="20"/>
              </w:rPr>
              <w:t>received</w:t>
            </w:r>
            <w:r>
              <w:rPr>
                <w:color w:val="231F20"/>
                <w:spacing w:val="-1"/>
                <w:sz w:val="20"/>
              </w:rPr>
              <w:t> </w:t>
            </w:r>
            <w:r>
              <w:rPr>
                <w:color w:val="231F20"/>
                <w:sz w:val="20"/>
              </w:rPr>
              <w:t>CPT</w:t>
            </w:r>
            <w:r>
              <w:rPr>
                <w:color w:val="231F20"/>
                <w:spacing w:val="-5"/>
                <w:sz w:val="20"/>
              </w:rPr>
              <w:t> </w:t>
            </w:r>
            <w:r>
              <w:rPr>
                <w:color w:val="231F20"/>
                <w:sz w:val="20"/>
              </w:rPr>
              <w:t>over</w:t>
            </w:r>
            <w:r>
              <w:rPr>
                <w:color w:val="231F20"/>
                <w:spacing w:val="-2"/>
                <w:sz w:val="20"/>
              </w:rPr>
              <w:t> </w:t>
            </w:r>
            <w:r>
              <w:rPr>
                <w:color w:val="231F20"/>
                <w:sz w:val="20"/>
              </w:rPr>
              <w:t>12</w:t>
            </w:r>
            <w:r>
              <w:rPr>
                <w:color w:val="231F20"/>
                <w:spacing w:val="-1"/>
                <w:sz w:val="20"/>
              </w:rPr>
              <w:t> </w:t>
            </w:r>
            <w:r>
              <w:rPr>
                <w:color w:val="231F20"/>
                <w:sz w:val="20"/>
              </w:rPr>
              <w:t>sessions,</w:t>
            </w:r>
            <w:r>
              <w:rPr>
                <w:color w:val="231F20"/>
                <w:spacing w:val="-1"/>
                <w:sz w:val="20"/>
              </w:rPr>
              <w:t> </w:t>
            </w:r>
            <w:r>
              <w:rPr>
                <w:color w:val="231F20"/>
                <w:sz w:val="20"/>
              </w:rPr>
              <w:t>conducted</w:t>
            </w:r>
            <w:r>
              <w:rPr>
                <w:color w:val="231F20"/>
                <w:spacing w:val="-2"/>
                <w:sz w:val="20"/>
              </w:rPr>
              <w:t> </w:t>
            </w:r>
            <w:r>
              <w:rPr>
                <w:color w:val="231F20"/>
                <w:sz w:val="20"/>
              </w:rPr>
              <w:t>once</w:t>
            </w:r>
            <w:r>
              <w:rPr>
                <w:color w:val="231F20"/>
                <w:spacing w:val="-1"/>
                <w:sz w:val="20"/>
              </w:rPr>
              <w:t> </w:t>
            </w:r>
            <w:r>
              <w:rPr>
                <w:color w:val="231F20"/>
                <w:sz w:val="20"/>
              </w:rPr>
              <w:t>or</w:t>
            </w:r>
            <w:r>
              <w:rPr>
                <w:color w:val="231F20"/>
                <w:spacing w:val="-2"/>
                <w:sz w:val="20"/>
              </w:rPr>
              <w:t> </w:t>
            </w:r>
            <w:r>
              <w:rPr>
                <w:color w:val="231F20"/>
                <w:sz w:val="20"/>
              </w:rPr>
              <w:t>twice</w:t>
            </w:r>
            <w:r>
              <w:rPr>
                <w:color w:val="231F20"/>
                <w:spacing w:val="-1"/>
                <w:sz w:val="20"/>
              </w:rPr>
              <w:t> </w:t>
            </w:r>
            <w:r>
              <w:rPr>
                <w:color w:val="231F20"/>
                <w:sz w:val="20"/>
              </w:rPr>
              <w:t>a</w:t>
            </w:r>
            <w:r>
              <w:rPr>
                <w:color w:val="231F20"/>
                <w:spacing w:val="-1"/>
                <w:sz w:val="20"/>
              </w:rPr>
              <w:t> </w:t>
            </w:r>
            <w:r>
              <w:rPr>
                <w:color w:val="231F20"/>
                <w:sz w:val="20"/>
              </w:rPr>
              <w:t>week</w:t>
            </w:r>
            <w:r>
              <w:rPr>
                <w:color w:val="231F20"/>
                <w:spacing w:val="-2"/>
                <w:sz w:val="20"/>
              </w:rPr>
              <w:t> </w:t>
            </w:r>
            <w:r>
              <w:rPr>
                <w:color w:val="231F20"/>
                <w:sz w:val="20"/>
              </w:rPr>
              <w:t>for</w:t>
            </w:r>
            <w:r>
              <w:rPr>
                <w:color w:val="231F20"/>
                <w:spacing w:val="-52"/>
                <w:sz w:val="20"/>
              </w:rPr>
              <w:t> </w:t>
            </w:r>
            <w:r>
              <w:rPr>
                <w:color w:val="231F20"/>
                <w:sz w:val="20"/>
              </w:rPr>
              <w:t>approximately 50 to</w:t>
            </w:r>
            <w:r>
              <w:rPr>
                <w:color w:val="231F20"/>
                <w:spacing w:val="1"/>
                <w:sz w:val="20"/>
              </w:rPr>
              <w:t> </w:t>
            </w:r>
            <w:r>
              <w:rPr>
                <w:color w:val="231F20"/>
                <w:sz w:val="20"/>
              </w:rPr>
              <w:t>90 minutes each</w:t>
            </w:r>
            <w:r>
              <w:rPr>
                <w:color w:val="231F20"/>
                <w:spacing w:val="1"/>
                <w:sz w:val="20"/>
              </w:rPr>
              <w:t> </w:t>
            </w:r>
            <w:r>
              <w:rPr>
                <w:color w:val="231F20"/>
                <w:position w:val="7"/>
                <w:sz w:val="11"/>
              </w:rPr>
              <w:t>55,</w:t>
            </w:r>
            <w:r>
              <w:rPr>
                <w:color w:val="231F20"/>
                <w:spacing w:val="1"/>
                <w:position w:val="7"/>
                <w:sz w:val="11"/>
              </w:rPr>
              <w:t> </w:t>
            </w:r>
            <w:r>
              <w:rPr>
                <w:color w:val="231F20"/>
                <w:position w:val="7"/>
                <w:sz w:val="11"/>
              </w:rPr>
              <w:t>58-60</w:t>
            </w:r>
          </w:p>
        </w:tc>
      </w:tr>
      <w:tr>
        <w:trPr>
          <w:trHeight w:val="1015" w:hRule="atLeast"/>
        </w:trPr>
        <w:tc>
          <w:tcPr>
            <w:tcW w:w="1910" w:type="dxa"/>
          </w:tcPr>
          <w:p>
            <w:pPr>
              <w:pStyle w:val="TableParagraph"/>
              <w:spacing w:line="249" w:lineRule="auto" w:before="33"/>
              <w:ind w:left="80" w:right="106"/>
              <w:rPr>
                <w:b/>
                <w:sz w:val="20"/>
              </w:rPr>
            </w:pPr>
            <w:r>
              <w:rPr>
                <w:b/>
                <w:color w:val="231F20"/>
                <w:sz w:val="20"/>
              </w:rPr>
              <w:t>Lessons learned</w:t>
            </w:r>
            <w:r>
              <w:rPr>
                <w:b/>
                <w:color w:val="231F20"/>
                <w:spacing w:val="1"/>
                <w:sz w:val="20"/>
              </w:rPr>
              <w:t> </w:t>
            </w:r>
            <w:r>
              <w:rPr>
                <w:b/>
                <w:color w:val="231F20"/>
                <w:sz w:val="20"/>
              </w:rPr>
              <w:t>transitioning from</w:t>
            </w:r>
            <w:r>
              <w:rPr>
                <w:b/>
                <w:color w:val="231F20"/>
                <w:spacing w:val="-54"/>
                <w:sz w:val="20"/>
              </w:rPr>
              <w:t> </w:t>
            </w:r>
            <w:r>
              <w:rPr>
                <w:b/>
                <w:color w:val="231F20"/>
                <w:sz w:val="20"/>
              </w:rPr>
              <w:t>in-person care to</w:t>
            </w:r>
            <w:r>
              <w:rPr>
                <w:b/>
                <w:color w:val="231F20"/>
                <w:spacing w:val="1"/>
                <w:sz w:val="20"/>
              </w:rPr>
              <w:t> </w:t>
            </w:r>
            <w:r>
              <w:rPr>
                <w:b/>
                <w:color w:val="231F20"/>
                <w:sz w:val="20"/>
              </w:rPr>
              <w:t>telehealth</w:t>
            </w:r>
          </w:p>
        </w:tc>
        <w:tc>
          <w:tcPr>
            <w:tcW w:w="8880" w:type="dxa"/>
          </w:tcPr>
          <w:p>
            <w:pPr>
              <w:pStyle w:val="TableParagraph"/>
              <w:numPr>
                <w:ilvl w:val="0"/>
                <w:numId w:val="42"/>
              </w:numPr>
              <w:tabs>
                <w:tab w:pos="439" w:val="left" w:leader="none"/>
                <w:tab w:pos="441" w:val="left" w:leader="none"/>
              </w:tabs>
              <w:spacing w:line="243" w:lineRule="exact" w:before="19" w:after="0"/>
              <w:ind w:left="440" w:right="0" w:hanging="361"/>
              <w:jc w:val="left"/>
              <w:rPr>
                <w:sz w:val="11"/>
              </w:rPr>
            </w:pPr>
            <w:r>
              <w:rPr>
                <w:color w:val="231F20"/>
                <w:sz w:val="20"/>
              </w:rPr>
              <w:t>Videoconference is a</w:t>
            </w:r>
            <w:r>
              <w:rPr>
                <w:color w:val="231F20"/>
                <w:spacing w:val="1"/>
                <w:sz w:val="20"/>
              </w:rPr>
              <w:t> </w:t>
            </w:r>
            <w:r>
              <w:rPr>
                <w:color w:val="231F20"/>
                <w:sz w:val="20"/>
              </w:rPr>
              <w:t>familiar format for many</w:t>
            </w:r>
            <w:r>
              <w:rPr>
                <w:color w:val="231F20"/>
                <w:spacing w:val="1"/>
                <w:sz w:val="20"/>
              </w:rPr>
              <w:t> </w:t>
            </w:r>
            <w:r>
              <w:rPr>
                <w:color w:val="231F20"/>
                <w:sz w:val="20"/>
              </w:rPr>
              <w:t>users</w:t>
            </w:r>
            <w:r>
              <w:rPr>
                <w:color w:val="231F20"/>
                <w:position w:val="7"/>
                <w:sz w:val="11"/>
              </w:rPr>
              <w:t>59</w:t>
            </w:r>
          </w:p>
          <w:p>
            <w:pPr>
              <w:pStyle w:val="TableParagraph"/>
              <w:numPr>
                <w:ilvl w:val="0"/>
                <w:numId w:val="42"/>
              </w:numPr>
              <w:tabs>
                <w:tab w:pos="439" w:val="left" w:leader="none"/>
                <w:tab w:pos="441" w:val="left" w:leader="none"/>
              </w:tabs>
              <w:spacing w:line="243" w:lineRule="exact" w:before="0" w:after="0"/>
              <w:ind w:left="440" w:right="0" w:hanging="361"/>
              <w:jc w:val="left"/>
              <w:rPr>
                <w:sz w:val="20"/>
              </w:rPr>
            </w:pPr>
            <w:r>
              <w:rPr>
                <w:color w:val="231F20"/>
                <w:sz w:val="20"/>
              </w:rPr>
              <w:t>Participants</w:t>
            </w:r>
            <w:r>
              <w:rPr>
                <w:color w:val="231F20"/>
                <w:spacing w:val="-1"/>
                <w:sz w:val="20"/>
              </w:rPr>
              <w:t> </w:t>
            </w:r>
            <w:r>
              <w:rPr>
                <w:color w:val="231F20"/>
                <w:sz w:val="20"/>
              </w:rPr>
              <w:t>encountered few disruptions using videoconferencing (e.g., no sessions</w:t>
            </w:r>
            <w:r>
              <w:rPr>
                <w:color w:val="231F20"/>
                <w:spacing w:val="-1"/>
                <w:sz w:val="20"/>
              </w:rPr>
              <w:t> </w:t>
            </w:r>
            <w:r>
              <w:rPr>
                <w:color w:val="231F20"/>
                <w:sz w:val="20"/>
              </w:rPr>
              <w:t>were</w:t>
            </w:r>
          </w:p>
          <w:p>
            <w:pPr>
              <w:pStyle w:val="TableParagraph"/>
              <w:spacing w:line="228" w:lineRule="exact" w:before="9"/>
              <w:rPr>
                <w:sz w:val="11"/>
              </w:rPr>
            </w:pPr>
            <w:r>
              <w:rPr>
                <w:color w:val="231F20"/>
                <w:sz w:val="20"/>
              </w:rPr>
              <w:t>canceled</w:t>
            </w:r>
            <w:r>
              <w:rPr>
                <w:color w:val="231F20"/>
                <w:spacing w:val="-3"/>
                <w:sz w:val="20"/>
              </w:rPr>
              <w:t> </w:t>
            </w:r>
            <w:r>
              <w:rPr>
                <w:color w:val="231F20"/>
                <w:sz w:val="20"/>
              </w:rPr>
              <w:t>due</w:t>
            </w:r>
            <w:r>
              <w:rPr>
                <w:color w:val="231F20"/>
                <w:spacing w:val="-3"/>
                <w:sz w:val="20"/>
              </w:rPr>
              <w:t> </w:t>
            </w:r>
            <w:r>
              <w:rPr>
                <w:color w:val="231F20"/>
                <w:sz w:val="20"/>
              </w:rPr>
              <w:t>to</w:t>
            </w:r>
            <w:r>
              <w:rPr>
                <w:color w:val="231F20"/>
                <w:spacing w:val="-3"/>
                <w:sz w:val="20"/>
              </w:rPr>
              <w:t> </w:t>
            </w:r>
            <w:r>
              <w:rPr>
                <w:color w:val="231F20"/>
                <w:sz w:val="20"/>
              </w:rPr>
              <w:t>technological</w:t>
            </w:r>
            <w:r>
              <w:rPr>
                <w:color w:val="231F20"/>
                <w:spacing w:val="-2"/>
                <w:sz w:val="20"/>
              </w:rPr>
              <w:t> </w:t>
            </w:r>
            <w:r>
              <w:rPr>
                <w:color w:val="231F20"/>
                <w:sz w:val="20"/>
              </w:rPr>
              <w:t>difficulties)</w:t>
            </w:r>
            <w:r>
              <w:rPr>
                <w:color w:val="231F20"/>
                <w:position w:val="7"/>
                <w:sz w:val="11"/>
              </w:rPr>
              <w:t>58</w:t>
            </w:r>
          </w:p>
          <w:p>
            <w:pPr>
              <w:pStyle w:val="TableParagraph"/>
              <w:numPr>
                <w:ilvl w:val="0"/>
                <w:numId w:val="42"/>
              </w:numPr>
              <w:tabs>
                <w:tab w:pos="439" w:val="left" w:leader="none"/>
                <w:tab w:pos="440" w:val="left" w:leader="none"/>
              </w:tabs>
              <w:spacing w:line="243" w:lineRule="exact" w:before="0" w:after="0"/>
              <w:ind w:left="440" w:right="0" w:hanging="361"/>
              <w:jc w:val="left"/>
              <w:rPr>
                <w:sz w:val="11"/>
              </w:rPr>
            </w:pPr>
            <w:r>
              <w:rPr>
                <w:color w:val="231F20"/>
                <w:sz w:val="20"/>
              </w:rPr>
              <w:t>Smaller technology</w:t>
            </w:r>
            <w:r>
              <w:rPr>
                <w:color w:val="231F20"/>
                <w:spacing w:val="1"/>
                <w:sz w:val="20"/>
              </w:rPr>
              <w:t> </w:t>
            </w:r>
            <w:r>
              <w:rPr>
                <w:color w:val="231F20"/>
                <w:sz w:val="20"/>
              </w:rPr>
              <w:t>screens</w:t>
            </w:r>
            <w:r>
              <w:rPr>
                <w:color w:val="231F20"/>
                <w:spacing w:val="1"/>
                <w:sz w:val="20"/>
              </w:rPr>
              <w:t> </w:t>
            </w:r>
            <w:r>
              <w:rPr>
                <w:color w:val="231F20"/>
                <w:sz w:val="20"/>
              </w:rPr>
              <w:t>may</w:t>
            </w:r>
            <w:r>
              <w:rPr>
                <w:color w:val="231F20"/>
                <w:spacing w:val="1"/>
                <w:sz w:val="20"/>
              </w:rPr>
              <w:t> </w:t>
            </w:r>
            <w:r>
              <w:rPr>
                <w:color w:val="231F20"/>
                <w:sz w:val="20"/>
              </w:rPr>
              <w:t>reduce rapport</w:t>
            </w:r>
            <w:r>
              <w:rPr>
                <w:color w:val="231F20"/>
                <w:spacing w:val="1"/>
                <w:sz w:val="20"/>
              </w:rPr>
              <w:t> </w:t>
            </w:r>
            <w:r>
              <w:rPr>
                <w:color w:val="231F20"/>
                <w:sz w:val="20"/>
              </w:rPr>
              <w:t>and</w:t>
            </w:r>
            <w:r>
              <w:rPr>
                <w:color w:val="231F20"/>
                <w:spacing w:val="1"/>
                <w:sz w:val="20"/>
              </w:rPr>
              <w:t> </w:t>
            </w:r>
            <w:r>
              <w:rPr>
                <w:color w:val="231F20"/>
                <w:sz w:val="20"/>
              </w:rPr>
              <w:t>communication</w:t>
            </w:r>
            <w:r>
              <w:rPr>
                <w:color w:val="231F20"/>
                <w:position w:val="7"/>
                <w:sz w:val="11"/>
              </w:rPr>
              <w:t>59</w:t>
            </w:r>
          </w:p>
        </w:tc>
      </w:tr>
      <w:tr>
        <w:trPr>
          <w:trHeight w:val="295" w:hRule="atLeast"/>
        </w:trPr>
        <w:tc>
          <w:tcPr>
            <w:tcW w:w="10790" w:type="dxa"/>
            <w:gridSpan w:val="2"/>
          </w:tcPr>
          <w:p>
            <w:pPr>
              <w:pStyle w:val="TableParagraph"/>
              <w:spacing w:before="33"/>
              <w:ind w:left="79"/>
              <w:rPr>
                <w:sz w:val="20"/>
              </w:rPr>
            </w:pPr>
            <w:r>
              <w:rPr>
                <w:color w:val="231F20"/>
                <w:sz w:val="20"/>
              </w:rPr>
              <w:t>Four</w:t>
            </w:r>
            <w:r>
              <w:rPr>
                <w:color w:val="231F20"/>
                <w:spacing w:val="-2"/>
                <w:sz w:val="20"/>
              </w:rPr>
              <w:t> </w:t>
            </w:r>
            <w:r>
              <w:rPr>
                <w:color w:val="231F20"/>
                <w:sz w:val="20"/>
              </w:rPr>
              <w:t>studies</w:t>
            </w:r>
            <w:r>
              <w:rPr>
                <w:color w:val="231F20"/>
                <w:spacing w:val="-1"/>
                <w:sz w:val="20"/>
              </w:rPr>
              <w:t> </w:t>
            </w:r>
            <w:r>
              <w:rPr>
                <w:color w:val="231F20"/>
                <w:sz w:val="20"/>
              </w:rPr>
              <w:t>met</w:t>
            </w:r>
            <w:r>
              <w:rPr>
                <w:color w:val="231F20"/>
                <w:spacing w:val="-1"/>
                <w:sz w:val="20"/>
              </w:rPr>
              <w:t> </w:t>
            </w:r>
            <w:r>
              <w:rPr>
                <w:color w:val="231F20"/>
                <w:sz w:val="20"/>
              </w:rPr>
              <w:t>criteria</w:t>
            </w:r>
            <w:r>
              <w:rPr>
                <w:color w:val="231F20"/>
                <w:spacing w:val="-2"/>
                <w:sz w:val="20"/>
              </w:rPr>
              <w:t> </w:t>
            </w:r>
            <w:r>
              <w:rPr>
                <w:color w:val="231F20"/>
                <w:sz w:val="20"/>
              </w:rPr>
              <w:t>for</w:t>
            </w:r>
            <w:r>
              <w:rPr>
                <w:color w:val="231F20"/>
                <w:spacing w:val="-1"/>
                <w:sz w:val="20"/>
              </w:rPr>
              <w:t> </w:t>
            </w:r>
            <w:r>
              <w:rPr>
                <w:color w:val="231F20"/>
                <w:sz w:val="20"/>
              </w:rPr>
              <w:t>review</w:t>
            </w:r>
            <w:r>
              <w:rPr>
                <w:color w:val="231F20"/>
                <w:spacing w:val="-1"/>
                <w:sz w:val="20"/>
              </w:rPr>
              <w:t> </w:t>
            </w:r>
            <w:r>
              <w:rPr>
                <w:color w:val="231F20"/>
                <w:sz w:val="20"/>
              </w:rPr>
              <w:t>(four</w:t>
            </w:r>
            <w:r>
              <w:rPr>
                <w:color w:val="231F20"/>
                <w:spacing w:val="-1"/>
                <w:sz w:val="20"/>
              </w:rPr>
              <w:t> </w:t>
            </w:r>
            <w:r>
              <w:rPr>
                <w:color w:val="231F20"/>
                <w:sz w:val="20"/>
              </w:rPr>
              <w:t>RCTs),</w:t>
            </w:r>
            <w:r>
              <w:rPr>
                <w:color w:val="231F20"/>
                <w:spacing w:val="-2"/>
                <w:sz w:val="20"/>
              </w:rPr>
              <w:t> </w:t>
            </w:r>
            <w:r>
              <w:rPr>
                <w:color w:val="231F20"/>
                <w:sz w:val="20"/>
              </w:rPr>
              <w:t>resulting</w:t>
            </w:r>
            <w:r>
              <w:rPr>
                <w:color w:val="231F20"/>
                <w:spacing w:val="-1"/>
                <w:sz w:val="20"/>
              </w:rPr>
              <w:t> </w:t>
            </w:r>
            <w:r>
              <w:rPr>
                <w:color w:val="231F20"/>
                <w:sz w:val="20"/>
              </w:rPr>
              <w:t>in</w:t>
            </w:r>
            <w:r>
              <w:rPr>
                <w:color w:val="231F20"/>
                <w:spacing w:val="-1"/>
                <w:sz w:val="20"/>
              </w:rPr>
              <w:t> </w:t>
            </w:r>
            <w:r>
              <w:rPr>
                <w:color w:val="231F20"/>
                <w:sz w:val="20"/>
              </w:rPr>
              <w:t>a</w:t>
            </w:r>
            <w:r>
              <w:rPr>
                <w:color w:val="231F20"/>
                <w:spacing w:val="-1"/>
                <w:sz w:val="20"/>
              </w:rPr>
              <w:t> </w:t>
            </w:r>
            <w:r>
              <w:rPr>
                <w:color w:val="231F20"/>
                <w:sz w:val="20"/>
              </w:rPr>
              <w:t>rating</w:t>
            </w:r>
            <w:r>
              <w:rPr>
                <w:color w:val="231F20"/>
                <w:spacing w:val="-2"/>
                <w:sz w:val="20"/>
              </w:rPr>
              <w:t> </w:t>
            </w:r>
            <w:r>
              <w:rPr>
                <w:color w:val="231F20"/>
                <w:sz w:val="20"/>
              </w:rPr>
              <w:t>of</w:t>
            </w:r>
            <w:r>
              <w:rPr>
                <w:color w:val="231F20"/>
                <w:spacing w:val="-1"/>
                <w:sz w:val="20"/>
              </w:rPr>
              <w:t> </w:t>
            </w:r>
            <w:r>
              <w:rPr>
                <w:color w:val="231F20"/>
                <w:sz w:val="20"/>
              </w:rPr>
              <w:t>Strong</w:t>
            </w:r>
            <w:r>
              <w:rPr>
                <w:color w:val="231F20"/>
                <w:spacing w:val="-1"/>
                <w:sz w:val="20"/>
              </w:rPr>
              <w:t> </w:t>
            </w:r>
            <w:r>
              <w:rPr>
                <w:color w:val="231F20"/>
                <w:sz w:val="20"/>
              </w:rPr>
              <w:t>Support</w:t>
            </w:r>
            <w:r>
              <w:rPr>
                <w:color w:val="231F20"/>
                <w:spacing w:val="-1"/>
                <w:sz w:val="20"/>
              </w:rPr>
              <w:t> </w:t>
            </w:r>
            <w:r>
              <w:rPr>
                <w:color w:val="231F20"/>
                <w:sz w:val="20"/>
              </w:rPr>
              <w:t>for</w:t>
            </w:r>
            <w:r>
              <w:rPr>
                <w:color w:val="231F20"/>
                <w:spacing w:val="-2"/>
                <w:sz w:val="20"/>
              </w:rPr>
              <w:t> </w:t>
            </w:r>
            <w:r>
              <w:rPr>
                <w:color w:val="231F20"/>
                <w:sz w:val="20"/>
              </w:rPr>
              <w:t>Causal</w:t>
            </w:r>
            <w:r>
              <w:rPr>
                <w:color w:val="231F20"/>
                <w:spacing w:val="-1"/>
                <w:sz w:val="20"/>
              </w:rPr>
              <w:t> </w:t>
            </w:r>
            <w:r>
              <w:rPr>
                <w:color w:val="231F20"/>
                <w:sz w:val="20"/>
              </w:rPr>
              <w:t>Evidence.</w:t>
            </w:r>
          </w:p>
        </w:tc>
      </w:tr>
    </w:tbl>
    <w:p>
      <w:pPr>
        <w:spacing w:line="216" w:lineRule="exact" w:before="148"/>
        <w:ind w:left="119" w:right="788" w:firstLine="0"/>
        <w:jc w:val="left"/>
        <w:rPr>
          <w:rFonts w:ascii="Arial"/>
          <w:sz w:val="21"/>
        </w:rPr>
      </w:pPr>
      <w:r>
        <w:rPr>
          <w:rFonts w:ascii="Arial"/>
          <w:color w:val="231F20"/>
          <w:position w:val="6"/>
          <w:sz w:val="10"/>
        </w:rPr>
        <w:t>*</w:t>
      </w:r>
      <w:r>
        <w:rPr>
          <w:rFonts w:ascii="Arial"/>
          <w:color w:val="231F20"/>
          <w:sz w:val="18"/>
        </w:rPr>
        <w:t>Originally, the primary version of CPT was administered with a written account of trauma and cognitive-only CPT was administered</w:t>
      </w:r>
      <w:r>
        <w:rPr>
          <w:rFonts w:ascii="Arial"/>
          <w:color w:val="231F20"/>
          <w:spacing w:val="1"/>
          <w:sz w:val="18"/>
        </w:rPr>
        <w:t> </w:t>
      </w:r>
      <w:r>
        <w:rPr>
          <w:rFonts w:ascii="Arial"/>
          <w:color w:val="231F20"/>
          <w:sz w:val="18"/>
        </w:rPr>
        <w:t>without</w:t>
      </w:r>
      <w:r>
        <w:rPr>
          <w:rFonts w:ascii="Arial"/>
          <w:color w:val="231F20"/>
          <w:spacing w:val="-7"/>
          <w:sz w:val="18"/>
        </w:rPr>
        <w:t> </w:t>
      </w:r>
      <w:r>
        <w:rPr>
          <w:rFonts w:ascii="Arial"/>
          <w:color w:val="231F20"/>
          <w:sz w:val="18"/>
        </w:rPr>
        <w:t>a</w:t>
      </w:r>
      <w:r>
        <w:rPr>
          <w:rFonts w:ascii="Arial"/>
          <w:color w:val="231F20"/>
          <w:spacing w:val="-6"/>
          <w:sz w:val="18"/>
        </w:rPr>
        <w:t> </w:t>
      </w:r>
      <w:r>
        <w:rPr>
          <w:rFonts w:ascii="Arial"/>
          <w:color w:val="231F20"/>
          <w:sz w:val="18"/>
        </w:rPr>
        <w:t>written</w:t>
      </w:r>
      <w:r>
        <w:rPr>
          <w:rFonts w:ascii="Arial"/>
          <w:color w:val="231F20"/>
          <w:spacing w:val="-7"/>
          <w:sz w:val="18"/>
        </w:rPr>
        <w:t> </w:t>
      </w:r>
      <w:r>
        <w:rPr>
          <w:rFonts w:ascii="Arial"/>
          <w:color w:val="231F20"/>
          <w:sz w:val="18"/>
        </w:rPr>
        <w:t>account</w:t>
      </w:r>
      <w:r>
        <w:rPr>
          <w:rFonts w:ascii="Arial"/>
          <w:color w:val="231F20"/>
          <w:spacing w:val="-6"/>
          <w:sz w:val="18"/>
        </w:rPr>
        <w:t> </w:t>
      </w:r>
      <w:r>
        <w:rPr>
          <w:rFonts w:ascii="Arial"/>
          <w:color w:val="231F20"/>
          <w:sz w:val="18"/>
        </w:rPr>
        <w:t>of</w:t>
      </w:r>
      <w:r>
        <w:rPr>
          <w:rFonts w:ascii="Arial"/>
          <w:color w:val="231F20"/>
          <w:spacing w:val="-6"/>
          <w:sz w:val="18"/>
        </w:rPr>
        <w:t> </w:t>
      </w:r>
      <w:r>
        <w:rPr>
          <w:rFonts w:ascii="Arial"/>
          <w:color w:val="231F20"/>
          <w:sz w:val="18"/>
        </w:rPr>
        <w:t>trauma.</w:t>
      </w:r>
      <w:r>
        <w:rPr>
          <w:rFonts w:ascii="Arial"/>
          <w:color w:val="231F20"/>
          <w:spacing w:val="-7"/>
          <w:sz w:val="18"/>
        </w:rPr>
        <w:t> </w:t>
      </w:r>
      <w:r>
        <w:rPr>
          <w:rFonts w:ascii="Arial"/>
          <w:color w:val="231F20"/>
          <w:sz w:val="18"/>
        </w:rPr>
        <w:t>Research</w:t>
      </w:r>
      <w:r>
        <w:rPr>
          <w:rFonts w:ascii="Arial"/>
          <w:color w:val="231F20"/>
          <w:spacing w:val="-6"/>
          <w:sz w:val="18"/>
        </w:rPr>
        <w:t> </w:t>
      </w:r>
      <w:r>
        <w:rPr>
          <w:rFonts w:ascii="Arial"/>
          <w:color w:val="231F20"/>
          <w:sz w:val="18"/>
        </w:rPr>
        <w:t>comparing</w:t>
      </w:r>
      <w:r>
        <w:rPr>
          <w:rFonts w:ascii="Arial"/>
          <w:color w:val="231F20"/>
          <w:spacing w:val="-6"/>
          <w:sz w:val="18"/>
        </w:rPr>
        <w:t> </w:t>
      </w:r>
      <w:r>
        <w:rPr>
          <w:rFonts w:ascii="Arial"/>
          <w:color w:val="231F20"/>
          <w:sz w:val="18"/>
        </w:rPr>
        <w:t>the</w:t>
      </w:r>
      <w:r>
        <w:rPr>
          <w:rFonts w:ascii="Arial"/>
          <w:color w:val="231F20"/>
          <w:spacing w:val="-7"/>
          <w:sz w:val="18"/>
        </w:rPr>
        <w:t> </w:t>
      </w:r>
      <w:r>
        <w:rPr>
          <w:rFonts w:ascii="Arial"/>
          <w:color w:val="231F20"/>
          <w:sz w:val="18"/>
        </w:rPr>
        <w:t>efficacy</w:t>
      </w:r>
      <w:r>
        <w:rPr>
          <w:rFonts w:ascii="Arial"/>
          <w:color w:val="231F20"/>
          <w:spacing w:val="-6"/>
          <w:sz w:val="18"/>
        </w:rPr>
        <w:t> </w:t>
      </w:r>
      <w:r>
        <w:rPr>
          <w:rFonts w:ascii="Arial"/>
          <w:color w:val="231F20"/>
          <w:sz w:val="18"/>
        </w:rPr>
        <w:t>of</w:t>
      </w:r>
      <w:r>
        <w:rPr>
          <w:rFonts w:ascii="Arial"/>
          <w:color w:val="231F20"/>
          <w:spacing w:val="-7"/>
          <w:sz w:val="18"/>
        </w:rPr>
        <w:t> </w:t>
      </w:r>
      <w:r>
        <w:rPr>
          <w:rFonts w:ascii="Arial"/>
          <w:color w:val="231F20"/>
          <w:sz w:val="18"/>
        </w:rPr>
        <w:t>the</w:t>
      </w:r>
      <w:r>
        <w:rPr>
          <w:rFonts w:ascii="Arial"/>
          <w:color w:val="231F20"/>
          <w:spacing w:val="-6"/>
          <w:sz w:val="18"/>
        </w:rPr>
        <w:t> </w:t>
      </w:r>
      <w:r>
        <w:rPr>
          <w:rFonts w:ascii="Arial"/>
          <w:color w:val="231F20"/>
          <w:sz w:val="18"/>
        </w:rPr>
        <w:t>two</w:t>
      </w:r>
      <w:r>
        <w:rPr>
          <w:rFonts w:ascii="Arial"/>
          <w:color w:val="231F20"/>
          <w:spacing w:val="-6"/>
          <w:sz w:val="18"/>
        </w:rPr>
        <w:t> </w:t>
      </w:r>
      <w:r>
        <w:rPr>
          <w:rFonts w:ascii="Arial"/>
          <w:color w:val="231F20"/>
          <w:sz w:val="18"/>
        </w:rPr>
        <w:t>versions</w:t>
      </w:r>
      <w:r>
        <w:rPr>
          <w:rFonts w:ascii="Arial"/>
          <w:color w:val="231F20"/>
          <w:spacing w:val="-7"/>
          <w:sz w:val="18"/>
        </w:rPr>
        <w:t> </w:t>
      </w:r>
      <w:r>
        <w:rPr>
          <w:rFonts w:ascii="Arial"/>
          <w:color w:val="231F20"/>
          <w:sz w:val="18"/>
        </w:rPr>
        <w:t>found</w:t>
      </w:r>
      <w:r>
        <w:rPr>
          <w:rFonts w:ascii="Arial"/>
          <w:color w:val="231F20"/>
          <w:spacing w:val="-6"/>
          <w:sz w:val="18"/>
        </w:rPr>
        <w:t> </w:t>
      </w:r>
      <w:r>
        <w:rPr>
          <w:rFonts w:ascii="Arial"/>
          <w:color w:val="231F20"/>
          <w:sz w:val="18"/>
        </w:rPr>
        <w:t>that</w:t>
      </w:r>
      <w:r>
        <w:rPr>
          <w:rFonts w:ascii="Arial"/>
          <w:color w:val="231F20"/>
          <w:spacing w:val="-6"/>
          <w:sz w:val="18"/>
        </w:rPr>
        <w:t> </w:t>
      </w:r>
      <w:r>
        <w:rPr>
          <w:rFonts w:ascii="Arial"/>
          <w:color w:val="231F20"/>
          <w:sz w:val="18"/>
        </w:rPr>
        <w:t>both</w:t>
      </w:r>
      <w:r>
        <w:rPr>
          <w:rFonts w:ascii="Arial"/>
          <w:color w:val="231F20"/>
          <w:spacing w:val="-7"/>
          <w:sz w:val="18"/>
        </w:rPr>
        <w:t> </w:t>
      </w:r>
      <w:r>
        <w:rPr>
          <w:rFonts w:ascii="Arial"/>
          <w:color w:val="231F20"/>
          <w:sz w:val="18"/>
        </w:rPr>
        <w:t>versions</w:t>
      </w:r>
      <w:r>
        <w:rPr>
          <w:rFonts w:ascii="Arial"/>
          <w:color w:val="231F20"/>
          <w:spacing w:val="-6"/>
          <w:sz w:val="18"/>
        </w:rPr>
        <w:t> </w:t>
      </w:r>
      <w:r>
        <w:rPr>
          <w:rFonts w:ascii="Arial"/>
          <w:color w:val="231F20"/>
          <w:sz w:val="18"/>
        </w:rPr>
        <w:t>are</w:t>
      </w:r>
      <w:r>
        <w:rPr>
          <w:rFonts w:ascii="Arial"/>
          <w:color w:val="231F20"/>
          <w:spacing w:val="-6"/>
          <w:sz w:val="18"/>
        </w:rPr>
        <w:t> </w:t>
      </w:r>
      <w:r>
        <w:rPr>
          <w:rFonts w:ascii="Arial"/>
          <w:color w:val="231F20"/>
          <w:sz w:val="18"/>
        </w:rPr>
        <w:t>as</w:t>
      </w:r>
      <w:r>
        <w:rPr>
          <w:rFonts w:ascii="Arial"/>
          <w:color w:val="231F20"/>
          <w:spacing w:val="-7"/>
          <w:sz w:val="18"/>
        </w:rPr>
        <w:t> </w:t>
      </w:r>
      <w:r>
        <w:rPr>
          <w:rFonts w:ascii="Arial"/>
          <w:color w:val="231F20"/>
          <w:sz w:val="18"/>
        </w:rPr>
        <w:t>effective,</w:t>
      </w:r>
      <w:r>
        <w:rPr>
          <w:rFonts w:ascii="Arial"/>
          <w:color w:val="231F20"/>
          <w:spacing w:val="-6"/>
          <w:sz w:val="18"/>
        </w:rPr>
        <w:t> </w:t>
      </w:r>
      <w:r>
        <w:rPr>
          <w:rFonts w:ascii="Arial"/>
          <w:color w:val="231F20"/>
          <w:sz w:val="18"/>
        </w:rPr>
        <w:t>and,</w:t>
      </w:r>
      <w:r>
        <w:rPr>
          <w:rFonts w:ascii="Arial"/>
          <w:color w:val="231F20"/>
          <w:spacing w:val="1"/>
          <w:sz w:val="18"/>
        </w:rPr>
        <w:t> </w:t>
      </w:r>
      <w:r>
        <w:rPr>
          <w:rFonts w:ascii="Arial"/>
          <w:color w:val="231F20"/>
          <w:spacing w:val="-1"/>
          <w:sz w:val="18"/>
        </w:rPr>
        <w:t>notably, the cognitive-only version led to a decrease in dropout rate. As a result, the terminology changed and CPT without a written</w:t>
      </w:r>
      <w:r>
        <w:rPr>
          <w:rFonts w:ascii="Arial"/>
          <w:color w:val="231F20"/>
          <w:sz w:val="18"/>
        </w:rPr>
        <w:t> account</w:t>
      </w:r>
      <w:r>
        <w:rPr>
          <w:rFonts w:ascii="Arial"/>
          <w:color w:val="231F20"/>
          <w:spacing w:val="-8"/>
          <w:sz w:val="18"/>
        </w:rPr>
        <w:t> </w:t>
      </w:r>
      <w:r>
        <w:rPr>
          <w:rFonts w:ascii="Arial"/>
          <w:color w:val="231F20"/>
          <w:sz w:val="18"/>
        </w:rPr>
        <w:t>of</w:t>
      </w:r>
      <w:r>
        <w:rPr>
          <w:rFonts w:ascii="Arial"/>
          <w:color w:val="231F20"/>
          <w:spacing w:val="-7"/>
          <w:sz w:val="18"/>
        </w:rPr>
        <w:t> </w:t>
      </w:r>
      <w:r>
        <w:rPr>
          <w:rFonts w:ascii="Arial"/>
          <w:color w:val="231F20"/>
          <w:sz w:val="18"/>
        </w:rPr>
        <w:t>trauma</w:t>
      </w:r>
      <w:r>
        <w:rPr>
          <w:rFonts w:ascii="Arial"/>
          <w:color w:val="231F20"/>
          <w:spacing w:val="-7"/>
          <w:sz w:val="18"/>
        </w:rPr>
        <w:t> </w:t>
      </w:r>
      <w:r>
        <w:rPr>
          <w:rFonts w:ascii="Arial"/>
          <w:color w:val="231F20"/>
          <w:sz w:val="18"/>
        </w:rPr>
        <w:t>became</w:t>
      </w:r>
      <w:r>
        <w:rPr>
          <w:rFonts w:ascii="Arial"/>
          <w:color w:val="231F20"/>
          <w:spacing w:val="-7"/>
          <w:sz w:val="18"/>
        </w:rPr>
        <w:t> </w:t>
      </w:r>
      <w:r>
        <w:rPr>
          <w:rFonts w:ascii="Arial"/>
          <w:color w:val="231F20"/>
          <w:sz w:val="18"/>
        </w:rPr>
        <w:t>the</w:t>
      </w:r>
      <w:r>
        <w:rPr>
          <w:rFonts w:ascii="Arial"/>
          <w:color w:val="231F20"/>
          <w:spacing w:val="-7"/>
          <w:sz w:val="18"/>
        </w:rPr>
        <w:t> </w:t>
      </w:r>
      <w:r>
        <w:rPr>
          <w:rFonts w:ascii="Arial"/>
          <w:color w:val="231F20"/>
          <w:sz w:val="18"/>
        </w:rPr>
        <w:t>primary</w:t>
      </w:r>
      <w:r>
        <w:rPr>
          <w:rFonts w:ascii="Arial"/>
          <w:color w:val="231F20"/>
          <w:spacing w:val="-7"/>
          <w:sz w:val="18"/>
        </w:rPr>
        <w:t> </w:t>
      </w:r>
      <w:r>
        <w:rPr>
          <w:rFonts w:ascii="Arial"/>
          <w:color w:val="231F20"/>
          <w:sz w:val="18"/>
        </w:rPr>
        <w:t>version</w:t>
      </w:r>
      <w:r>
        <w:rPr>
          <w:rFonts w:ascii="Arial"/>
          <w:color w:val="231F20"/>
          <w:spacing w:val="-7"/>
          <w:sz w:val="18"/>
        </w:rPr>
        <w:t> </w:t>
      </w:r>
      <w:r>
        <w:rPr>
          <w:rFonts w:ascii="Arial"/>
          <w:color w:val="231F20"/>
          <w:sz w:val="18"/>
        </w:rPr>
        <w:t>implemented.</w:t>
      </w:r>
      <w:r>
        <w:rPr>
          <w:rFonts w:ascii="Arial"/>
          <w:color w:val="231F20"/>
          <w:spacing w:val="-7"/>
          <w:sz w:val="18"/>
        </w:rPr>
        <w:t> </w:t>
      </w:r>
      <w:r>
        <w:rPr>
          <w:rFonts w:ascii="Arial"/>
          <w:color w:val="231F20"/>
          <w:sz w:val="18"/>
        </w:rPr>
        <w:t>For</w:t>
      </w:r>
      <w:r>
        <w:rPr>
          <w:rFonts w:ascii="Arial"/>
          <w:color w:val="231F20"/>
          <w:spacing w:val="-8"/>
          <w:sz w:val="18"/>
        </w:rPr>
        <w:t> </w:t>
      </w:r>
      <w:r>
        <w:rPr>
          <w:rFonts w:ascii="Arial"/>
          <w:color w:val="231F20"/>
          <w:sz w:val="18"/>
        </w:rPr>
        <w:t>the</w:t>
      </w:r>
      <w:r>
        <w:rPr>
          <w:rFonts w:ascii="Arial"/>
          <w:color w:val="231F20"/>
          <w:spacing w:val="-7"/>
          <w:sz w:val="18"/>
        </w:rPr>
        <w:t> </w:t>
      </w:r>
      <w:r>
        <w:rPr>
          <w:rFonts w:ascii="Arial"/>
          <w:color w:val="231F20"/>
          <w:sz w:val="18"/>
        </w:rPr>
        <w:t>purpose</w:t>
      </w:r>
      <w:r>
        <w:rPr>
          <w:rFonts w:ascii="Arial"/>
          <w:color w:val="231F20"/>
          <w:spacing w:val="-7"/>
          <w:sz w:val="18"/>
        </w:rPr>
        <w:t> </w:t>
      </w:r>
      <w:r>
        <w:rPr>
          <w:rFonts w:ascii="Arial"/>
          <w:color w:val="231F20"/>
          <w:sz w:val="18"/>
        </w:rPr>
        <w:t>of</w:t>
      </w:r>
      <w:r>
        <w:rPr>
          <w:rFonts w:ascii="Arial"/>
          <w:color w:val="231F20"/>
          <w:spacing w:val="-7"/>
          <w:sz w:val="18"/>
        </w:rPr>
        <w:t> </w:t>
      </w:r>
      <w:r>
        <w:rPr>
          <w:rFonts w:ascii="Arial"/>
          <w:color w:val="231F20"/>
          <w:sz w:val="18"/>
        </w:rPr>
        <w:t>this</w:t>
      </w:r>
      <w:r>
        <w:rPr>
          <w:rFonts w:ascii="Arial"/>
          <w:color w:val="231F20"/>
          <w:spacing w:val="-7"/>
          <w:sz w:val="18"/>
        </w:rPr>
        <w:t> </w:t>
      </w:r>
      <w:r>
        <w:rPr>
          <w:rFonts w:ascii="Arial"/>
          <w:color w:val="231F20"/>
          <w:sz w:val="18"/>
        </w:rPr>
        <w:t>evidence</w:t>
      </w:r>
      <w:r>
        <w:rPr>
          <w:rFonts w:ascii="Arial"/>
          <w:color w:val="231F20"/>
          <w:spacing w:val="-7"/>
          <w:sz w:val="18"/>
        </w:rPr>
        <w:t> </w:t>
      </w:r>
      <w:r>
        <w:rPr>
          <w:rFonts w:ascii="Arial"/>
          <w:color w:val="231F20"/>
          <w:sz w:val="18"/>
        </w:rPr>
        <w:t>review,</w:t>
      </w:r>
      <w:r>
        <w:rPr>
          <w:rFonts w:ascii="Arial"/>
          <w:color w:val="231F20"/>
          <w:spacing w:val="-7"/>
          <w:sz w:val="18"/>
        </w:rPr>
        <w:t> </w:t>
      </w:r>
      <w:r>
        <w:rPr>
          <w:rFonts w:ascii="Arial"/>
          <w:color w:val="231F20"/>
          <w:sz w:val="18"/>
        </w:rPr>
        <w:t>this</w:t>
      </w:r>
      <w:r>
        <w:rPr>
          <w:rFonts w:ascii="Arial"/>
          <w:color w:val="231F20"/>
          <w:spacing w:val="-8"/>
          <w:sz w:val="18"/>
        </w:rPr>
        <w:t> </w:t>
      </w:r>
      <w:r>
        <w:rPr>
          <w:rFonts w:ascii="Arial"/>
          <w:color w:val="231F20"/>
          <w:sz w:val="18"/>
        </w:rPr>
        <w:t>guide</w:t>
      </w:r>
      <w:r>
        <w:rPr>
          <w:rFonts w:ascii="Arial"/>
          <w:color w:val="231F20"/>
          <w:spacing w:val="-7"/>
          <w:sz w:val="18"/>
        </w:rPr>
        <w:t> </w:t>
      </w:r>
      <w:r>
        <w:rPr>
          <w:rFonts w:ascii="Arial"/>
          <w:color w:val="231F20"/>
          <w:sz w:val="18"/>
        </w:rPr>
        <w:t>uses</w:t>
      </w:r>
      <w:r>
        <w:rPr>
          <w:rFonts w:ascii="Arial"/>
          <w:color w:val="231F20"/>
          <w:spacing w:val="-7"/>
          <w:sz w:val="18"/>
        </w:rPr>
        <w:t> </w:t>
      </w:r>
      <w:r>
        <w:rPr>
          <w:rFonts w:ascii="Arial"/>
          <w:color w:val="231F20"/>
          <w:sz w:val="18"/>
        </w:rPr>
        <w:t>the</w:t>
      </w:r>
      <w:r>
        <w:rPr>
          <w:rFonts w:ascii="Arial"/>
          <w:color w:val="231F20"/>
          <w:spacing w:val="-7"/>
          <w:sz w:val="18"/>
        </w:rPr>
        <w:t> </w:t>
      </w:r>
      <w:r>
        <w:rPr>
          <w:rFonts w:ascii="Arial"/>
          <w:color w:val="231F20"/>
          <w:sz w:val="18"/>
        </w:rPr>
        <w:t>terminology</w:t>
      </w:r>
      <w:r>
        <w:rPr>
          <w:rFonts w:ascii="Arial"/>
          <w:color w:val="231F20"/>
          <w:spacing w:val="-7"/>
          <w:sz w:val="18"/>
        </w:rPr>
        <w:t> </w:t>
      </w:r>
      <w:r>
        <w:rPr>
          <w:rFonts w:ascii="Arial"/>
          <w:color w:val="231F20"/>
          <w:sz w:val="18"/>
        </w:rPr>
        <w:t>as</w:t>
      </w:r>
      <w:r>
        <w:rPr>
          <w:rFonts w:ascii="Arial"/>
          <w:color w:val="231F20"/>
          <w:spacing w:val="-47"/>
          <w:sz w:val="18"/>
        </w:rPr>
        <w:t> </w:t>
      </w:r>
      <w:r>
        <w:rPr>
          <w:rFonts w:ascii="Arial"/>
          <w:color w:val="231F20"/>
          <w:sz w:val="18"/>
        </w:rPr>
        <w:t>CPT</w:t>
      </w:r>
      <w:r>
        <w:rPr>
          <w:rFonts w:ascii="Arial"/>
          <w:color w:val="231F20"/>
          <w:spacing w:val="-7"/>
          <w:sz w:val="18"/>
        </w:rPr>
        <w:t> </w:t>
      </w:r>
      <w:r>
        <w:rPr>
          <w:rFonts w:ascii="Arial"/>
          <w:color w:val="231F20"/>
          <w:sz w:val="18"/>
        </w:rPr>
        <w:t>delivered</w:t>
      </w:r>
      <w:r>
        <w:rPr>
          <w:rFonts w:ascii="Arial"/>
          <w:color w:val="231F20"/>
          <w:spacing w:val="-2"/>
          <w:sz w:val="18"/>
        </w:rPr>
        <w:t> </w:t>
      </w:r>
      <w:r>
        <w:rPr>
          <w:rFonts w:ascii="Arial"/>
          <w:color w:val="231F20"/>
          <w:sz w:val="18"/>
        </w:rPr>
        <w:t>with</w:t>
      </w:r>
      <w:r>
        <w:rPr>
          <w:rFonts w:ascii="Arial"/>
          <w:color w:val="231F20"/>
          <w:spacing w:val="-2"/>
          <w:sz w:val="18"/>
        </w:rPr>
        <w:t> </w:t>
      </w:r>
      <w:r>
        <w:rPr>
          <w:rFonts w:ascii="Arial"/>
          <w:color w:val="231F20"/>
          <w:sz w:val="18"/>
        </w:rPr>
        <w:t>or</w:t>
      </w:r>
      <w:r>
        <w:rPr>
          <w:rFonts w:ascii="Arial"/>
          <w:color w:val="231F20"/>
          <w:spacing w:val="-3"/>
          <w:sz w:val="18"/>
        </w:rPr>
        <w:t> </w:t>
      </w:r>
      <w:r>
        <w:rPr>
          <w:rFonts w:ascii="Arial"/>
          <w:color w:val="231F20"/>
          <w:sz w:val="18"/>
        </w:rPr>
        <w:t>without</w:t>
      </w:r>
      <w:r>
        <w:rPr>
          <w:rFonts w:ascii="Arial"/>
          <w:color w:val="231F20"/>
          <w:spacing w:val="-2"/>
          <w:sz w:val="18"/>
        </w:rPr>
        <w:t> </w:t>
      </w:r>
      <w:r>
        <w:rPr>
          <w:rFonts w:ascii="Arial"/>
          <w:color w:val="231F20"/>
          <w:sz w:val="18"/>
        </w:rPr>
        <w:t>a</w:t>
      </w:r>
      <w:r>
        <w:rPr>
          <w:rFonts w:ascii="Arial"/>
          <w:color w:val="231F20"/>
          <w:spacing w:val="-2"/>
          <w:sz w:val="18"/>
        </w:rPr>
        <w:t> </w:t>
      </w:r>
      <w:r>
        <w:rPr>
          <w:rFonts w:ascii="Arial"/>
          <w:color w:val="231F20"/>
          <w:sz w:val="18"/>
        </w:rPr>
        <w:t>written</w:t>
      </w:r>
      <w:r>
        <w:rPr>
          <w:rFonts w:ascii="Arial"/>
          <w:color w:val="231F20"/>
          <w:spacing w:val="-2"/>
          <w:sz w:val="18"/>
        </w:rPr>
        <w:t> </w:t>
      </w:r>
      <w:r>
        <w:rPr>
          <w:rFonts w:ascii="Arial"/>
          <w:color w:val="231F20"/>
          <w:sz w:val="18"/>
        </w:rPr>
        <w:t>account</w:t>
      </w:r>
      <w:r>
        <w:rPr>
          <w:rFonts w:ascii="Arial"/>
          <w:color w:val="231F20"/>
          <w:spacing w:val="-3"/>
          <w:sz w:val="18"/>
        </w:rPr>
        <w:t> </w:t>
      </w:r>
      <w:r>
        <w:rPr>
          <w:rFonts w:ascii="Arial"/>
          <w:color w:val="231F20"/>
          <w:sz w:val="18"/>
        </w:rPr>
        <w:t>of</w:t>
      </w:r>
      <w:r>
        <w:rPr>
          <w:rFonts w:ascii="Arial"/>
          <w:color w:val="231F20"/>
          <w:spacing w:val="-2"/>
          <w:sz w:val="18"/>
        </w:rPr>
        <w:t> </w:t>
      </w:r>
      <w:r>
        <w:rPr>
          <w:rFonts w:ascii="Arial"/>
          <w:color w:val="231F20"/>
          <w:sz w:val="18"/>
        </w:rPr>
        <w:t>trauma</w:t>
      </w:r>
      <w:r>
        <w:rPr>
          <w:rFonts w:ascii="Arial"/>
          <w:color w:val="231F20"/>
          <w:sz w:val="21"/>
        </w:rPr>
        <w:t>.</w:t>
      </w:r>
    </w:p>
    <w:p>
      <w:pPr>
        <w:spacing w:after="0" w:line="216" w:lineRule="exact"/>
        <w:jc w:val="left"/>
        <w:rPr>
          <w:rFonts w:ascii="Arial"/>
          <w:sz w:val="21"/>
        </w:rPr>
        <w:sectPr>
          <w:headerReference w:type="default" r:id="rId120"/>
          <w:footerReference w:type="default" r:id="rId121"/>
          <w:pgSz w:w="12240" w:h="15840"/>
          <w:pgMar w:header="0" w:footer="666" w:top="1980" w:bottom="860" w:left="600" w:right="0"/>
        </w:sectPr>
      </w:pPr>
    </w:p>
    <w:p>
      <w:pPr>
        <w:pStyle w:val="BodyText"/>
        <w:rPr>
          <w:rFonts w:ascii="Arial"/>
          <w:sz w:val="20"/>
        </w:rPr>
      </w:pPr>
    </w:p>
    <w:p>
      <w:pPr>
        <w:pStyle w:val="BodyText"/>
        <w:spacing w:before="6"/>
        <w:rPr>
          <w:rFonts w:ascii="Arial"/>
          <w:sz w:val="27"/>
        </w:rPr>
      </w:pPr>
    </w:p>
    <w:p>
      <w:pPr>
        <w:pStyle w:val="Heading5"/>
      </w:pPr>
      <w:bookmarkStart w:name="Prolonged Exposure (PE) Therapy via tele" w:id="23"/>
      <w:bookmarkEnd w:id="23"/>
      <w:r>
        <w:rPr>
          <w:b w:val="0"/>
        </w:rPr>
      </w:r>
      <w:r>
        <w:rPr>
          <w:color w:val="CE384B"/>
        </w:rPr>
        <w:t>Prolonged Exposure (PE) Therapy via telehealth</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5"/>
        </w:rPr>
      </w:pPr>
    </w:p>
    <w:tbl>
      <w:tblPr>
        <w:tblW w:w="0" w:type="auto"/>
        <w:jc w:val="left"/>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910"/>
        <w:gridCol w:w="8875"/>
      </w:tblGrid>
      <w:tr>
        <w:trPr>
          <w:trHeight w:val="1255" w:hRule="atLeast"/>
        </w:trPr>
        <w:tc>
          <w:tcPr>
            <w:tcW w:w="10785" w:type="dxa"/>
            <w:gridSpan w:val="2"/>
          </w:tcPr>
          <w:p>
            <w:pPr>
              <w:pStyle w:val="TableParagraph"/>
              <w:spacing w:line="249" w:lineRule="auto" w:before="33"/>
              <w:ind w:left="79" w:right="68"/>
              <w:rPr>
                <w:sz w:val="11"/>
              </w:rPr>
            </w:pPr>
            <w:r>
              <w:rPr>
                <w:color w:val="231F20"/>
                <w:spacing w:val="-1"/>
                <w:sz w:val="20"/>
              </w:rPr>
              <w:t>PE is a type of CBT that focuses on helping individuals confront </w:t>
            </w:r>
            <w:r>
              <w:rPr>
                <w:color w:val="231F20"/>
                <w:sz w:val="20"/>
              </w:rPr>
              <w:t>their fears from traumatic experiences.</w:t>
            </w:r>
            <w:r>
              <w:rPr>
                <w:color w:val="231F20"/>
                <w:position w:val="7"/>
                <w:sz w:val="11"/>
              </w:rPr>
              <w:t>61 </w:t>
            </w:r>
            <w:r>
              <w:rPr>
                <w:color w:val="231F20"/>
                <w:sz w:val="20"/>
              </w:rPr>
              <w:t>First developed</w:t>
            </w:r>
            <w:r>
              <w:rPr>
                <w:color w:val="231F20"/>
                <w:spacing w:val="1"/>
                <w:sz w:val="20"/>
              </w:rPr>
              <w:t> </w:t>
            </w:r>
            <w:r>
              <w:rPr>
                <w:color w:val="231F20"/>
                <w:sz w:val="20"/>
              </w:rPr>
              <w:t>as an intervention to treat sexual assault survivors suffering from PTSD, PE has been shown as effective for treating</w:t>
            </w:r>
            <w:r>
              <w:rPr>
                <w:color w:val="231F20"/>
                <w:spacing w:val="1"/>
                <w:sz w:val="20"/>
              </w:rPr>
              <w:t> </w:t>
            </w:r>
            <w:r>
              <w:rPr>
                <w:color w:val="231F20"/>
                <w:spacing w:val="-1"/>
                <w:sz w:val="20"/>
              </w:rPr>
              <w:t>survivors</w:t>
            </w:r>
            <w:r>
              <w:rPr>
                <w:color w:val="231F20"/>
                <w:spacing w:val="-13"/>
                <w:sz w:val="20"/>
              </w:rPr>
              <w:t> </w:t>
            </w:r>
            <w:r>
              <w:rPr>
                <w:color w:val="231F20"/>
                <w:spacing w:val="-1"/>
                <w:sz w:val="20"/>
              </w:rPr>
              <w:t>of</w:t>
            </w:r>
            <w:r>
              <w:rPr>
                <w:color w:val="231F20"/>
                <w:spacing w:val="-12"/>
                <w:sz w:val="20"/>
              </w:rPr>
              <w:t> </w:t>
            </w:r>
            <w:r>
              <w:rPr>
                <w:color w:val="231F20"/>
                <w:spacing w:val="-1"/>
                <w:sz w:val="20"/>
              </w:rPr>
              <w:t>varied</w:t>
            </w:r>
            <w:r>
              <w:rPr>
                <w:color w:val="231F20"/>
                <w:spacing w:val="-12"/>
                <w:sz w:val="20"/>
              </w:rPr>
              <w:t> </w:t>
            </w:r>
            <w:r>
              <w:rPr>
                <w:color w:val="231F20"/>
                <w:spacing w:val="-1"/>
                <w:sz w:val="20"/>
              </w:rPr>
              <w:t>traumas,</w:t>
            </w:r>
            <w:r>
              <w:rPr>
                <w:color w:val="231F20"/>
                <w:spacing w:val="-13"/>
                <w:sz w:val="20"/>
              </w:rPr>
              <w:t> </w:t>
            </w:r>
            <w:r>
              <w:rPr>
                <w:color w:val="231F20"/>
                <w:spacing w:val="-1"/>
                <w:sz w:val="20"/>
              </w:rPr>
              <w:t>including</w:t>
            </w:r>
            <w:r>
              <w:rPr>
                <w:color w:val="231F20"/>
                <w:spacing w:val="-12"/>
                <w:sz w:val="20"/>
              </w:rPr>
              <w:t> </w:t>
            </w:r>
            <w:r>
              <w:rPr>
                <w:color w:val="231F20"/>
                <w:spacing w:val="-1"/>
                <w:sz w:val="20"/>
              </w:rPr>
              <w:t>combat,</w:t>
            </w:r>
            <w:r>
              <w:rPr>
                <w:color w:val="231F20"/>
                <w:spacing w:val="-12"/>
                <w:sz w:val="20"/>
              </w:rPr>
              <w:t> </w:t>
            </w:r>
            <w:r>
              <w:rPr>
                <w:color w:val="231F20"/>
                <w:spacing w:val="-1"/>
                <w:sz w:val="20"/>
              </w:rPr>
              <w:t>accidents,</w:t>
            </w:r>
            <w:r>
              <w:rPr>
                <w:color w:val="231F20"/>
                <w:spacing w:val="-13"/>
                <w:sz w:val="20"/>
              </w:rPr>
              <w:t> </w:t>
            </w:r>
            <w:r>
              <w:rPr>
                <w:color w:val="231F20"/>
                <w:sz w:val="20"/>
              </w:rPr>
              <w:t>and</w:t>
            </w:r>
            <w:r>
              <w:rPr>
                <w:color w:val="231F20"/>
                <w:spacing w:val="-12"/>
                <w:sz w:val="20"/>
              </w:rPr>
              <w:t> </w:t>
            </w:r>
            <w:r>
              <w:rPr>
                <w:color w:val="231F20"/>
                <w:sz w:val="20"/>
              </w:rPr>
              <w:t>disasters.</w:t>
            </w:r>
            <w:r>
              <w:rPr>
                <w:color w:val="231F20"/>
                <w:position w:val="7"/>
                <w:sz w:val="11"/>
              </w:rPr>
              <w:t>62</w:t>
            </w:r>
            <w:r>
              <w:rPr>
                <w:color w:val="231F20"/>
                <w:spacing w:val="10"/>
                <w:position w:val="7"/>
                <w:sz w:val="11"/>
              </w:rPr>
              <w:t> </w:t>
            </w:r>
            <w:r>
              <w:rPr>
                <w:color w:val="231F20"/>
                <w:sz w:val="20"/>
              </w:rPr>
              <w:t>Through</w:t>
            </w:r>
            <w:r>
              <w:rPr>
                <w:color w:val="231F20"/>
                <w:spacing w:val="-13"/>
                <w:sz w:val="20"/>
              </w:rPr>
              <w:t> </w:t>
            </w:r>
            <w:r>
              <w:rPr>
                <w:color w:val="231F20"/>
                <w:sz w:val="20"/>
              </w:rPr>
              <w:t>weekly</w:t>
            </w:r>
            <w:r>
              <w:rPr>
                <w:color w:val="231F20"/>
                <w:spacing w:val="-12"/>
                <w:sz w:val="20"/>
              </w:rPr>
              <w:t> </w:t>
            </w:r>
            <w:r>
              <w:rPr>
                <w:color w:val="231F20"/>
                <w:sz w:val="20"/>
              </w:rPr>
              <w:t>sessions</w:t>
            </w:r>
            <w:r>
              <w:rPr>
                <w:color w:val="231F20"/>
                <w:spacing w:val="-12"/>
                <w:sz w:val="20"/>
              </w:rPr>
              <w:t> </w:t>
            </w:r>
            <w:r>
              <w:rPr>
                <w:color w:val="231F20"/>
                <w:sz w:val="20"/>
              </w:rPr>
              <w:t>of</w:t>
            </w:r>
            <w:r>
              <w:rPr>
                <w:color w:val="231F20"/>
                <w:spacing w:val="-12"/>
                <w:sz w:val="20"/>
              </w:rPr>
              <w:t> </w:t>
            </w:r>
            <w:r>
              <w:rPr>
                <w:color w:val="231F20"/>
                <w:sz w:val="20"/>
              </w:rPr>
              <w:t>PE,</w:t>
            </w:r>
            <w:r>
              <w:rPr>
                <w:color w:val="231F20"/>
                <w:spacing w:val="-13"/>
                <w:sz w:val="20"/>
              </w:rPr>
              <w:t> </w:t>
            </w:r>
            <w:r>
              <w:rPr>
                <w:color w:val="231F20"/>
                <w:sz w:val="20"/>
              </w:rPr>
              <w:t>individuals</w:t>
            </w:r>
            <w:r>
              <w:rPr>
                <w:color w:val="231F20"/>
                <w:spacing w:val="-12"/>
                <w:sz w:val="20"/>
              </w:rPr>
              <w:t> </w:t>
            </w:r>
            <w:r>
              <w:rPr>
                <w:color w:val="231F20"/>
                <w:sz w:val="20"/>
              </w:rPr>
              <w:t>learn</w:t>
            </w:r>
            <w:r>
              <w:rPr>
                <w:color w:val="231F20"/>
                <w:spacing w:val="-53"/>
                <w:sz w:val="20"/>
              </w:rPr>
              <w:t> </w:t>
            </w:r>
            <w:r>
              <w:rPr>
                <w:color w:val="231F20"/>
                <w:sz w:val="20"/>
              </w:rPr>
              <w:t>how to gradually approach their trauma-related memories and feelings.</w:t>
            </w:r>
            <w:r>
              <w:rPr>
                <w:color w:val="231F20"/>
                <w:position w:val="7"/>
                <w:sz w:val="11"/>
              </w:rPr>
              <w:t>61, 63 </w:t>
            </w:r>
            <w:r>
              <w:rPr>
                <w:color w:val="231F20"/>
                <w:sz w:val="20"/>
              </w:rPr>
              <w:t>Exposure therapy through imaginal exposure</w:t>
            </w:r>
            <w:r>
              <w:rPr>
                <w:color w:val="231F20"/>
                <w:spacing w:val="-53"/>
                <w:sz w:val="20"/>
              </w:rPr>
              <w:t> </w:t>
            </w:r>
            <w:r>
              <w:rPr>
                <w:color w:val="231F20"/>
                <w:spacing w:val="-1"/>
                <w:sz w:val="20"/>
              </w:rPr>
              <w:t>(describing</w:t>
            </w:r>
            <w:r>
              <w:rPr>
                <w:color w:val="231F20"/>
                <w:spacing w:val="-13"/>
                <w:sz w:val="20"/>
              </w:rPr>
              <w:t> </w:t>
            </w:r>
            <w:r>
              <w:rPr>
                <w:color w:val="231F20"/>
                <w:spacing w:val="-1"/>
                <w:sz w:val="20"/>
              </w:rPr>
              <w:t>the</w:t>
            </w:r>
            <w:r>
              <w:rPr>
                <w:color w:val="231F20"/>
                <w:spacing w:val="-13"/>
                <w:sz w:val="20"/>
              </w:rPr>
              <w:t> </w:t>
            </w:r>
            <w:r>
              <w:rPr>
                <w:color w:val="231F20"/>
                <w:spacing w:val="-1"/>
                <w:sz w:val="20"/>
              </w:rPr>
              <w:t>traumatic</w:t>
            </w:r>
            <w:r>
              <w:rPr>
                <w:color w:val="231F20"/>
                <w:spacing w:val="-13"/>
                <w:sz w:val="20"/>
              </w:rPr>
              <w:t> </w:t>
            </w:r>
            <w:r>
              <w:rPr>
                <w:color w:val="231F20"/>
                <w:spacing w:val="-1"/>
                <w:sz w:val="20"/>
              </w:rPr>
              <w:t>event)</w:t>
            </w:r>
            <w:r>
              <w:rPr>
                <w:color w:val="231F20"/>
                <w:spacing w:val="-13"/>
                <w:sz w:val="20"/>
              </w:rPr>
              <w:t> </w:t>
            </w:r>
            <w:r>
              <w:rPr>
                <w:color w:val="231F20"/>
                <w:spacing w:val="-1"/>
                <w:sz w:val="20"/>
              </w:rPr>
              <w:t>and</w:t>
            </w:r>
            <w:r>
              <w:rPr>
                <w:color w:val="231F20"/>
                <w:spacing w:val="-12"/>
                <w:sz w:val="20"/>
              </w:rPr>
              <w:t> </w:t>
            </w:r>
            <w:r>
              <w:rPr>
                <w:color w:val="231F20"/>
                <w:spacing w:val="-1"/>
                <w:sz w:val="20"/>
              </w:rPr>
              <w:t>in</w:t>
            </w:r>
            <w:r>
              <w:rPr>
                <w:color w:val="231F20"/>
                <w:spacing w:val="-13"/>
                <w:sz w:val="20"/>
              </w:rPr>
              <w:t> </w:t>
            </w:r>
            <w:r>
              <w:rPr>
                <w:color w:val="231F20"/>
                <w:sz w:val="20"/>
              </w:rPr>
              <w:t>vivo</w:t>
            </w:r>
            <w:r>
              <w:rPr>
                <w:color w:val="231F20"/>
                <w:spacing w:val="-13"/>
                <w:sz w:val="20"/>
              </w:rPr>
              <w:t> </w:t>
            </w:r>
            <w:r>
              <w:rPr>
                <w:color w:val="231F20"/>
                <w:sz w:val="20"/>
              </w:rPr>
              <w:t>exposure</w:t>
            </w:r>
            <w:r>
              <w:rPr>
                <w:color w:val="231F20"/>
                <w:spacing w:val="-13"/>
                <w:sz w:val="20"/>
              </w:rPr>
              <w:t> </w:t>
            </w:r>
            <w:r>
              <w:rPr>
                <w:color w:val="231F20"/>
                <w:sz w:val="20"/>
              </w:rPr>
              <w:t>(confronting</w:t>
            </w:r>
            <w:r>
              <w:rPr>
                <w:color w:val="231F20"/>
                <w:spacing w:val="-12"/>
                <w:sz w:val="20"/>
              </w:rPr>
              <w:t> </w:t>
            </w:r>
            <w:r>
              <w:rPr>
                <w:color w:val="231F20"/>
                <w:sz w:val="20"/>
              </w:rPr>
              <w:t>feared</w:t>
            </w:r>
            <w:r>
              <w:rPr>
                <w:color w:val="231F20"/>
                <w:spacing w:val="-13"/>
                <w:sz w:val="20"/>
              </w:rPr>
              <w:t> </w:t>
            </w:r>
            <w:r>
              <w:rPr>
                <w:color w:val="231F20"/>
                <w:sz w:val="20"/>
              </w:rPr>
              <w:t>stimuli)</w:t>
            </w:r>
            <w:r>
              <w:rPr>
                <w:color w:val="231F20"/>
                <w:spacing w:val="-13"/>
                <w:sz w:val="20"/>
              </w:rPr>
              <w:t> </w:t>
            </w:r>
            <w:r>
              <w:rPr>
                <w:color w:val="231F20"/>
                <w:sz w:val="20"/>
              </w:rPr>
              <w:t>also</w:t>
            </w:r>
            <w:r>
              <w:rPr>
                <w:color w:val="231F20"/>
                <w:spacing w:val="-13"/>
                <w:sz w:val="20"/>
              </w:rPr>
              <w:t> </w:t>
            </w:r>
            <w:r>
              <w:rPr>
                <w:color w:val="231F20"/>
                <w:sz w:val="20"/>
              </w:rPr>
              <w:t>helps</w:t>
            </w:r>
            <w:r>
              <w:rPr>
                <w:color w:val="231F20"/>
                <w:spacing w:val="-13"/>
                <w:sz w:val="20"/>
              </w:rPr>
              <w:t> </w:t>
            </w:r>
            <w:r>
              <w:rPr>
                <w:color w:val="231F20"/>
                <w:sz w:val="20"/>
              </w:rPr>
              <w:t>reduce</w:t>
            </w:r>
            <w:r>
              <w:rPr>
                <w:color w:val="231F20"/>
                <w:spacing w:val="-12"/>
                <w:sz w:val="20"/>
              </w:rPr>
              <w:t> </w:t>
            </w:r>
            <w:r>
              <w:rPr>
                <w:color w:val="231F20"/>
                <w:sz w:val="20"/>
              </w:rPr>
              <w:t>symptoms</w:t>
            </w:r>
            <w:r>
              <w:rPr>
                <w:color w:val="231F20"/>
                <w:spacing w:val="-13"/>
                <w:sz w:val="20"/>
              </w:rPr>
              <w:t> </w:t>
            </w:r>
            <w:r>
              <w:rPr>
                <w:color w:val="231F20"/>
                <w:sz w:val="20"/>
              </w:rPr>
              <w:t>of</w:t>
            </w:r>
            <w:r>
              <w:rPr>
                <w:color w:val="231F20"/>
                <w:spacing w:val="-13"/>
                <w:sz w:val="20"/>
              </w:rPr>
              <w:t> </w:t>
            </w:r>
            <w:r>
              <w:rPr>
                <w:color w:val="231F20"/>
                <w:sz w:val="20"/>
              </w:rPr>
              <w:t>PTSD.</w:t>
            </w:r>
            <w:r>
              <w:rPr>
                <w:color w:val="231F20"/>
                <w:position w:val="7"/>
                <w:sz w:val="11"/>
              </w:rPr>
              <w:t>48,61</w:t>
            </w:r>
          </w:p>
        </w:tc>
      </w:tr>
      <w:tr>
        <w:trPr>
          <w:trHeight w:val="1069" w:hRule="atLeast"/>
        </w:trPr>
        <w:tc>
          <w:tcPr>
            <w:tcW w:w="1910" w:type="dxa"/>
          </w:tcPr>
          <w:p>
            <w:pPr>
              <w:pStyle w:val="TableParagraph"/>
              <w:spacing w:before="33"/>
              <w:ind w:left="80"/>
              <w:rPr>
                <w:b/>
                <w:sz w:val="20"/>
              </w:rPr>
            </w:pPr>
            <w:r>
              <w:rPr>
                <w:b/>
                <w:color w:val="231F20"/>
                <w:sz w:val="20"/>
              </w:rPr>
              <w:t>Health</w:t>
            </w:r>
            <w:r>
              <w:rPr>
                <w:b/>
                <w:color w:val="231F20"/>
                <w:spacing w:val="-1"/>
                <w:sz w:val="20"/>
              </w:rPr>
              <w:t> </w:t>
            </w:r>
            <w:r>
              <w:rPr>
                <w:b/>
                <w:color w:val="231F20"/>
                <w:sz w:val="20"/>
              </w:rPr>
              <w:t>outcomes</w:t>
            </w:r>
          </w:p>
        </w:tc>
        <w:tc>
          <w:tcPr>
            <w:tcW w:w="8875" w:type="dxa"/>
          </w:tcPr>
          <w:p>
            <w:pPr>
              <w:pStyle w:val="TableParagraph"/>
              <w:numPr>
                <w:ilvl w:val="0"/>
                <w:numId w:val="43"/>
              </w:numPr>
              <w:tabs>
                <w:tab w:pos="439" w:val="left" w:leader="none"/>
                <w:tab w:pos="440" w:val="left" w:leader="none"/>
              </w:tabs>
              <w:spacing w:line="247" w:lineRule="auto" w:before="19" w:after="0"/>
              <w:ind w:left="439" w:right="443" w:hanging="360"/>
              <w:jc w:val="left"/>
              <w:rPr>
                <w:sz w:val="20"/>
              </w:rPr>
            </w:pPr>
            <w:r>
              <w:rPr>
                <w:color w:val="231F20"/>
                <w:sz w:val="20"/>
              </w:rPr>
              <w:t>Reduction in the severity of PTSD symptoms</w:t>
            </w:r>
            <w:r>
              <w:rPr>
                <w:color w:val="231F20"/>
                <w:position w:val="7"/>
                <w:sz w:val="11"/>
              </w:rPr>
              <w:t>64-69</w:t>
            </w:r>
            <w:r>
              <w:rPr>
                <w:color w:val="231F20"/>
                <w:spacing w:val="1"/>
                <w:position w:val="7"/>
                <w:sz w:val="11"/>
              </w:rPr>
              <w:t> </w:t>
            </w:r>
            <w:r>
              <w:rPr>
                <w:color w:val="231F20"/>
                <w:sz w:val="20"/>
              </w:rPr>
              <w:t>(compared with both no treatment and in-</w:t>
            </w:r>
            <w:r>
              <w:rPr>
                <w:color w:val="231F20"/>
                <w:spacing w:val="-53"/>
                <w:sz w:val="20"/>
              </w:rPr>
              <w:t> </w:t>
            </w:r>
            <w:r>
              <w:rPr>
                <w:color w:val="231F20"/>
                <w:sz w:val="20"/>
              </w:rPr>
              <w:t>person PE therapy)</w:t>
            </w:r>
          </w:p>
          <w:p>
            <w:pPr>
              <w:pStyle w:val="TableParagraph"/>
              <w:numPr>
                <w:ilvl w:val="0"/>
                <w:numId w:val="43"/>
              </w:numPr>
              <w:tabs>
                <w:tab w:pos="439" w:val="left" w:leader="none"/>
                <w:tab w:pos="440" w:val="left" w:leader="none"/>
              </w:tabs>
              <w:spacing w:line="233" w:lineRule="exact" w:before="0" w:after="0"/>
              <w:ind w:left="440" w:right="0" w:hanging="361"/>
              <w:jc w:val="left"/>
              <w:rPr>
                <w:sz w:val="11"/>
              </w:rPr>
            </w:pPr>
            <w:r>
              <w:rPr>
                <w:color w:val="231F20"/>
                <w:sz w:val="20"/>
              </w:rPr>
              <w:t>Reductions</w:t>
            </w:r>
            <w:r>
              <w:rPr>
                <w:color w:val="231F20"/>
                <w:spacing w:val="4"/>
                <w:sz w:val="20"/>
              </w:rPr>
              <w:t> </w:t>
            </w:r>
            <w:r>
              <w:rPr>
                <w:color w:val="231F20"/>
                <w:sz w:val="20"/>
              </w:rPr>
              <w:t>in</w:t>
            </w:r>
            <w:r>
              <w:rPr>
                <w:color w:val="231F20"/>
                <w:spacing w:val="3"/>
                <w:sz w:val="20"/>
              </w:rPr>
              <w:t> </w:t>
            </w:r>
            <w:r>
              <w:rPr>
                <w:color w:val="231F20"/>
                <w:sz w:val="20"/>
              </w:rPr>
              <w:t>symptoms</w:t>
            </w:r>
            <w:r>
              <w:rPr>
                <w:color w:val="231F20"/>
                <w:spacing w:val="4"/>
                <w:sz w:val="20"/>
              </w:rPr>
              <w:t> </w:t>
            </w:r>
            <w:r>
              <w:rPr>
                <w:color w:val="231F20"/>
                <w:sz w:val="20"/>
              </w:rPr>
              <w:t>of</w:t>
            </w:r>
            <w:r>
              <w:rPr>
                <w:color w:val="231F20"/>
                <w:spacing w:val="4"/>
                <w:sz w:val="20"/>
              </w:rPr>
              <w:t> </w:t>
            </w:r>
            <w:r>
              <w:rPr>
                <w:color w:val="231F20"/>
                <w:sz w:val="20"/>
              </w:rPr>
              <w:t>anxiety</w:t>
            </w:r>
            <w:r>
              <w:rPr>
                <w:color w:val="231F20"/>
                <w:position w:val="7"/>
                <w:sz w:val="11"/>
              </w:rPr>
              <w:t>64,</w:t>
            </w:r>
            <w:r>
              <w:rPr>
                <w:color w:val="231F20"/>
                <w:spacing w:val="4"/>
                <w:position w:val="7"/>
                <w:sz w:val="11"/>
              </w:rPr>
              <w:t> </w:t>
            </w:r>
            <w:r>
              <w:rPr>
                <w:color w:val="231F20"/>
                <w:position w:val="7"/>
                <w:sz w:val="11"/>
              </w:rPr>
              <w:t>68,</w:t>
            </w:r>
            <w:r>
              <w:rPr>
                <w:color w:val="231F20"/>
                <w:spacing w:val="3"/>
                <w:position w:val="7"/>
                <w:sz w:val="11"/>
              </w:rPr>
              <w:t> </w:t>
            </w:r>
            <w:r>
              <w:rPr>
                <w:color w:val="231F20"/>
                <w:position w:val="7"/>
                <w:sz w:val="11"/>
              </w:rPr>
              <w:t>69</w:t>
            </w:r>
          </w:p>
          <w:p>
            <w:pPr>
              <w:pStyle w:val="TableParagraph"/>
              <w:numPr>
                <w:ilvl w:val="0"/>
                <w:numId w:val="43"/>
              </w:numPr>
              <w:tabs>
                <w:tab w:pos="439" w:val="left" w:leader="none"/>
                <w:tab w:pos="440" w:val="left" w:leader="none"/>
              </w:tabs>
              <w:spacing w:line="243" w:lineRule="exact" w:before="0" w:after="0"/>
              <w:ind w:left="440" w:right="0" w:hanging="360"/>
              <w:jc w:val="left"/>
              <w:rPr>
                <w:sz w:val="11"/>
              </w:rPr>
            </w:pPr>
            <w:r>
              <w:rPr>
                <w:color w:val="231F20"/>
                <w:sz w:val="20"/>
              </w:rPr>
              <w:t>Reductions</w:t>
            </w:r>
            <w:r>
              <w:rPr>
                <w:color w:val="231F20"/>
                <w:spacing w:val="3"/>
                <w:sz w:val="20"/>
              </w:rPr>
              <w:t> </w:t>
            </w:r>
            <w:r>
              <w:rPr>
                <w:color w:val="231F20"/>
                <w:sz w:val="20"/>
              </w:rPr>
              <w:t>in</w:t>
            </w:r>
            <w:r>
              <w:rPr>
                <w:color w:val="231F20"/>
                <w:spacing w:val="3"/>
                <w:sz w:val="20"/>
              </w:rPr>
              <w:t> </w:t>
            </w:r>
            <w:r>
              <w:rPr>
                <w:color w:val="231F20"/>
                <w:sz w:val="20"/>
              </w:rPr>
              <w:t>symptoms</w:t>
            </w:r>
            <w:r>
              <w:rPr>
                <w:color w:val="231F20"/>
                <w:spacing w:val="3"/>
                <w:sz w:val="20"/>
              </w:rPr>
              <w:t> </w:t>
            </w:r>
            <w:r>
              <w:rPr>
                <w:color w:val="231F20"/>
                <w:sz w:val="20"/>
              </w:rPr>
              <w:t>of</w:t>
            </w:r>
            <w:r>
              <w:rPr>
                <w:color w:val="231F20"/>
                <w:spacing w:val="3"/>
                <w:sz w:val="20"/>
              </w:rPr>
              <w:t> </w:t>
            </w:r>
            <w:r>
              <w:rPr>
                <w:color w:val="231F20"/>
                <w:sz w:val="20"/>
              </w:rPr>
              <w:t>depression</w:t>
            </w:r>
            <w:r>
              <w:rPr>
                <w:color w:val="231F20"/>
                <w:position w:val="7"/>
                <w:sz w:val="11"/>
              </w:rPr>
              <w:t>64-69</w:t>
            </w:r>
          </w:p>
        </w:tc>
      </w:tr>
      <w:tr>
        <w:trPr>
          <w:trHeight w:val="2099" w:hRule="atLeast"/>
        </w:trPr>
        <w:tc>
          <w:tcPr>
            <w:tcW w:w="1910" w:type="dxa"/>
          </w:tcPr>
          <w:p>
            <w:pPr>
              <w:pStyle w:val="TableParagraph"/>
              <w:spacing w:before="33"/>
              <w:ind w:left="80"/>
              <w:rPr>
                <w:b/>
                <w:sz w:val="20"/>
              </w:rPr>
            </w:pPr>
            <w:r>
              <w:rPr>
                <w:b/>
                <w:color w:val="231F20"/>
                <w:sz w:val="20"/>
              </w:rPr>
              <w:t>Telehealth-</w:t>
            </w:r>
          </w:p>
          <w:p>
            <w:pPr>
              <w:pStyle w:val="TableParagraph"/>
              <w:spacing w:before="10"/>
              <w:ind w:left="80"/>
              <w:rPr>
                <w:b/>
                <w:sz w:val="20"/>
              </w:rPr>
            </w:pPr>
            <w:r>
              <w:rPr>
                <w:b/>
                <w:color w:val="231F20"/>
                <w:sz w:val="20"/>
              </w:rPr>
              <w:t>specific</w:t>
            </w:r>
            <w:r>
              <w:rPr>
                <w:b/>
                <w:color w:val="231F20"/>
                <w:spacing w:val="-5"/>
                <w:sz w:val="20"/>
              </w:rPr>
              <w:t> </w:t>
            </w:r>
            <w:r>
              <w:rPr>
                <w:b/>
                <w:color w:val="231F20"/>
                <w:sz w:val="20"/>
              </w:rPr>
              <w:t>outcomes</w:t>
            </w:r>
          </w:p>
        </w:tc>
        <w:tc>
          <w:tcPr>
            <w:tcW w:w="8875" w:type="dxa"/>
          </w:tcPr>
          <w:p>
            <w:pPr>
              <w:pStyle w:val="TableParagraph"/>
              <w:spacing w:before="33"/>
              <w:ind w:left="80"/>
              <w:rPr>
                <w:sz w:val="20"/>
              </w:rPr>
            </w:pPr>
            <w:r>
              <w:rPr>
                <w:color w:val="231F20"/>
                <w:sz w:val="20"/>
              </w:rPr>
              <w:t>When</w:t>
            </w:r>
            <w:r>
              <w:rPr>
                <w:color w:val="231F20"/>
                <w:spacing w:val="-1"/>
                <w:sz w:val="20"/>
              </w:rPr>
              <w:t> </w:t>
            </w:r>
            <w:r>
              <w:rPr>
                <w:color w:val="231F20"/>
                <w:sz w:val="20"/>
              </w:rPr>
              <w:t>compared to in-person treatments:</w:t>
            </w:r>
          </w:p>
          <w:p>
            <w:pPr>
              <w:pStyle w:val="TableParagraph"/>
              <w:numPr>
                <w:ilvl w:val="0"/>
                <w:numId w:val="44"/>
              </w:numPr>
              <w:tabs>
                <w:tab w:pos="439" w:val="left" w:leader="none"/>
                <w:tab w:pos="440" w:val="left" w:leader="none"/>
              </w:tabs>
              <w:spacing w:line="243" w:lineRule="exact" w:before="86" w:after="0"/>
              <w:ind w:left="440" w:right="0" w:hanging="360"/>
              <w:jc w:val="left"/>
              <w:rPr>
                <w:sz w:val="11"/>
              </w:rPr>
            </w:pPr>
            <w:r>
              <w:rPr>
                <w:color w:val="231F20"/>
                <w:sz w:val="20"/>
              </w:rPr>
              <w:t>Increased access</w:t>
            </w:r>
            <w:r>
              <w:rPr>
                <w:color w:val="231F20"/>
                <w:spacing w:val="1"/>
                <w:sz w:val="20"/>
              </w:rPr>
              <w:t> </w:t>
            </w:r>
            <w:r>
              <w:rPr>
                <w:color w:val="231F20"/>
                <w:sz w:val="20"/>
              </w:rPr>
              <w:t>to</w:t>
            </w:r>
            <w:r>
              <w:rPr>
                <w:color w:val="231F20"/>
                <w:spacing w:val="1"/>
                <w:sz w:val="20"/>
              </w:rPr>
              <w:t> </w:t>
            </w:r>
            <w:r>
              <w:rPr>
                <w:color w:val="231F20"/>
                <w:sz w:val="20"/>
              </w:rPr>
              <w:t>care</w:t>
            </w:r>
            <w:r>
              <w:rPr>
                <w:color w:val="231F20"/>
                <w:spacing w:val="1"/>
                <w:sz w:val="20"/>
              </w:rPr>
              <w:t> </w:t>
            </w:r>
            <w:r>
              <w:rPr>
                <w:color w:val="231F20"/>
                <w:sz w:val="20"/>
              </w:rPr>
              <w:t>for</w:t>
            </w:r>
            <w:r>
              <w:rPr>
                <w:color w:val="231F20"/>
                <w:spacing w:val="1"/>
                <w:sz w:val="20"/>
              </w:rPr>
              <w:t> </w:t>
            </w:r>
            <w:r>
              <w:rPr>
                <w:color w:val="231F20"/>
                <w:sz w:val="20"/>
              </w:rPr>
              <w:t>rural</w:t>
            </w:r>
            <w:r>
              <w:rPr>
                <w:color w:val="231F20"/>
                <w:spacing w:val="1"/>
                <w:sz w:val="20"/>
              </w:rPr>
              <w:t> </w:t>
            </w:r>
            <w:r>
              <w:rPr>
                <w:color w:val="231F20"/>
                <w:sz w:val="20"/>
              </w:rPr>
              <w:t>veterans</w:t>
            </w:r>
            <w:r>
              <w:rPr>
                <w:color w:val="231F20"/>
                <w:position w:val="7"/>
                <w:sz w:val="11"/>
              </w:rPr>
              <w:t>68</w:t>
            </w:r>
          </w:p>
          <w:p>
            <w:pPr>
              <w:pStyle w:val="TableParagraph"/>
              <w:numPr>
                <w:ilvl w:val="0"/>
                <w:numId w:val="44"/>
              </w:numPr>
              <w:tabs>
                <w:tab w:pos="439" w:val="left" w:leader="none"/>
                <w:tab w:pos="440" w:val="left" w:leader="none"/>
              </w:tabs>
              <w:spacing w:line="249" w:lineRule="auto" w:before="0" w:after="0"/>
              <w:ind w:left="439" w:right="141" w:hanging="360"/>
              <w:jc w:val="left"/>
              <w:rPr>
                <w:sz w:val="11"/>
              </w:rPr>
            </w:pPr>
            <w:r>
              <w:rPr>
                <w:color w:val="231F20"/>
                <w:sz w:val="20"/>
              </w:rPr>
              <w:t>No statistical differences in client satisfaction, although participants in the in-person group</w:t>
            </w:r>
            <w:r>
              <w:rPr>
                <w:color w:val="231F20"/>
                <w:spacing w:val="1"/>
                <w:sz w:val="20"/>
              </w:rPr>
              <w:t> </w:t>
            </w:r>
            <w:r>
              <w:rPr>
                <w:color w:val="231F20"/>
                <w:sz w:val="20"/>
              </w:rPr>
              <w:t>reported a higher level of comfort when communicating with their therapist than participants in</w:t>
            </w:r>
            <w:r>
              <w:rPr>
                <w:color w:val="231F20"/>
                <w:spacing w:val="-54"/>
                <w:sz w:val="20"/>
              </w:rPr>
              <w:t> </w:t>
            </w:r>
            <w:r>
              <w:rPr>
                <w:color w:val="231F20"/>
                <w:sz w:val="20"/>
              </w:rPr>
              <w:t>the telehealth group</w:t>
            </w:r>
            <w:r>
              <w:rPr>
                <w:color w:val="231F20"/>
                <w:position w:val="7"/>
                <w:sz w:val="11"/>
              </w:rPr>
              <w:t>64</w:t>
            </w:r>
          </w:p>
          <w:p>
            <w:pPr>
              <w:pStyle w:val="TableParagraph"/>
              <w:numPr>
                <w:ilvl w:val="0"/>
                <w:numId w:val="44"/>
              </w:numPr>
              <w:tabs>
                <w:tab w:pos="439" w:val="left" w:leader="none"/>
                <w:tab w:pos="440" w:val="left" w:leader="none"/>
              </w:tabs>
              <w:spacing w:line="229" w:lineRule="exact" w:before="0" w:after="0"/>
              <w:ind w:left="440" w:right="0" w:hanging="360"/>
              <w:jc w:val="left"/>
              <w:rPr>
                <w:sz w:val="11"/>
              </w:rPr>
            </w:pPr>
            <w:r>
              <w:rPr>
                <w:color w:val="231F20"/>
                <w:sz w:val="20"/>
              </w:rPr>
              <w:t>High</w:t>
            </w:r>
            <w:r>
              <w:rPr>
                <w:color w:val="231F20"/>
                <w:spacing w:val="1"/>
                <w:sz w:val="20"/>
              </w:rPr>
              <w:t> </w:t>
            </w:r>
            <w:r>
              <w:rPr>
                <w:color w:val="231F20"/>
                <w:sz w:val="20"/>
              </w:rPr>
              <w:t>acceptability</w:t>
            </w:r>
            <w:r>
              <w:rPr>
                <w:color w:val="231F20"/>
                <w:spacing w:val="1"/>
                <w:sz w:val="20"/>
              </w:rPr>
              <w:t> </w:t>
            </w:r>
            <w:r>
              <w:rPr>
                <w:color w:val="231F20"/>
                <w:sz w:val="20"/>
              </w:rPr>
              <w:t>of</w:t>
            </w:r>
            <w:r>
              <w:rPr>
                <w:color w:val="231F20"/>
                <w:spacing w:val="1"/>
                <w:sz w:val="20"/>
              </w:rPr>
              <w:t> </w:t>
            </w:r>
            <w:r>
              <w:rPr>
                <w:color w:val="231F20"/>
                <w:sz w:val="20"/>
              </w:rPr>
              <w:t>telehealth</w:t>
            </w:r>
            <w:r>
              <w:rPr>
                <w:color w:val="231F20"/>
                <w:spacing w:val="2"/>
                <w:sz w:val="20"/>
              </w:rPr>
              <w:t> </w:t>
            </w:r>
            <w:r>
              <w:rPr>
                <w:color w:val="231F20"/>
                <w:sz w:val="20"/>
              </w:rPr>
              <w:t>modalities</w:t>
            </w:r>
            <w:r>
              <w:rPr>
                <w:color w:val="231F20"/>
                <w:position w:val="7"/>
                <w:sz w:val="11"/>
              </w:rPr>
              <w:t>66</w:t>
            </w:r>
          </w:p>
          <w:p>
            <w:pPr>
              <w:pStyle w:val="TableParagraph"/>
              <w:numPr>
                <w:ilvl w:val="0"/>
                <w:numId w:val="44"/>
              </w:numPr>
              <w:tabs>
                <w:tab w:pos="439" w:val="left" w:leader="none"/>
                <w:tab w:pos="441" w:val="left" w:leader="none"/>
              </w:tabs>
              <w:spacing w:line="247" w:lineRule="auto" w:before="0" w:after="0"/>
              <w:ind w:left="440" w:right="664" w:hanging="360"/>
              <w:jc w:val="left"/>
              <w:rPr>
                <w:sz w:val="11"/>
              </w:rPr>
            </w:pPr>
            <w:r>
              <w:rPr>
                <w:color w:val="231F20"/>
                <w:sz w:val="20"/>
              </w:rPr>
              <w:t>Reductions</w:t>
            </w:r>
            <w:r>
              <w:rPr>
                <w:color w:val="231F20"/>
                <w:spacing w:val="-2"/>
                <w:sz w:val="20"/>
              </w:rPr>
              <w:t> </w:t>
            </w:r>
            <w:r>
              <w:rPr>
                <w:color w:val="231F20"/>
                <w:sz w:val="20"/>
              </w:rPr>
              <w:t>in</w:t>
            </w:r>
            <w:r>
              <w:rPr>
                <w:color w:val="231F20"/>
                <w:spacing w:val="-1"/>
                <w:sz w:val="20"/>
              </w:rPr>
              <w:t> </w:t>
            </w:r>
            <w:r>
              <w:rPr>
                <w:color w:val="231F20"/>
                <w:sz w:val="20"/>
              </w:rPr>
              <w:t>the</w:t>
            </w:r>
            <w:r>
              <w:rPr>
                <w:color w:val="231F20"/>
                <w:spacing w:val="-1"/>
                <w:sz w:val="20"/>
              </w:rPr>
              <w:t> </w:t>
            </w:r>
            <w:r>
              <w:rPr>
                <w:color w:val="231F20"/>
                <w:sz w:val="20"/>
              </w:rPr>
              <w:t>extent</w:t>
            </w:r>
            <w:r>
              <w:rPr>
                <w:color w:val="231F20"/>
                <w:spacing w:val="-2"/>
                <w:sz w:val="20"/>
              </w:rPr>
              <w:t> </w:t>
            </w:r>
            <w:r>
              <w:rPr>
                <w:color w:val="231F20"/>
                <w:sz w:val="20"/>
              </w:rPr>
              <w:t>to</w:t>
            </w:r>
            <w:r>
              <w:rPr>
                <w:color w:val="231F20"/>
                <w:spacing w:val="-1"/>
                <w:sz w:val="20"/>
              </w:rPr>
              <w:t> </w:t>
            </w:r>
            <w:r>
              <w:rPr>
                <w:color w:val="231F20"/>
                <w:sz w:val="20"/>
              </w:rPr>
              <w:t>which</w:t>
            </w:r>
            <w:r>
              <w:rPr>
                <w:color w:val="231F20"/>
                <w:spacing w:val="-1"/>
                <w:sz w:val="20"/>
              </w:rPr>
              <w:t> </w:t>
            </w:r>
            <w:r>
              <w:rPr>
                <w:color w:val="231F20"/>
                <w:sz w:val="20"/>
              </w:rPr>
              <w:t>PTSD</w:t>
            </w:r>
            <w:r>
              <w:rPr>
                <w:color w:val="231F20"/>
                <w:spacing w:val="-2"/>
                <w:sz w:val="20"/>
              </w:rPr>
              <w:t> </w:t>
            </w:r>
            <w:r>
              <w:rPr>
                <w:color w:val="231F20"/>
                <w:sz w:val="20"/>
              </w:rPr>
              <w:t>interferes</w:t>
            </w:r>
            <w:r>
              <w:rPr>
                <w:color w:val="231F20"/>
                <w:spacing w:val="-1"/>
                <w:sz w:val="20"/>
              </w:rPr>
              <w:t> </w:t>
            </w:r>
            <w:r>
              <w:rPr>
                <w:color w:val="231F20"/>
                <w:sz w:val="20"/>
              </w:rPr>
              <w:t>with</w:t>
            </w:r>
            <w:r>
              <w:rPr>
                <w:color w:val="231F20"/>
                <w:spacing w:val="-1"/>
                <w:sz w:val="20"/>
              </w:rPr>
              <w:t> </w:t>
            </w:r>
            <w:r>
              <w:rPr>
                <w:color w:val="231F20"/>
                <w:sz w:val="20"/>
              </w:rPr>
              <w:t>activities</w:t>
            </w:r>
            <w:r>
              <w:rPr>
                <w:color w:val="231F20"/>
                <w:spacing w:val="-1"/>
                <w:sz w:val="20"/>
              </w:rPr>
              <w:t> </w:t>
            </w:r>
            <w:r>
              <w:rPr>
                <w:color w:val="231F20"/>
                <w:sz w:val="20"/>
              </w:rPr>
              <w:t>of</w:t>
            </w:r>
            <w:r>
              <w:rPr>
                <w:color w:val="231F20"/>
                <w:spacing w:val="-2"/>
                <w:sz w:val="20"/>
              </w:rPr>
              <w:t> </w:t>
            </w:r>
            <w:r>
              <w:rPr>
                <w:color w:val="231F20"/>
                <w:sz w:val="20"/>
              </w:rPr>
              <w:t>daily</w:t>
            </w:r>
            <w:r>
              <w:rPr>
                <w:color w:val="231F20"/>
                <w:spacing w:val="-1"/>
                <w:sz w:val="20"/>
              </w:rPr>
              <w:t> </w:t>
            </w:r>
            <w:r>
              <w:rPr>
                <w:color w:val="231F20"/>
                <w:sz w:val="20"/>
              </w:rPr>
              <w:t>living</w:t>
            </w:r>
            <w:r>
              <w:rPr>
                <w:color w:val="231F20"/>
                <w:spacing w:val="-1"/>
                <w:sz w:val="20"/>
              </w:rPr>
              <w:t> </w:t>
            </w:r>
            <w:r>
              <w:rPr>
                <w:color w:val="231F20"/>
                <w:sz w:val="20"/>
              </w:rPr>
              <w:t>(including</w:t>
            </w:r>
            <w:r>
              <w:rPr>
                <w:color w:val="231F20"/>
                <w:spacing w:val="-53"/>
                <w:sz w:val="20"/>
              </w:rPr>
              <w:t> </w:t>
            </w:r>
            <w:r>
              <w:rPr>
                <w:color w:val="231F20"/>
                <w:sz w:val="20"/>
              </w:rPr>
              <w:t>health, diet, and work)</w:t>
            </w:r>
            <w:r>
              <w:rPr>
                <w:color w:val="231F20"/>
                <w:position w:val="7"/>
                <w:sz w:val="11"/>
              </w:rPr>
              <w:t>69</w:t>
            </w:r>
          </w:p>
        </w:tc>
      </w:tr>
      <w:tr>
        <w:trPr>
          <w:trHeight w:val="911" w:hRule="atLeast"/>
        </w:trPr>
        <w:tc>
          <w:tcPr>
            <w:tcW w:w="1910" w:type="dxa"/>
          </w:tcPr>
          <w:p>
            <w:pPr>
              <w:pStyle w:val="TableParagraph"/>
              <w:spacing w:line="249" w:lineRule="auto" w:before="33"/>
              <w:ind w:left="80" w:right="251"/>
              <w:jc w:val="both"/>
              <w:rPr>
                <w:b/>
                <w:sz w:val="20"/>
              </w:rPr>
            </w:pPr>
            <w:r>
              <w:rPr>
                <w:b/>
                <w:color w:val="231F20"/>
                <w:sz w:val="20"/>
              </w:rPr>
              <w:t>Populations that</w:t>
            </w:r>
            <w:r>
              <w:rPr>
                <w:b/>
                <w:color w:val="231F20"/>
                <w:spacing w:val="-54"/>
                <w:sz w:val="20"/>
              </w:rPr>
              <w:t> </w:t>
            </w:r>
            <w:r>
              <w:rPr>
                <w:b/>
                <w:color w:val="231F20"/>
                <w:sz w:val="20"/>
              </w:rPr>
              <w:t>benefit from the</w:t>
            </w:r>
            <w:r>
              <w:rPr>
                <w:b/>
                <w:color w:val="231F20"/>
                <w:spacing w:val="1"/>
                <w:sz w:val="20"/>
              </w:rPr>
              <w:t> </w:t>
            </w:r>
            <w:r>
              <w:rPr>
                <w:b/>
                <w:color w:val="231F20"/>
                <w:sz w:val="20"/>
              </w:rPr>
              <w:t>treatment</w:t>
            </w:r>
          </w:p>
        </w:tc>
        <w:tc>
          <w:tcPr>
            <w:tcW w:w="8875" w:type="dxa"/>
          </w:tcPr>
          <w:p>
            <w:pPr>
              <w:pStyle w:val="TableParagraph"/>
              <w:spacing w:before="33"/>
              <w:ind w:left="80"/>
              <w:rPr>
                <w:sz w:val="20"/>
              </w:rPr>
            </w:pPr>
            <w:r>
              <w:rPr>
                <w:color w:val="231F20"/>
                <w:sz w:val="20"/>
              </w:rPr>
              <w:t>People</w:t>
            </w:r>
            <w:r>
              <w:rPr>
                <w:color w:val="231F20"/>
                <w:spacing w:val="-1"/>
                <w:sz w:val="20"/>
              </w:rPr>
              <w:t> </w:t>
            </w:r>
            <w:r>
              <w:rPr>
                <w:color w:val="231F20"/>
                <w:sz w:val="20"/>
              </w:rPr>
              <w:t>experiencing PTSD, including:</w:t>
            </w:r>
          </w:p>
          <w:p>
            <w:pPr>
              <w:pStyle w:val="TableParagraph"/>
              <w:numPr>
                <w:ilvl w:val="0"/>
                <w:numId w:val="45"/>
              </w:numPr>
              <w:tabs>
                <w:tab w:pos="439" w:val="left" w:leader="none"/>
                <w:tab w:pos="440" w:val="left" w:leader="none"/>
              </w:tabs>
              <w:spacing w:line="243" w:lineRule="exact" w:before="86" w:after="0"/>
              <w:ind w:left="440" w:right="0" w:hanging="360"/>
              <w:jc w:val="left"/>
              <w:rPr>
                <w:sz w:val="11"/>
              </w:rPr>
            </w:pPr>
            <w:r>
              <w:rPr>
                <w:color w:val="231F20"/>
                <w:sz w:val="20"/>
              </w:rPr>
              <w:t>Veterans,</w:t>
            </w:r>
            <w:r>
              <w:rPr>
                <w:color w:val="231F20"/>
                <w:spacing w:val="2"/>
                <w:sz w:val="20"/>
              </w:rPr>
              <w:t> </w:t>
            </w:r>
            <w:r>
              <w:rPr>
                <w:color w:val="231F20"/>
                <w:sz w:val="20"/>
              </w:rPr>
              <w:t>predominantly</w:t>
            </w:r>
            <w:r>
              <w:rPr>
                <w:color w:val="231F20"/>
                <w:spacing w:val="3"/>
                <w:sz w:val="20"/>
              </w:rPr>
              <w:t> </w:t>
            </w:r>
            <w:r>
              <w:rPr>
                <w:color w:val="231F20"/>
                <w:sz w:val="20"/>
              </w:rPr>
              <w:t>male</w:t>
            </w:r>
            <w:r>
              <w:rPr>
                <w:color w:val="231F20"/>
                <w:spacing w:val="3"/>
                <w:sz w:val="20"/>
              </w:rPr>
              <w:t> </w:t>
            </w:r>
            <w:r>
              <w:rPr>
                <w:color w:val="231F20"/>
                <w:position w:val="7"/>
                <w:sz w:val="11"/>
              </w:rPr>
              <w:t>64-67,</w:t>
            </w:r>
            <w:r>
              <w:rPr>
                <w:color w:val="231F20"/>
                <w:spacing w:val="3"/>
                <w:position w:val="7"/>
                <w:sz w:val="11"/>
              </w:rPr>
              <w:t> </w:t>
            </w:r>
            <w:r>
              <w:rPr>
                <w:color w:val="231F20"/>
                <w:position w:val="7"/>
                <w:sz w:val="11"/>
              </w:rPr>
              <w:t>69</w:t>
            </w:r>
          </w:p>
          <w:p>
            <w:pPr>
              <w:pStyle w:val="TableParagraph"/>
              <w:numPr>
                <w:ilvl w:val="0"/>
                <w:numId w:val="45"/>
              </w:numPr>
              <w:tabs>
                <w:tab w:pos="439" w:val="left" w:leader="none"/>
                <w:tab w:pos="440" w:val="left" w:leader="none"/>
              </w:tabs>
              <w:spacing w:line="243" w:lineRule="exact" w:before="0" w:after="0"/>
              <w:ind w:left="440" w:right="0" w:hanging="360"/>
              <w:jc w:val="left"/>
              <w:rPr>
                <w:sz w:val="11"/>
              </w:rPr>
            </w:pPr>
            <w:r>
              <w:rPr>
                <w:color w:val="231F20"/>
                <w:sz w:val="20"/>
              </w:rPr>
              <w:t>Rural</w:t>
            </w:r>
            <w:r>
              <w:rPr>
                <w:color w:val="231F20"/>
                <w:spacing w:val="3"/>
                <w:sz w:val="20"/>
              </w:rPr>
              <w:t> </w:t>
            </w:r>
            <w:r>
              <w:rPr>
                <w:color w:val="231F20"/>
                <w:sz w:val="20"/>
              </w:rPr>
              <w:t>veterans</w:t>
            </w:r>
            <w:r>
              <w:rPr>
                <w:color w:val="231F20"/>
                <w:position w:val="7"/>
                <w:sz w:val="11"/>
              </w:rPr>
              <w:t>68</w:t>
            </w:r>
          </w:p>
        </w:tc>
      </w:tr>
      <w:tr>
        <w:trPr>
          <w:trHeight w:val="3071" w:hRule="atLeast"/>
        </w:trPr>
        <w:tc>
          <w:tcPr>
            <w:tcW w:w="1910" w:type="dxa"/>
          </w:tcPr>
          <w:p>
            <w:pPr>
              <w:pStyle w:val="TableParagraph"/>
              <w:spacing w:line="249" w:lineRule="auto" w:before="33"/>
              <w:ind w:left="80" w:right="518"/>
              <w:rPr>
                <w:b/>
                <w:sz w:val="20"/>
              </w:rPr>
            </w:pPr>
            <w:r>
              <w:rPr>
                <w:b/>
                <w:color w:val="231F20"/>
                <w:sz w:val="20"/>
              </w:rPr>
              <w:t>Providers</w:t>
            </w:r>
            <w:r>
              <w:rPr>
                <w:b/>
                <w:color w:val="231F20"/>
                <w:spacing w:val="1"/>
                <w:sz w:val="20"/>
              </w:rPr>
              <w:t> </w:t>
            </w:r>
            <w:r>
              <w:rPr>
                <w:b/>
                <w:color w:val="231F20"/>
                <w:sz w:val="20"/>
              </w:rPr>
              <w:t>who</w:t>
            </w:r>
            <w:r>
              <w:rPr>
                <w:b/>
                <w:color w:val="231F20"/>
                <w:spacing w:val="-10"/>
                <w:sz w:val="20"/>
              </w:rPr>
              <w:t> </w:t>
            </w:r>
            <w:r>
              <w:rPr>
                <w:b/>
                <w:color w:val="231F20"/>
                <w:sz w:val="20"/>
              </w:rPr>
              <w:t>can</w:t>
            </w:r>
            <w:r>
              <w:rPr>
                <w:b/>
                <w:color w:val="231F20"/>
                <w:spacing w:val="-9"/>
                <w:sz w:val="20"/>
              </w:rPr>
              <w:t> </w:t>
            </w:r>
            <w:r>
              <w:rPr>
                <w:b/>
                <w:color w:val="231F20"/>
                <w:sz w:val="20"/>
              </w:rPr>
              <w:t>offer</w:t>
            </w:r>
            <w:r>
              <w:rPr>
                <w:b/>
                <w:color w:val="231F20"/>
                <w:spacing w:val="-53"/>
                <w:sz w:val="20"/>
              </w:rPr>
              <w:t> </w:t>
            </w:r>
            <w:r>
              <w:rPr>
                <w:b/>
                <w:color w:val="231F20"/>
                <w:sz w:val="20"/>
              </w:rPr>
              <w:t>intervention</w:t>
            </w:r>
            <w:r>
              <w:rPr>
                <w:b/>
                <w:color w:val="231F20"/>
                <w:spacing w:val="1"/>
                <w:sz w:val="20"/>
              </w:rPr>
              <w:t> </w:t>
            </w:r>
            <w:r>
              <w:rPr>
                <w:b/>
                <w:color w:val="231F20"/>
                <w:sz w:val="20"/>
              </w:rPr>
              <w:t>services</w:t>
            </w:r>
          </w:p>
        </w:tc>
        <w:tc>
          <w:tcPr>
            <w:tcW w:w="8875" w:type="dxa"/>
          </w:tcPr>
          <w:p>
            <w:pPr>
              <w:pStyle w:val="TableParagraph"/>
              <w:numPr>
                <w:ilvl w:val="0"/>
                <w:numId w:val="46"/>
              </w:numPr>
              <w:tabs>
                <w:tab w:pos="439" w:val="left" w:leader="none"/>
                <w:tab w:pos="441" w:val="left" w:leader="none"/>
              </w:tabs>
              <w:spacing w:line="243" w:lineRule="exact" w:before="19" w:after="0"/>
              <w:ind w:left="440" w:right="0" w:hanging="361"/>
              <w:jc w:val="left"/>
              <w:rPr>
                <w:sz w:val="11"/>
              </w:rPr>
            </w:pPr>
            <w:r>
              <w:rPr>
                <w:color w:val="231F20"/>
                <w:sz w:val="20"/>
              </w:rPr>
              <w:t>Clinical</w:t>
            </w:r>
            <w:r>
              <w:rPr>
                <w:color w:val="231F20"/>
                <w:spacing w:val="9"/>
                <w:sz w:val="20"/>
              </w:rPr>
              <w:t> </w:t>
            </w:r>
            <w:r>
              <w:rPr>
                <w:color w:val="231F20"/>
                <w:sz w:val="20"/>
              </w:rPr>
              <w:t>psychologists</w:t>
            </w:r>
            <w:r>
              <w:rPr>
                <w:color w:val="231F20"/>
                <w:position w:val="7"/>
                <w:sz w:val="11"/>
              </w:rPr>
              <w:t>66,</w:t>
            </w:r>
            <w:r>
              <w:rPr>
                <w:color w:val="231F20"/>
                <w:spacing w:val="6"/>
                <w:position w:val="7"/>
                <w:sz w:val="11"/>
              </w:rPr>
              <w:t> </w:t>
            </w:r>
            <w:r>
              <w:rPr>
                <w:color w:val="231F20"/>
                <w:position w:val="7"/>
                <w:sz w:val="11"/>
              </w:rPr>
              <w:t>68,69</w:t>
            </w:r>
          </w:p>
          <w:p>
            <w:pPr>
              <w:pStyle w:val="TableParagraph"/>
              <w:numPr>
                <w:ilvl w:val="0"/>
                <w:numId w:val="46"/>
              </w:numPr>
              <w:tabs>
                <w:tab w:pos="439" w:val="left" w:leader="none"/>
                <w:tab w:pos="441" w:val="left" w:leader="none"/>
              </w:tabs>
              <w:spacing w:line="240" w:lineRule="exact" w:before="0" w:after="0"/>
              <w:ind w:left="440" w:right="0" w:hanging="361"/>
              <w:jc w:val="left"/>
              <w:rPr>
                <w:sz w:val="11"/>
              </w:rPr>
            </w:pPr>
            <w:r>
              <w:rPr>
                <w:color w:val="231F20"/>
                <w:sz w:val="20"/>
              </w:rPr>
              <w:t>Psychiatrists</w:t>
            </w:r>
            <w:r>
              <w:rPr>
                <w:color w:val="231F20"/>
                <w:position w:val="7"/>
                <w:sz w:val="11"/>
              </w:rPr>
              <w:t>68</w:t>
            </w:r>
          </w:p>
          <w:p>
            <w:pPr>
              <w:pStyle w:val="TableParagraph"/>
              <w:numPr>
                <w:ilvl w:val="0"/>
                <w:numId w:val="46"/>
              </w:numPr>
              <w:tabs>
                <w:tab w:pos="439" w:val="left" w:leader="none"/>
                <w:tab w:pos="440" w:val="left" w:leader="none"/>
              </w:tabs>
              <w:spacing w:line="240" w:lineRule="exact" w:before="0" w:after="0"/>
              <w:ind w:left="440" w:right="0" w:hanging="360"/>
              <w:jc w:val="left"/>
              <w:rPr>
                <w:sz w:val="11"/>
              </w:rPr>
            </w:pPr>
            <w:r>
              <w:rPr>
                <w:color w:val="231F20"/>
                <w:sz w:val="20"/>
              </w:rPr>
              <w:t>Master’s-level</w:t>
            </w:r>
            <w:r>
              <w:rPr>
                <w:color w:val="231F20"/>
                <w:spacing w:val="4"/>
                <w:sz w:val="20"/>
              </w:rPr>
              <w:t> </w:t>
            </w:r>
            <w:r>
              <w:rPr>
                <w:color w:val="231F20"/>
                <w:sz w:val="20"/>
              </w:rPr>
              <w:t>therapists</w:t>
            </w:r>
            <w:r>
              <w:rPr>
                <w:color w:val="231F20"/>
                <w:spacing w:val="5"/>
                <w:sz w:val="20"/>
              </w:rPr>
              <w:t> </w:t>
            </w:r>
            <w:r>
              <w:rPr>
                <w:color w:val="231F20"/>
                <w:sz w:val="20"/>
              </w:rPr>
              <w:t>and</w:t>
            </w:r>
            <w:r>
              <w:rPr>
                <w:color w:val="231F20"/>
                <w:spacing w:val="4"/>
                <w:sz w:val="20"/>
              </w:rPr>
              <w:t> </w:t>
            </w:r>
            <w:r>
              <w:rPr>
                <w:color w:val="231F20"/>
                <w:sz w:val="20"/>
              </w:rPr>
              <w:t>counselors</w:t>
            </w:r>
            <w:r>
              <w:rPr>
                <w:color w:val="231F20"/>
                <w:position w:val="7"/>
                <w:sz w:val="11"/>
              </w:rPr>
              <w:t>64,</w:t>
            </w:r>
            <w:r>
              <w:rPr>
                <w:color w:val="231F20"/>
                <w:spacing w:val="4"/>
                <w:position w:val="7"/>
                <w:sz w:val="11"/>
              </w:rPr>
              <w:t> </w:t>
            </w:r>
            <w:r>
              <w:rPr>
                <w:color w:val="231F20"/>
                <w:position w:val="7"/>
                <w:sz w:val="11"/>
              </w:rPr>
              <w:t>65,</w:t>
            </w:r>
            <w:r>
              <w:rPr>
                <w:color w:val="231F20"/>
                <w:spacing w:val="3"/>
                <w:position w:val="7"/>
                <w:sz w:val="11"/>
              </w:rPr>
              <w:t> </w:t>
            </w:r>
            <w:r>
              <w:rPr>
                <w:color w:val="231F20"/>
                <w:position w:val="7"/>
                <w:sz w:val="11"/>
              </w:rPr>
              <w:t>67</w:t>
            </w:r>
          </w:p>
          <w:p>
            <w:pPr>
              <w:pStyle w:val="TableParagraph"/>
              <w:numPr>
                <w:ilvl w:val="0"/>
                <w:numId w:val="46"/>
              </w:numPr>
              <w:tabs>
                <w:tab w:pos="439" w:val="left" w:leader="none"/>
                <w:tab w:pos="440" w:val="left" w:leader="none"/>
              </w:tabs>
              <w:spacing w:line="240" w:lineRule="exact" w:before="0" w:after="0"/>
              <w:ind w:left="439" w:right="0" w:hanging="361"/>
              <w:jc w:val="left"/>
              <w:rPr>
                <w:sz w:val="11"/>
              </w:rPr>
            </w:pPr>
            <w:r>
              <w:rPr>
                <w:color w:val="231F20"/>
                <w:sz w:val="20"/>
              </w:rPr>
              <w:t>Master’s-level</w:t>
            </w:r>
            <w:r>
              <w:rPr>
                <w:color w:val="231F20"/>
                <w:spacing w:val="3"/>
                <w:sz w:val="20"/>
              </w:rPr>
              <w:t> </w:t>
            </w:r>
            <w:r>
              <w:rPr>
                <w:color w:val="231F20"/>
                <w:sz w:val="20"/>
              </w:rPr>
              <w:t>social</w:t>
            </w:r>
            <w:r>
              <w:rPr>
                <w:color w:val="231F20"/>
                <w:spacing w:val="4"/>
                <w:sz w:val="20"/>
              </w:rPr>
              <w:t> </w:t>
            </w:r>
            <w:r>
              <w:rPr>
                <w:color w:val="231F20"/>
                <w:sz w:val="20"/>
              </w:rPr>
              <w:t>workers</w:t>
            </w:r>
            <w:r>
              <w:rPr>
                <w:color w:val="231F20"/>
                <w:position w:val="7"/>
                <w:sz w:val="11"/>
              </w:rPr>
              <w:t>68,</w:t>
            </w:r>
            <w:r>
              <w:rPr>
                <w:color w:val="231F20"/>
                <w:spacing w:val="3"/>
                <w:position w:val="7"/>
                <w:sz w:val="11"/>
              </w:rPr>
              <w:t> </w:t>
            </w:r>
            <w:r>
              <w:rPr>
                <w:color w:val="231F20"/>
                <w:position w:val="7"/>
                <w:sz w:val="11"/>
              </w:rPr>
              <w:t>69</w:t>
            </w:r>
          </w:p>
          <w:p>
            <w:pPr>
              <w:pStyle w:val="TableParagraph"/>
              <w:numPr>
                <w:ilvl w:val="0"/>
                <w:numId w:val="46"/>
              </w:numPr>
              <w:tabs>
                <w:tab w:pos="439" w:val="left" w:leader="none"/>
                <w:tab w:pos="440" w:val="left" w:leader="none"/>
              </w:tabs>
              <w:spacing w:line="240" w:lineRule="exact" w:before="0" w:after="0"/>
              <w:ind w:left="439" w:right="0" w:hanging="361"/>
              <w:jc w:val="left"/>
              <w:rPr>
                <w:sz w:val="11"/>
              </w:rPr>
            </w:pPr>
            <w:r>
              <w:rPr>
                <w:color w:val="231F20"/>
                <w:sz w:val="20"/>
              </w:rPr>
              <w:t>Psychology</w:t>
            </w:r>
            <w:r>
              <w:rPr>
                <w:color w:val="231F20"/>
                <w:spacing w:val="3"/>
                <w:sz w:val="20"/>
              </w:rPr>
              <w:t> </w:t>
            </w:r>
            <w:r>
              <w:rPr>
                <w:color w:val="231F20"/>
                <w:sz w:val="20"/>
              </w:rPr>
              <w:t>interns/fellows</w:t>
            </w:r>
            <w:r>
              <w:rPr>
                <w:color w:val="231F20"/>
                <w:position w:val="7"/>
                <w:sz w:val="11"/>
              </w:rPr>
              <w:t>68</w:t>
            </w:r>
          </w:p>
          <w:p>
            <w:pPr>
              <w:pStyle w:val="TableParagraph"/>
              <w:numPr>
                <w:ilvl w:val="0"/>
                <w:numId w:val="46"/>
              </w:numPr>
              <w:tabs>
                <w:tab w:pos="439" w:val="left" w:leader="none"/>
                <w:tab w:pos="440" w:val="left" w:leader="none"/>
              </w:tabs>
              <w:spacing w:line="247" w:lineRule="auto" w:before="0" w:after="0"/>
              <w:ind w:left="440" w:right="508" w:hanging="360"/>
              <w:jc w:val="left"/>
              <w:rPr>
                <w:sz w:val="20"/>
              </w:rPr>
            </w:pPr>
            <w:r>
              <w:rPr>
                <w:color w:val="231F20"/>
                <w:sz w:val="20"/>
              </w:rPr>
              <w:t>Although</w:t>
            </w:r>
            <w:r>
              <w:rPr>
                <w:color w:val="231F20"/>
                <w:spacing w:val="-2"/>
                <w:sz w:val="20"/>
              </w:rPr>
              <w:t> </w:t>
            </w:r>
            <w:r>
              <w:rPr>
                <w:color w:val="231F20"/>
                <w:sz w:val="20"/>
              </w:rPr>
              <w:t>formal</w:t>
            </w:r>
            <w:r>
              <w:rPr>
                <w:color w:val="231F20"/>
                <w:spacing w:val="-1"/>
                <w:sz w:val="20"/>
              </w:rPr>
              <w:t> </w:t>
            </w:r>
            <w:r>
              <w:rPr>
                <w:color w:val="231F20"/>
                <w:sz w:val="20"/>
              </w:rPr>
              <w:t>PE</w:t>
            </w:r>
            <w:r>
              <w:rPr>
                <w:color w:val="231F20"/>
                <w:spacing w:val="-1"/>
                <w:sz w:val="20"/>
              </w:rPr>
              <w:t> </w:t>
            </w:r>
            <w:r>
              <w:rPr>
                <w:color w:val="231F20"/>
                <w:sz w:val="20"/>
              </w:rPr>
              <w:t>training</w:t>
            </w:r>
            <w:r>
              <w:rPr>
                <w:color w:val="231F20"/>
                <w:spacing w:val="-2"/>
                <w:sz w:val="20"/>
              </w:rPr>
              <w:t> </w:t>
            </w:r>
            <w:r>
              <w:rPr>
                <w:color w:val="231F20"/>
                <w:sz w:val="20"/>
              </w:rPr>
              <w:t>is</w:t>
            </w:r>
            <w:r>
              <w:rPr>
                <w:color w:val="231F20"/>
                <w:spacing w:val="-1"/>
                <w:sz w:val="20"/>
              </w:rPr>
              <w:t> </w:t>
            </w:r>
            <w:r>
              <w:rPr>
                <w:color w:val="231F20"/>
                <w:sz w:val="20"/>
              </w:rPr>
              <w:t>not</w:t>
            </w:r>
            <w:r>
              <w:rPr>
                <w:color w:val="231F20"/>
                <w:spacing w:val="-1"/>
                <w:sz w:val="20"/>
              </w:rPr>
              <w:t> </w:t>
            </w:r>
            <w:r>
              <w:rPr>
                <w:color w:val="231F20"/>
                <w:sz w:val="20"/>
              </w:rPr>
              <w:t>required,</w:t>
            </w:r>
            <w:r>
              <w:rPr>
                <w:color w:val="231F20"/>
                <w:spacing w:val="-2"/>
                <w:sz w:val="20"/>
              </w:rPr>
              <w:t> </w:t>
            </w:r>
            <w:r>
              <w:rPr>
                <w:color w:val="231F20"/>
                <w:sz w:val="20"/>
              </w:rPr>
              <w:t>practitioners</w:t>
            </w:r>
            <w:r>
              <w:rPr>
                <w:color w:val="231F20"/>
                <w:spacing w:val="-1"/>
                <w:sz w:val="20"/>
              </w:rPr>
              <w:t> </w:t>
            </w:r>
            <w:r>
              <w:rPr>
                <w:color w:val="231F20"/>
                <w:sz w:val="20"/>
              </w:rPr>
              <w:t>of</w:t>
            </w:r>
            <w:r>
              <w:rPr>
                <w:color w:val="231F20"/>
                <w:spacing w:val="-1"/>
                <w:sz w:val="20"/>
              </w:rPr>
              <w:t> </w:t>
            </w:r>
            <w:r>
              <w:rPr>
                <w:color w:val="231F20"/>
                <w:sz w:val="20"/>
              </w:rPr>
              <w:t>PE</w:t>
            </w:r>
            <w:r>
              <w:rPr>
                <w:color w:val="231F20"/>
                <w:spacing w:val="-2"/>
                <w:sz w:val="20"/>
              </w:rPr>
              <w:t> </w:t>
            </w:r>
            <w:r>
              <w:rPr>
                <w:color w:val="231F20"/>
                <w:sz w:val="20"/>
              </w:rPr>
              <w:t>often</w:t>
            </w:r>
            <w:r>
              <w:rPr>
                <w:color w:val="231F20"/>
                <w:spacing w:val="-1"/>
                <w:sz w:val="20"/>
              </w:rPr>
              <w:t> </w:t>
            </w:r>
            <w:r>
              <w:rPr>
                <w:color w:val="231F20"/>
                <w:sz w:val="20"/>
              </w:rPr>
              <w:t>received</w:t>
            </w:r>
            <w:r>
              <w:rPr>
                <w:color w:val="231F20"/>
                <w:spacing w:val="-1"/>
                <w:sz w:val="20"/>
              </w:rPr>
              <w:t> </w:t>
            </w:r>
            <w:r>
              <w:rPr>
                <w:color w:val="231F20"/>
                <w:sz w:val="20"/>
              </w:rPr>
              <w:t>training</w:t>
            </w:r>
            <w:r>
              <w:rPr>
                <w:color w:val="231F20"/>
                <w:spacing w:val="-2"/>
                <w:sz w:val="20"/>
              </w:rPr>
              <w:t> </w:t>
            </w:r>
            <w:r>
              <w:rPr>
                <w:color w:val="231F20"/>
                <w:sz w:val="20"/>
              </w:rPr>
              <w:t>and</w:t>
            </w:r>
            <w:r>
              <w:rPr>
                <w:color w:val="231F20"/>
                <w:spacing w:val="-52"/>
                <w:sz w:val="20"/>
              </w:rPr>
              <w:t> </w:t>
            </w:r>
            <w:r>
              <w:rPr>
                <w:color w:val="231F20"/>
                <w:sz w:val="20"/>
              </w:rPr>
              <w:t>supervision in the form</w:t>
            </w:r>
            <w:r>
              <w:rPr>
                <w:color w:val="231F20"/>
                <w:spacing w:val="-1"/>
                <w:sz w:val="20"/>
              </w:rPr>
              <w:t> </w:t>
            </w:r>
            <w:r>
              <w:rPr>
                <w:color w:val="231F20"/>
                <w:sz w:val="20"/>
              </w:rPr>
              <w:t>of:</w:t>
            </w:r>
          </w:p>
          <w:p>
            <w:pPr>
              <w:pStyle w:val="TableParagraph"/>
              <w:numPr>
                <w:ilvl w:val="1"/>
                <w:numId w:val="46"/>
              </w:numPr>
              <w:tabs>
                <w:tab w:pos="799" w:val="left" w:leader="none"/>
                <w:tab w:pos="800" w:val="left" w:leader="none"/>
              </w:tabs>
              <w:spacing w:line="197" w:lineRule="exact" w:before="0" w:after="0"/>
              <w:ind w:left="800" w:right="0" w:hanging="360"/>
              <w:jc w:val="left"/>
              <w:rPr>
                <w:sz w:val="11"/>
              </w:rPr>
            </w:pPr>
            <w:r>
              <w:rPr>
                <w:color w:val="010202"/>
                <w:sz w:val="20"/>
              </w:rPr>
              <w:t>Weekly</w:t>
            </w:r>
            <w:r>
              <w:rPr>
                <w:color w:val="010202"/>
                <w:spacing w:val="-3"/>
                <w:sz w:val="20"/>
              </w:rPr>
              <w:t> </w:t>
            </w:r>
            <w:r>
              <w:rPr>
                <w:color w:val="010202"/>
                <w:sz w:val="20"/>
              </w:rPr>
              <w:t>supervision</w:t>
            </w:r>
            <w:r>
              <w:rPr>
                <w:color w:val="010202"/>
                <w:spacing w:val="-2"/>
                <w:sz w:val="20"/>
              </w:rPr>
              <w:t> </w:t>
            </w:r>
            <w:r>
              <w:rPr>
                <w:color w:val="010202"/>
                <w:sz w:val="20"/>
              </w:rPr>
              <w:t>from</w:t>
            </w:r>
            <w:r>
              <w:rPr>
                <w:color w:val="010202"/>
                <w:spacing w:val="-1"/>
                <w:sz w:val="20"/>
              </w:rPr>
              <w:t> </w:t>
            </w:r>
            <w:r>
              <w:rPr>
                <w:color w:val="010202"/>
                <w:sz w:val="20"/>
              </w:rPr>
              <w:t>a</w:t>
            </w:r>
            <w:r>
              <w:rPr>
                <w:color w:val="010202"/>
                <w:spacing w:val="-3"/>
                <w:sz w:val="20"/>
              </w:rPr>
              <w:t> </w:t>
            </w:r>
            <w:r>
              <w:rPr>
                <w:color w:val="010202"/>
                <w:sz w:val="20"/>
              </w:rPr>
              <w:t>licensed</w:t>
            </w:r>
            <w:r>
              <w:rPr>
                <w:color w:val="010202"/>
                <w:spacing w:val="-3"/>
                <w:sz w:val="20"/>
              </w:rPr>
              <w:t> </w:t>
            </w:r>
            <w:r>
              <w:rPr>
                <w:color w:val="010202"/>
                <w:sz w:val="20"/>
              </w:rPr>
              <w:t>clinical</w:t>
            </w:r>
            <w:r>
              <w:rPr>
                <w:color w:val="010202"/>
                <w:spacing w:val="-1"/>
                <w:sz w:val="20"/>
              </w:rPr>
              <w:t> </w:t>
            </w:r>
            <w:r>
              <w:rPr>
                <w:color w:val="010202"/>
                <w:sz w:val="20"/>
              </w:rPr>
              <w:t>psychologist</w:t>
            </w:r>
            <w:r>
              <w:rPr>
                <w:color w:val="010202"/>
                <w:spacing w:val="-3"/>
                <w:sz w:val="20"/>
              </w:rPr>
              <w:t> </w:t>
            </w:r>
            <w:r>
              <w:rPr>
                <w:color w:val="010202"/>
                <w:sz w:val="20"/>
              </w:rPr>
              <w:t>who</w:t>
            </w:r>
            <w:r>
              <w:rPr>
                <w:color w:val="010202"/>
                <w:spacing w:val="-3"/>
                <w:sz w:val="20"/>
              </w:rPr>
              <w:t> </w:t>
            </w:r>
            <w:r>
              <w:rPr>
                <w:color w:val="010202"/>
                <w:sz w:val="20"/>
              </w:rPr>
              <w:t>was</w:t>
            </w:r>
            <w:r>
              <w:rPr>
                <w:color w:val="010202"/>
                <w:spacing w:val="-2"/>
                <w:sz w:val="20"/>
              </w:rPr>
              <w:t> </w:t>
            </w:r>
            <w:r>
              <w:rPr>
                <w:color w:val="010202"/>
                <w:sz w:val="20"/>
              </w:rPr>
              <w:t>a</w:t>
            </w:r>
            <w:r>
              <w:rPr>
                <w:color w:val="010202"/>
                <w:spacing w:val="-3"/>
                <w:sz w:val="20"/>
              </w:rPr>
              <w:t> </w:t>
            </w:r>
            <w:r>
              <w:rPr>
                <w:color w:val="010202"/>
                <w:sz w:val="20"/>
              </w:rPr>
              <w:t>certified</w:t>
            </w:r>
            <w:r>
              <w:rPr>
                <w:color w:val="010202"/>
                <w:spacing w:val="-2"/>
                <w:sz w:val="20"/>
              </w:rPr>
              <w:t> </w:t>
            </w:r>
            <w:r>
              <w:rPr>
                <w:color w:val="010202"/>
                <w:sz w:val="20"/>
              </w:rPr>
              <w:t>PE</w:t>
            </w:r>
            <w:r>
              <w:rPr>
                <w:color w:val="010202"/>
                <w:spacing w:val="-1"/>
                <w:sz w:val="20"/>
              </w:rPr>
              <w:t> </w:t>
            </w:r>
            <w:r>
              <w:rPr>
                <w:color w:val="010202"/>
                <w:sz w:val="20"/>
              </w:rPr>
              <w:t>trainer</w:t>
            </w:r>
            <w:r>
              <w:rPr>
                <w:color w:val="010202"/>
                <w:position w:val="7"/>
                <w:sz w:val="11"/>
              </w:rPr>
              <w:t>64</w:t>
            </w:r>
          </w:p>
          <w:p>
            <w:pPr>
              <w:pStyle w:val="TableParagraph"/>
              <w:numPr>
                <w:ilvl w:val="1"/>
                <w:numId w:val="46"/>
              </w:numPr>
              <w:tabs>
                <w:tab w:pos="799" w:val="left" w:leader="none"/>
                <w:tab w:pos="800" w:val="left" w:leader="none"/>
              </w:tabs>
              <w:spacing w:line="216" w:lineRule="exact" w:before="0" w:after="0"/>
              <w:ind w:left="799" w:right="0" w:hanging="361"/>
              <w:jc w:val="left"/>
              <w:rPr>
                <w:sz w:val="11"/>
              </w:rPr>
            </w:pPr>
            <w:r>
              <w:rPr>
                <w:color w:val="010202"/>
                <w:sz w:val="20"/>
              </w:rPr>
              <w:t>32-hour</w:t>
            </w:r>
            <w:r>
              <w:rPr>
                <w:color w:val="010202"/>
                <w:spacing w:val="1"/>
                <w:sz w:val="20"/>
              </w:rPr>
              <w:t> </w:t>
            </w:r>
            <w:r>
              <w:rPr>
                <w:color w:val="010202"/>
                <w:sz w:val="20"/>
              </w:rPr>
              <w:t>workshop</w:t>
            </w:r>
            <w:r>
              <w:rPr>
                <w:color w:val="010202"/>
                <w:spacing w:val="1"/>
                <w:sz w:val="20"/>
              </w:rPr>
              <w:t> </w:t>
            </w:r>
            <w:r>
              <w:rPr>
                <w:color w:val="010202"/>
                <w:sz w:val="20"/>
              </w:rPr>
              <w:t>training</w:t>
            </w:r>
            <w:r>
              <w:rPr>
                <w:color w:val="010202"/>
                <w:spacing w:val="1"/>
                <w:sz w:val="20"/>
              </w:rPr>
              <w:t> </w:t>
            </w:r>
            <w:r>
              <w:rPr>
                <w:color w:val="010202"/>
                <w:sz w:val="20"/>
              </w:rPr>
              <w:t>program</w:t>
            </w:r>
            <w:r>
              <w:rPr>
                <w:color w:val="010202"/>
                <w:spacing w:val="1"/>
                <w:sz w:val="20"/>
              </w:rPr>
              <w:t> </w:t>
            </w:r>
            <w:r>
              <w:rPr>
                <w:color w:val="010202"/>
                <w:sz w:val="20"/>
              </w:rPr>
              <w:t>in</w:t>
            </w:r>
            <w:r>
              <w:rPr>
                <w:color w:val="010202"/>
                <w:spacing w:val="1"/>
                <w:sz w:val="20"/>
              </w:rPr>
              <w:t> </w:t>
            </w:r>
            <w:r>
              <w:rPr>
                <w:color w:val="010202"/>
                <w:sz w:val="20"/>
              </w:rPr>
              <w:t>PE</w:t>
            </w:r>
            <w:r>
              <w:rPr>
                <w:color w:val="010202"/>
                <w:position w:val="7"/>
                <w:sz w:val="11"/>
              </w:rPr>
              <w:t>65</w:t>
            </w:r>
          </w:p>
          <w:p>
            <w:pPr>
              <w:pStyle w:val="TableParagraph"/>
              <w:numPr>
                <w:ilvl w:val="1"/>
                <w:numId w:val="46"/>
              </w:numPr>
              <w:tabs>
                <w:tab w:pos="799" w:val="left" w:leader="none"/>
                <w:tab w:pos="800" w:val="left" w:leader="none"/>
              </w:tabs>
              <w:spacing w:line="223" w:lineRule="auto" w:before="0" w:after="0"/>
              <w:ind w:left="799" w:right="226" w:hanging="360"/>
              <w:jc w:val="left"/>
              <w:rPr>
                <w:sz w:val="11"/>
              </w:rPr>
            </w:pPr>
            <w:r>
              <w:rPr>
                <w:color w:val="010202"/>
                <w:sz w:val="20"/>
              </w:rPr>
              <w:t>Observation</w:t>
            </w:r>
            <w:r>
              <w:rPr>
                <w:color w:val="010202"/>
                <w:spacing w:val="-2"/>
                <w:sz w:val="20"/>
              </w:rPr>
              <w:t> </w:t>
            </w:r>
            <w:r>
              <w:rPr>
                <w:color w:val="010202"/>
                <w:sz w:val="20"/>
              </w:rPr>
              <w:t>of</w:t>
            </w:r>
            <w:r>
              <w:rPr>
                <w:color w:val="010202"/>
                <w:spacing w:val="-2"/>
                <w:sz w:val="20"/>
              </w:rPr>
              <w:t> </w:t>
            </w:r>
            <w:r>
              <w:rPr>
                <w:color w:val="010202"/>
                <w:sz w:val="20"/>
              </w:rPr>
              <w:t>a</w:t>
            </w:r>
            <w:r>
              <w:rPr>
                <w:color w:val="010202"/>
                <w:spacing w:val="-1"/>
                <w:sz w:val="20"/>
              </w:rPr>
              <w:t> </w:t>
            </w:r>
            <w:r>
              <w:rPr>
                <w:color w:val="010202"/>
                <w:sz w:val="20"/>
              </w:rPr>
              <w:t>senior-level</w:t>
            </w:r>
            <w:r>
              <w:rPr>
                <w:color w:val="010202"/>
                <w:spacing w:val="-2"/>
                <w:sz w:val="20"/>
              </w:rPr>
              <w:t> </w:t>
            </w:r>
            <w:r>
              <w:rPr>
                <w:color w:val="010202"/>
                <w:sz w:val="20"/>
              </w:rPr>
              <w:t>clinician</w:t>
            </w:r>
            <w:r>
              <w:rPr>
                <w:color w:val="010202"/>
                <w:spacing w:val="-1"/>
                <w:sz w:val="20"/>
              </w:rPr>
              <w:t> </w:t>
            </w:r>
            <w:r>
              <w:rPr>
                <w:color w:val="010202"/>
                <w:sz w:val="20"/>
              </w:rPr>
              <w:t>through</w:t>
            </w:r>
            <w:r>
              <w:rPr>
                <w:color w:val="010202"/>
                <w:spacing w:val="-2"/>
                <w:sz w:val="20"/>
              </w:rPr>
              <w:t> </w:t>
            </w:r>
            <w:r>
              <w:rPr>
                <w:color w:val="010202"/>
                <w:sz w:val="20"/>
              </w:rPr>
              <w:t>a</w:t>
            </w:r>
            <w:r>
              <w:rPr>
                <w:color w:val="010202"/>
                <w:spacing w:val="-1"/>
                <w:sz w:val="20"/>
              </w:rPr>
              <w:t> </w:t>
            </w:r>
            <w:r>
              <w:rPr>
                <w:color w:val="010202"/>
                <w:sz w:val="20"/>
              </w:rPr>
              <w:t>complete</w:t>
            </w:r>
            <w:r>
              <w:rPr>
                <w:color w:val="010202"/>
                <w:spacing w:val="-2"/>
                <w:sz w:val="20"/>
              </w:rPr>
              <w:t> </w:t>
            </w:r>
            <w:r>
              <w:rPr>
                <w:color w:val="010202"/>
                <w:sz w:val="20"/>
              </w:rPr>
              <w:t>course</w:t>
            </w:r>
            <w:r>
              <w:rPr>
                <w:color w:val="010202"/>
                <w:spacing w:val="-2"/>
                <w:sz w:val="20"/>
              </w:rPr>
              <w:t> </w:t>
            </w:r>
            <w:r>
              <w:rPr>
                <w:color w:val="010202"/>
                <w:sz w:val="20"/>
              </w:rPr>
              <w:t>of</w:t>
            </w:r>
            <w:r>
              <w:rPr>
                <w:color w:val="010202"/>
                <w:spacing w:val="-1"/>
                <w:sz w:val="20"/>
              </w:rPr>
              <w:t> </w:t>
            </w:r>
            <w:r>
              <w:rPr>
                <w:color w:val="010202"/>
                <w:sz w:val="20"/>
              </w:rPr>
              <w:t>prolonged</w:t>
            </w:r>
            <w:r>
              <w:rPr>
                <w:color w:val="010202"/>
                <w:spacing w:val="-2"/>
                <w:sz w:val="20"/>
              </w:rPr>
              <w:t> </w:t>
            </w:r>
            <w:r>
              <w:rPr>
                <w:color w:val="010202"/>
                <w:sz w:val="20"/>
              </w:rPr>
              <w:t>exposure,</w:t>
            </w:r>
            <w:r>
              <w:rPr>
                <w:color w:val="010202"/>
                <w:spacing w:val="-52"/>
                <w:sz w:val="20"/>
              </w:rPr>
              <w:t> </w:t>
            </w:r>
            <w:r>
              <w:rPr>
                <w:color w:val="010202"/>
                <w:sz w:val="20"/>
              </w:rPr>
              <w:t>both in-person and via telehealth</w:t>
            </w:r>
            <w:r>
              <w:rPr>
                <w:color w:val="010202"/>
                <w:position w:val="7"/>
                <w:sz w:val="11"/>
              </w:rPr>
              <w:t>65</w:t>
            </w:r>
          </w:p>
          <w:p>
            <w:pPr>
              <w:pStyle w:val="TableParagraph"/>
              <w:numPr>
                <w:ilvl w:val="1"/>
                <w:numId w:val="46"/>
              </w:numPr>
              <w:tabs>
                <w:tab w:pos="799" w:val="left" w:leader="none"/>
                <w:tab w:pos="800" w:val="left" w:leader="none"/>
              </w:tabs>
              <w:spacing w:line="206" w:lineRule="exact" w:before="0" w:after="0"/>
              <w:ind w:left="799" w:right="0" w:hanging="361"/>
              <w:jc w:val="left"/>
              <w:rPr>
                <w:sz w:val="11"/>
              </w:rPr>
            </w:pPr>
            <w:r>
              <w:rPr>
                <w:color w:val="010202"/>
                <w:sz w:val="20"/>
              </w:rPr>
              <w:t>Recordings</w:t>
            </w:r>
            <w:r>
              <w:rPr>
                <w:color w:val="010202"/>
                <w:spacing w:val="-2"/>
                <w:sz w:val="20"/>
              </w:rPr>
              <w:t> </w:t>
            </w:r>
            <w:r>
              <w:rPr>
                <w:color w:val="010202"/>
                <w:sz w:val="20"/>
              </w:rPr>
              <w:t>of</w:t>
            </w:r>
            <w:r>
              <w:rPr>
                <w:color w:val="010202"/>
                <w:spacing w:val="-2"/>
                <w:sz w:val="20"/>
              </w:rPr>
              <w:t> </w:t>
            </w:r>
            <w:r>
              <w:rPr>
                <w:color w:val="010202"/>
                <w:sz w:val="20"/>
              </w:rPr>
              <w:t>therapy sessions</w:t>
            </w:r>
            <w:r>
              <w:rPr>
                <w:color w:val="010202"/>
                <w:spacing w:val="-1"/>
                <w:sz w:val="20"/>
              </w:rPr>
              <w:t> </w:t>
            </w:r>
            <w:r>
              <w:rPr>
                <w:color w:val="010202"/>
                <w:sz w:val="20"/>
              </w:rPr>
              <w:t>for treatment</w:t>
            </w:r>
            <w:r>
              <w:rPr>
                <w:color w:val="010202"/>
                <w:spacing w:val="-1"/>
                <w:sz w:val="20"/>
              </w:rPr>
              <w:t> </w:t>
            </w:r>
            <w:r>
              <w:rPr>
                <w:color w:val="010202"/>
                <w:sz w:val="20"/>
              </w:rPr>
              <w:t>fidelity</w:t>
            </w:r>
            <w:r>
              <w:rPr>
                <w:color w:val="010202"/>
                <w:position w:val="7"/>
                <w:sz w:val="11"/>
              </w:rPr>
              <w:t>67</w:t>
            </w:r>
          </w:p>
          <w:p>
            <w:pPr>
              <w:pStyle w:val="TableParagraph"/>
              <w:numPr>
                <w:ilvl w:val="1"/>
                <w:numId w:val="46"/>
              </w:numPr>
              <w:tabs>
                <w:tab w:pos="799" w:val="left" w:leader="none"/>
                <w:tab w:pos="800" w:val="left" w:leader="none"/>
              </w:tabs>
              <w:spacing w:line="230" w:lineRule="exact" w:before="0" w:after="0"/>
              <w:ind w:left="799" w:right="0" w:hanging="361"/>
              <w:jc w:val="left"/>
              <w:rPr>
                <w:sz w:val="11"/>
              </w:rPr>
            </w:pPr>
            <w:r>
              <w:rPr>
                <w:color w:val="010202"/>
                <w:sz w:val="20"/>
              </w:rPr>
              <w:t>Extensive training</w:t>
            </w:r>
            <w:r>
              <w:rPr>
                <w:color w:val="010202"/>
                <w:spacing w:val="1"/>
                <w:sz w:val="20"/>
              </w:rPr>
              <w:t> </w:t>
            </w:r>
            <w:r>
              <w:rPr>
                <w:color w:val="010202"/>
                <w:sz w:val="20"/>
              </w:rPr>
              <w:t>and</w:t>
            </w:r>
            <w:r>
              <w:rPr>
                <w:color w:val="010202"/>
                <w:spacing w:val="1"/>
                <w:sz w:val="20"/>
              </w:rPr>
              <w:t> </w:t>
            </w:r>
            <w:r>
              <w:rPr>
                <w:color w:val="010202"/>
                <w:sz w:val="20"/>
              </w:rPr>
              <w:t>supervision in</w:t>
            </w:r>
            <w:r>
              <w:rPr>
                <w:color w:val="010202"/>
                <w:spacing w:val="1"/>
                <w:sz w:val="20"/>
              </w:rPr>
              <w:t> </w:t>
            </w:r>
            <w:r>
              <w:rPr>
                <w:color w:val="010202"/>
                <w:sz w:val="20"/>
              </w:rPr>
              <w:t>exposure</w:t>
            </w:r>
            <w:r>
              <w:rPr>
                <w:color w:val="010202"/>
                <w:spacing w:val="1"/>
                <w:sz w:val="20"/>
              </w:rPr>
              <w:t> </w:t>
            </w:r>
            <w:r>
              <w:rPr>
                <w:color w:val="010202"/>
                <w:sz w:val="20"/>
              </w:rPr>
              <w:t>therapy for</w:t>
            </w:r>
            <w:r>
              <w:rPr>
                <w:color w:val="010202"/>
                <w:spacing w:val="1"/>
                <w:sz w:val="20"/>
              </w:rPr>
              <w:t> </w:t>
            </w:r>
            <w:r>
              <w:rPr>
                <w:color w:val="010202"/>
                <w:sz w:val="20"/>
              </w:rPr>
              <w:t>PTSD</w:t>
            </w:r>
            <w:r>
              <w:rPr>
                <w:color w:val="010202"/>
                <w:position w:val="7"/>
                <w:sz w:val="11"/>
              </w:rPr>
              <w:t>69</w:t>
            </w:r>
          </w:p>
        </w:tc>
      </w:tr>
      <w:tr>
        <w:trPr>
          <w:trHeight w:val="335" w:hRule="atLeast"/>
        </w:trPr>
        <w:tc>
          <w:tcPr>
            <w:tcW w:w="1910" w:type="dxa"/>
          </w:tcPr>
          <w:p>
            <w:pPr>
              <w:pStyle w:val="TableParagraph"/>
              <w:spacing w:before="33"/>
              <w:ind w:left="80"/>
              <w:rPr>
                <w:b/>
                <w:sz w:val="20"/>
              </w:rPr>
            </w:pPr>
            <w:r>
              <w:rPr>
                <w:b/>
                <w:color w:val="231F20"/>
                <w:sz w:val="20"/>
              </w:rPr>
              <w:t>Technology</w:t>
            </w:r>
            <w:r>
              <w:rPr>
                <w:b/>
                <w:color w:val="231F20"/>
                <w:spacing w:val="-7"/>
                <w:sz w:val="20"/>
              </w:rPr>
              <w:t> </w:t>
            </w:r>
            <w:r>
              <w:rPr>
                <w:b/>
                <w:color w:val="231F20"/>
                <w:sz w:val="20"/>
              </w:rPr>
              <w:t>used</w:t>
            </w:r>
          </w:p>
        </w:tc>
        <w:tc>
          <w:tcPr>
            <w:tcW w:w="8875" w:type="dxa"/>
          </w:tcPr>
          <w:p>
            <w:pPr>
              <w:pStyle w:val="TableParagraph"/>
              <w:numPr>
                <w:ilvl w:val="0"/>
                <w:numId w:val="47"/>
              </w:numPr>
              <w:tabs>
                <w:tab w:pos="440" w:val="left" w:leader="none"/>
                <w:tab w:pos="441" w:val="left" w:leader="none"/>
              </w:tabs>
              <w:spacing w:line="240" w:lineRule="auto" w:before="19" w:after="0"/>
              <w:ind w:left="440" w:right="0" w:hanging="361"/>
              <w:jc w:val="left"/>
              <w:rPr>
                <w:sz w:val="11"/>
              </w:rPr>
            </w:pPr>
            <w:r>
              <w:rPr>
                <w:color w:val="231F20"/>
                <w:sz w:val="20"/>
              </w:rPr>
              <w:t>Videoconferencing</w:t>
            </w:r>
            <w:r>
              <w:rPr>
                <w:color w:val="231F20"/>
                <w:spacing w:val="3"/>
                <w:sz w:val="20"/>
              </w:rPr>
              <w:t> </w:t>
            </w:r>
            <w:r>
              <w:rPr>
                <w:color w:val="231F20"/>
                <w:sz w:val="20"/>
              </w:rPr>
              <w:t>via</w:t>
            </w:r>
            <w:r>
              <w:rPr>
                <w:color w:val="231F20"/>
                <w:spacing w:val="4"/>
                <w:sz w:val="20"/>
              </w:rPr>
              <w:t> </w:t>
            </w:r>
            <w:r>
              <w:rPr>
                <w:color w:val="231F20"/>
                <w:sz w:val="20"/>
              </w:rPr>
              <w:t>computer</w:t>
            </w:r>
            <w:r>
              <w:rPr>
                <w:color w:val="231F20"/>
                <w:position w:val="7"/>
                <w:sz w:val="11"/>
              </w:rPr>
              <w:t>64-69</w:t>
            </w:r>
            <w:r>
              <w:rPr>
                <w:color w:val="231F20"/>
                <w:spacing w:val="28"/>
                <w:position w:val="7"/>
                <w:sz w:val="11"/>
              </w:rPr>
              <w:t> </w:t>
            </w:r>
            <w:r>
              <w:rPr>
                <w:color w:val="231F20"/>
                <w:sz w:val="20"/>
              </w:rPr>
              <w:t>or</w:t>
            </w:r>
            <w:r>
              <w:rPr>
                <w:color w:val="231F20"/>
                <w:spacing w:val="4"/>
                <w:sz w:val="20"/>
              </w:rPr>
              <w:t> </w:t>
            </w:r>
            <w:r>
              <w:rPr>
                <w:color w:val="231F20"/>
                <w:sz w:val="20"/>
              </w:rPr>
              <w:t>smartphone</w:t>
            </w:r>
            <w:r>
              <w:rPr>
                <w:color w:val="231F20"/>
                <w:position w:val="7"/>
                <w:sz w:val="11"/>
              </w:rPr>
              <w:t>68</w:t>
            </w:r>
          </w:p>
        </w:tc>
      </w:tr>
      <w:tr>
        <w:trPr>
          <w:trHeight w:val="796" w:hRule="atLeast"/>
        </w:trPr>
        <w:tc>
          <w:tcPr>
            <w:tcW w:w="1910" w:type="dxa"/>
          </w:tcPr>
          <w:p>
            <w:pPr>
              <w:pStyle w:val="TableParagraph"/>
              <w:spacing w:line="249" w:lineRule="auto" w:before="33"/>
              <w:ind w:left="80" w:right="533"/>
              <w:rPr>
                <w:b/>
                <w:sz w:val="20"/>
              </w:rPr>
            </w:pPr>
            <w:r>
              <w:rPr>
                <w:b/>
                <w:color w:val="231F20"/>
                <w:sz w:val="20"/>
              </w:rPr>
              <w:t>Intensity,</w:t>
            </w:r>
            <w:r>
              <w:rPr>
                <w:b/>
                <w:color w:val="231F20"/>
                <w:spacing w:val="1"/>
                <w:sz w:val="20"/>
              </w:rPr>
              <w:t> </w:t>
            </w:r>
            <w:r>
              <w:rPr>
                <w:b/>
                <w:color w:val="231F20"/>
                <w:sz w:val="20"/>
              </w:rPr>
              <w:t>duration, and</w:t>
            </w:r>
            <w:r>
              <w:rPr>
                <w:b/>
                <w:color w:val="231F20"/>
                <w:spacing w:val="-54"/>
                <w:sz w:val="20"/>
              </w:rPr>
              <w:t> </w:t>
            </w:r>
            <w:r>
              <w:rPr>
                <w:b/>
                <w:color w:val="231F20"/>
                <w:sz w:val="20"/>
              </w:rPr>
              <w:t>frequency</w:t>
            </w:r>
          </w:p>
        </w:tc>
        <w:tc>
          <w:tcPr>
            <w:tcW w:w="8875" w:type="dxa"/>
          </w:tcPr>
          <w:p>
            <w:pPr>
              <w:pStyle w:val="TableParagraph"/>
              <w:numPr>
                <w:ilvl w:val="0"/>
                <w:numId w:val="48"/>
              </w:numPr>
              <w:tabs>
                <w:tab w:pos="439" w:val="left" w:leader="none"/>
                <w:tab w:pos="440" w:val="left" w:leader="none"/>
              </w:tabs>
              <w:spacing w:line="249" w:lineRule="auto" w:before="19" w:after="0"/>
              <w:ind w:left="440" w:right="265" w:hanging="361"/>
              <w:jc w:val="left"/>
              <w:rPr>
                <w:sz w:val="11"/>
              </w:rPr>
            </w:pPr>
            <w:r>
              <w:rPr>
                <w:color w:val="231F20"/>
                <w:sz w:val="20"/>
              </w:rPr>
              <w:t>Participants received PE once a week ranging from approximately 60 to 90 minutes;</w:t>
            </w:r>
            <w:r>
              <w:rPr>
                <w:color w:val="231F20"/>
                <w:position w:val="7"/>
                <w:sz w:val="11"/>
              </w:rPr>
              <w:t>65-69</w:t>
            </w:r>
            <w:r>
              <w:rPr>
                <w:color w:val="231F20"/>
                <w:spacing w:val="1"/>
                <w:position w:val="7"/>
                <w:sz w:val="11"/>
              </w:rPr>
              <w:t> </w:t>
            </w:r>
            <w:r>
              <w:rPr>
                <w:color w:val="231F20"/>
                <w:sz w:val="20"/>
              </w:rPr>
              <w:t>they</w:t>
            </w:r>
            <w:r>
              <w:rPr>
                <w:color w:val="231F20"/>
                <w:spacing w:val="-53"/>
                <w:sz w:val="20"/>
              </w:rPr>
              <w:t> </w:t>
            </w:r>
            <w:r>
              <w:rPr>
                <w:color w:val="231F20"/>
                <w:sz w:val="20"/>
              </w:rPr>
              <w:t>were typically offered between 6 to 12 sessions depending on treatment response,</w:t>
            </w:r>
            <w:r>
              <w:rPr>
                <w:color w:val="231F20"/>
                <w:position w:val="7"/>
                <w:sz w:val="11"/>
              </w:rPr>
              <w:t>64, 65, 67-69</w:t>
            </w:r>
            <w:r>
              <w:rPr>
                <w:color w:val="231F20"/>
                <w:spacing w:val="1"/>
                <w:position w:val="7"/>
                <w:sz w:val="11"/>
              </w:rPr>
              <w:t> </w:t>
            </w:r>
            <w:r>
              <w:rPr>
                <w:color w:val="231F20"/>
                <w:sz w:val="20"/>
              </w:rPr>
              <w:t>and up to 21 sessions in one case</w:t>
            </w:r>
            <w:r>
              <w:rPr>
                <w:color w:val="231F20"/>
                <w:position w:val="7"/>
                <w:sz w:val="11"/>
              </w:rPr>
              <w:t>66</w:t>
            </w:r>
          </w:p>
        </w:tc>
      </w:tr>
      <w:tr>
        <w:trPr>
          <w:trHeight w:val="2236" w:hRule="atLeast"/>
        </w:trPr>
        <w:tc>
          <w:tcPr>
            <w:tcW w:w="1910" w:type="dxa"/>
          </w:tcPr>
          <w:p>
            <w:pPr>
              <w:pStyle w:val="TableParagraph"/>
              <w:spacing w:line="249" w:lineRule="auto" w:before="33"/>
              <w:ind w:left="80" w:right="106"/>
              <w:rPr>
                <w:b/>
                <w:sz w:val="20"/>
              </w:rPr>
            </w:pPr>
            <w:r>
              <w:rPr>
                <w:b/>
                <w:color w:val="231F20"/>
                <w:sz w:val="20"/>
              </w:rPr>
              <w:t>Lessons learned</w:t>
            </w:r>
            <w:r>
              <w:rPr>
                <w:b/>
                <w:color w:val="231F20"/>
                <w:spacing w:val="1"/>
                <w:sz w:val="20"/>
              </w:rPr>
              <w:t> </w:t>
            </w:r>
            <w:r>
              <w:rPr>
                <w:b/>
                <w:color w:val="231F20"/>
                <w:sz w:val="20"/>
              </w:rPr>
              <w:t>transitioning from</w:t>
            </w:r>
            <w:r>
              <w:rPr>
                <w:b/>
                <w:color w:val="231F20"/>
                <w:spacing w:val="-54"/>
                <w:sz w:val="20"/>
              </w:rPr>
              <w:t> </w:t>
            </w:r>
            <w:r>
              <w:rPr>
                <w:b/>
                <w:color w:val="231F20"/>
                <w:sz w:val="20"/>
              </w:rPr>
              <w:t>in-person care to</w:t>
            </w:r>
            <w:r>
              <w:rPr>
                <w:b/>
                <w:color w:val="231F20"/>
                <w:spacing w:val="1"/>
                <w:sz w:val="20"/>
              </w:rPr>
              <w:t> </w:t>
            </w:r>
            <w:r>
              <w:rPr>
                <w:b/>
                <w:color w:val="231F20"/>
                <w:sz w:val="20"/>
              </w:rPr>
              <w:t>telehealth</w:t>
            </w:r>
          </w:p>
        </w:tc>
        <w:tc>
          <w:tcPr>
            <w:tcW w:w="8875" w:type="dxa"/>
          </w:tcPr>
          <w:p>
            <w:pPr>
              <w:pStyle w:val="TableParagraph"/>
              <w:numPr>
                <w:ilvl w:val="0"/>
                <w:numId w:val="49"/>
              </w:numPr>
              <w:tabs>
                <w:tab w:pos="439" w:val="left" w:leader="none"/>
                <w:tab w:pos="441" w:val="left" w:leader="none"/>
              </w:tabs>
              <w:spacing w:line="243" w:lineRule="exact" w:before="19" w:after="0"/>
              <w:ind w:left="440" w:right="0" w:hanging="361"/>
              <w:jc w:val="left"/>
              <w:rPr>
                <w:sz w:val="11"/>
              </w:rPr>
            </w:pPr>
            <w:r>
              <w:rPr>
                <w:color w:val="231F20"/>
                <w:spacing w:val="-1"/>
                <w:sz w:val="20"/>
              </w:rPr>
              <w:t>Clients</w:t>
            </w:r>
            <w:r>
              <w:rPr>
                <w:color w:val="231F20"/>
                <w:spacing w:val="-13"/>
                <w:sz w:val="20"/>
              </w:rPr>
              <w:t> </w:t>
            </w:r>
            <w:r>
              <w:rPr>
                <w:color w:val="231F20"/>
                <w:spacing w:val="-1"/>
                <w:sz w:val="20"/>
              </w:rPr>
              <w:t>express</w:t>
            </w:r>
            <w:r>
              <w:rPr>
                <w:color w:val="231F20"/>
                <w:spacing w:val="-13"/>
                <w:sz w:val="20"/>
              </w:rPr>
              <w:t> </w:t>
            </w:r>
            <w:r>
              <w:rPr>
                <w:color w:val="231F20"/>
                <w:spacing w:val="-1"/>
                <w:sz w:val="20"/>
              </w:rPr>
              <w:t>general</w:t>
            </w:r>
            <w:r>
              <w:rPr>
                <w:color w:val="231F20"/>
                <w:spacing w:val="-13"/>
                <w:sz w:val="20"/>
              </w:rPr>
              <w:t> </w:t>
            </w:r>
            <w:r>
              <w:rPr>
                <w:color w:val="231F20"/>
                <w:spacing w:val="-1"/>
                <w:sz w:val="20"/>
              </w:rPr>
              <w:t>interest</w:t>
            </w:r>
            <w:r>
              <w:rPr>
                <w:color w:val="231F20"/>
                <w:spacing w:val="-13"/>
                <w:sz w:val="20"/>
              </w:rPr>
              <w:t> </w:t>
            </w:r>
            <w:r>
              <w:rPr>
                <w:color w:val="231F20"/>
                <w:spacing w:val="-1"/>
                <w:sz w:val="20"/>
              </w:rPr>
              <w:t>and</w:t>
            </w:r>
            <w:r>
              <w:rPr>
                <w:color w:val="231F20"/>
                <w:spacing w:val="-13"/>
                <w:sz w:val="20"/>
              </w:rPr>
              <w:t> </w:t>
            </w:r>
            <w:r>
              <w:rPr>
                <w:color w:val="231F20"/>
                <w:sz w:val="20"/>
              </w:rPr>
              <w:t>acceptability</w:t>
            </w:r>
            <w:r>
              <w:rPr>
                <w:color w:val="231F20"/>
                <w:spacing w:val="-13"/>
                <w:sz w:val="20"/>
              </w:rPr>
              <w:t> </w:t>
            </w:r>
            <w:r>
              <w:rPr>
                <w:color w:val="231F20"/>
                <w:sz w:val="20"/>
              </w:rPr>
              <w:t>in</w:t>
            </w:r>
            <w:r>
              <w:rPr>
                <w:color w:val="231F20"/>
                <w:spacing w:val="-13"/>
                <w:sz w:val="20"/>
              </w:rPr>
              <w:t> </w:t>
            </w:r>
            <w:r>
              <w:rPr>
                <w:color w:val="231F20"/>
                <w:sz w:val="20"/>
              </w:rPr>
              <w:t>using</w:t>
            </w:r>
            <w:r>
              <w:rPr>
                <w:color w:val="231F20"/>
                <w:spacing w:val="-13"/>
                <w:sz w:val="20"/>
              </w:rPr>
              <w:t> </w:t>
            </w:r>
            <w:r>
              <w:rPr>
                <w:color w:val="231F20"/>
                <w:sz w:val="20"/>
              </w:rPr>
              <w:t>PE</w:t>
            </w:r>
            <w:r>
              <w:rPr>
                <w:color w:val="231F20"/>
                <w:spacing w:val="-12"/>
                <w:sz w:val="20"/>
              </w:rPr>
              <w:t> </w:t>
            </w:r>
            <w:r>
              <w:rPr>
                <w:color w:val="231F20"/>
                <w:sz w:val="20"/>
              </w:rPr>
              <w:t>delivered</w:t>
            </w:r>
            <w:r>
              <w:rPr>
                <w:color w:val="231F20"/>
                <w:spacing w:val="-13"/>
                <w:sz w:val="20"/>
              </w:rPr>
              <w:t> </w:t>
            </w:r>
            <w:r>
              <w:rPr>
                <w:color w:val="231F20"/>
                <w:sz w:val="20"/>
              </w:rPr>
              <w:t>via</w:t>
            </w:r>
            <w:r>
              <w:rPr>
                <w:color w:val="231F20"/>
                <w:spacing w:val="-13"/>
                <w:sz w:val="20"/>
              </w:rPr>
              <w:t> </w:t>
            </w:r>
            <w:r>
              <w:rPr>
                <w:color w:val="231F20"/>
                <w:sz w:val="20"/>
              </w:rPr>
              <w:t>videoconferencing</w:t>
            </w:r>
            <w:r>
              <w:rPr>
                <w:color w:val="231F20"/>
                <w:position w:val="7"/>
                <w:sz w:val="11"/>
              </w:rPr>
              <w:t>68</w:t>
            </w:r>
          </w:p>
          <w:p>
            <w:pPr>
              <w:pStyle w:val="TableParagraph"/>
              <w:numPr>
                <w:ilvl w:val="0"/>
                <w:numId w:val="49"/>
              </w:numPr>
              <w:tabs>
                <w:tab w:pos="439" w:val="left" w:leader="none"/>
                <w:tab w:pos="441" w:val="left" w:leader="none"/>
              </w:tabs>
              <w:spacing w:line="247" w:lineRule="auto" w:before="0" w:after="0"/>
              <w:ind w:left="440" w:right="419" w:hanging="360"/>
              <w:jc w:val="left"/>
              <w:rPr>
                <w:sz w:val="11"/>
              </w:rPr>
            </w:pPr>
            <w:r>
              <w:rPr>
                <w:color w:val="231F20"/>
                <w:sz w:val="20"/>
              </w:rPr>
              <w:t>Telehealth-delivered</w:t>
            </w:r>
            <w:r>
              <w:rPr>
                <w:color w:val="231F20"/>
                <w:spacing w:val="-4"/>
                <w:sz w:val="20"/>
              </w:rPr>
              <w:t> </w:t>
            </w:r>
            <w:r>
              <w:rPr>
                <w:color w:val="231F20"/>
                <w:sz w:val="20"/>
              </w:rPr>
              <w:t>PE</w:t>
            </w:r>
            <w:r>
              <w:rPr>
                <w:color w:val="231F20"/>
                <w:spacing w:val="-4"/>
                <w:sz w:val="20"/>
              </w:rPr>
              <w:t> </w:t>
            </w:r>
            <w:r>
              <w:rPr>
                <w:color w:val="231F20"/>
                <w:sz w:val="20"/>
              </w:rPr>
              <w:t>can</w:t>
            </w:r>
            <w:r>
              <w:rPr>
                <w:color w:val="231F20"/>
                <w:spacing w:val="-3"/>
                <w:sz w:val="20"/>
              </w:rPr>
              <w:t> </w:t>
            </w:r>
            <w:r>
              <w:rPr>
                <w:color w:val="231F20"/>
                <w:sz w:val="20"/>
              </w:rPr>
              <w:t>help</w:t>
            </w:r>
            <w:r>
              <w:rPr>
                <w:color w:val="231F20"/>
                <w:spacing w:val="-4"/>
                <w:sz w:val="20"/>
              </w:rPr>
              <w:t> </w:t>
            </w:r>
            <w:r>
              <w:rPr>
                <w:color w:val="231F20"/>
                <w:sz w:val="20"/>
              </w:rPr>
              <w:t>overcome</w:t>
            </w:r>
            <w:r>
              <w:rPr>
                <w:color w:val="231F20"/>
                <w:spacing w:val="-3"/>
                <w:sz w:val="20"/>
              </w:rPr>
              <w:t> </w:t>
            </w:r>
            <w:r>
              <w:rPr>
                <w:color w:val="231F20"/>
                <w:sz w:val="20"/>
              </w:rPr>
              <w:t>geographic</w:t>
            </w:r>
            <w:r>
              <w:rPr>
                <w:color w:val="231F20"/>
                <w:spacing w:val="-4"/>
                <w:sz w:val="20"/>
              </w:rPr>
              <w:t> </w:t>
            </w:r>
            <w:r>
              <w:rPr>
                <w:color w:val="231F20"/>
                <w:sz w:val="20"/>
              </w:rPr>
              <w:t>barriers</w:t>
            </w:r>
            <w:r>
              <w:rPr>
                <w:color w:val="231F20"/>
                <w:spacing w:val="-3"/>
                <w:sz w:val="20"/>
              </w:rPr>
              <w:t> </w:t>
            </w:r>
            <w:r>
              <w:rPr>
                <w:color w:val="231F20"/>
                <w:sz w:val="20"/>
              </w:rPr>
              <w:t>to</w:t>
            </w:r>
            <w:r>
              <w:rPr>
                <w:color w:val="231F20"/>
                <w:spacing w:val="-4"/>
                <w:sz w:val="20"/>
              </w:rPr>
              <w:t> </w:t>
            </w:r>
            <w:r>
              <w:rPr>
                <w:color w:val="231F20"/>
                <w:sz w:val="20"/>
              </w:rPr>
              <w:t>care</w:t>
            </w:r>
            <w:r>
              <w:rPr>
                <w:color w:val="231F20"/>
                <w:spacing w:val="-3"/>
                <w:sz w:val="20"/>
              </w:rPr>
              <w:t> </w:t>
            </w:r>
            <w:r>
              <w:rPr>
                <w:color w:val="231F20"/>
                <w:sz w:val="20"/>
              </w:rPr>
              <w:t>and</w:t>
            </w:r>
            <w:r>
              <w:rPr>
                <w:color w:val="231F20"/>
                <w:spacing w:val="-4"/>
                <w:sz w:val="20"/>
              </w:rPr>
              <w:t> </w:t>
            </w:r>
            <w:r>
              <w:rPr>
                <w:color w:val="231F20"/>
                <w:sz w:val="20"/>
              </w:rPr>
              <w:t>help</w:t>
            </w:r>
            <w:r>
              <w:rPr>
                <w:color w:val="231F20"/>
                <w:spacing w:val="-3"/>
                <w:sz w:val="20"/>
              </w:rPr>
              <w:t> </w:t>
            </w:r>
            <w:r>
              <w:rPr>
                <w:color w:val="231F20"/>
                <w:sz w:val="20"/>
              </w:rPr>
              <w:t>providers</w:t>
            </w:r>
            <w:r>
              <w:rPr>
                <w:color w:val="231F20"/>
                <w:spacing w:val="-53"/>
                <w:sz w:val="20"/>
              </w:rPr>
              <w:t> </w:t>
            </w:r>
            <w:r>
              <w:rPr>
                <w:color w:val="231F20"/>
                <w:sz w:val="20"/>
              </w:rPr>
              <w:t>reach underserved populations</w:t>
            </w:r>
            <w:r>
              <w:rPr>
                <w:color w:val="231F20"/>
                <w:position w:val="7"/>
                <w:sz w:val="11"/>
              </w:rPr>
              <w:t>68,</w:t>
            </w:r>
            <w:r>
              <w:rPr>
                <w:color w:val="231F20"/>
                <w:spacing w:val="1"/>
                <w:position w:val="7"/>
                <w:sz w:val="11"/>
              </w:rPr>
              <w:t> </w:t>
            </w:r>
            <w:r>
              <w:rPr>
                <w:color w:val="231F20"/>
                <w:position w:val="7"/>
                <w:sz w:val="11"/>
              </w:rPr>
              <w:t>69</w:t>
            </w:r>
          </w:p>
          <w:p>
            <w:pPr>
              <w:pStyle w:val="TableParagraph"/>
              <w:numPr>
                <w:ilvl w:val="0"/>
                <w:numId w:val="49"/>
              </w:numPr>
              <w:tabs>
                <w:tab w:pos="439" w:val="left" w:leader="none"/>
                <w:tab w:pos="441" w:val="left" w:leader="none"/>
              </w:tabs>
              <w:spacing w:line="249" w:lineRule="auto" w:before="0" w:after="0"/>
              <w:ind w:left="440" w:right="231" w:hanging="360"/>
              <w:jc w:val="left"/>
              <w:rPr>
                <w:sz w:val="11"/>
              </w:rPr>
            </w:pPr>
            <w:r>
              <w:rPr>
                <w:color w:val="231F20"/>
                <w:sz w:val="20"/>
              </w:rPr>
              <w:t>Providers can make small adaptations to telehealth-delivered care to increase adherence to</w:t>
            </w:r>
            <w:r>
              <w:rPr>
                <w:color w:val="231F20"/>
                <w:spacing w:val="1"/>
                <w:sz w:val="20"/>
              </w:rPr>
              <w:t> </w:t>
            </w:r>
            <w:r>
              <w:rPr>
                <w:color w:val="231F20"/>
                <w:sz w:val="20"/>
              </w:rPr>
              <w:t>PE; some small, yet useful changes in care include using smartphone calendar reminders,</w:t>
            </w:r>
            <w:r>
              <w:rPr>
                <w:color w:val="231F20"/>
                <w:spacing w:val="1"/>
                <w:sz w:val="20"/>
              </w:rPr>
              <w:t> </w:t>
            </w:r>
            <w:r>
              <w:rPr>
                <w:color w:val="231F20"/>
                <w:sz w:val="20"/>
              </w:rPr>
              <w:t>scheduling</w:t>
            </w:r>
            <w:r>
              <w:rPr>
                <w:color w:val="231F20"/>
                <w:spacing w:val="-2"/>
                <w:sz w:val="20"/>
              </w:rPr>
              <w:t> </w:t>
            </w:r>
            <w:r>
              <w:rPr>
                <w:color w:val="231F20"/>
                <w:sz w:val="20"/>
              </w:rPr>
              <w:t>an</w:t>
            </w:r>
            <w:r>
              <w:rPr>
                <w:color w:val="231F20"/>
                <w:spacing w:val="-1"/>
                <w:sz w:val="20"/>
              </w:rPr>
              <w:t> </w:t>
            </w:r>
            <w:r>
              <w:rPr>
                <w:color w:val="231F20"/>
                <w:sz w:val="20"/>
              </w:rPr>
              <w:t>initial</w:t>
            </w:r>
            <w:r>
              <w:rPr>
                <w:color w:val="231F20"/>
                <w:spacing w:val="-1"/>
                <w:sz w:val="20"/>
              </w:rPr>
              <w:t> </w:t>
            </w:r>
            <w:r>
              <w:rPr>
                <w:color w:val="231F20"/>
                <w:sz w:val="20"/>
              </w:rPr>
              <w:t>in-person</w:t>
            </w:r>
            <w:r>
              <w:rPr>
                <w:color w:val="231F20"/>
                <w:spacing w:val="-2"/>
                <w:sz w:val="20"/>
              </w:rPr>
              <w:t> </w:t>
            </w:r>
            <w:r>
              <w:rPr>
                <w:color w:val="231F20"/>
                <w:sz w:val="20"/>
              </w:rPr>
              <w:t>client</w:t>
            </w:r>
            <w:r>
              <w:rPr>
                <w:color w:val="231F20"/>
                <w:spacing w:val="-1"/>
                <w:sz w:val="20"/>
              </w:rPr>
              <w:t> </w:t>
            </w:r>
            <w:r>
              <w:rPr>
                <w:color w:val="231F20"/>
                <w:sz w:val="20"/>
              </w:rPr>
              <w:t>meeting</w:t>
            </w:r>
            <w:r>
              <w:rPr>
                <w:color w:val="231F20"/>
                <w:spacing w:val="-1"/>
                <w:sz w:val="20"/>
              </w:rPr>
              <w:t> </w:t>
            </w:r>
            <w:r>
              <w:rPr>
                <w:color w:val="231F20"/>
                <w:sz w:val="20"/>
              </w:rPr>
              <w:t>to</w:t>
            </w:r>
            <w:r>
              <w:rPr>
                <w:color w:val="231F20"/>
                <w:spacing w:val="-2"/>
                <w:sz w:val="20"/>
              </w:rPr>
              <w:t> </w:t>
            </w:r>
            <w:r>
              <w:rPr>
                <w:color w:val="231F20"/>
                <w:sz w:val="20"/>
              </w:rPr>
              <w:t>build</w:t>
            </w:r>
            <w:r>
              <w:rPr>
                <w:color w:val="231F20"/>
                <w:spacing w:val="-1"/>
                <w:sz w:val="20"/>
              </w:rPr>
              <w:t> </w:t>
            </w:r>
            <w:r>
              <w:rPr>
                <w:color w:val="231F20"/>
                <w:sz w:val="20"/>
              </w:rPr>
              <w:t>rapport,</w:t>
            </w:r>
            <w:r>
              <w:rPr>
                <w:color w:val="231F20"/>
                <w:spacing w:val="-1"/>
                <w:sz w:val="20"/>
              </w:rPr>
              <w:t> </w:t>
            </w:r>
            <w:r>
              <w:rPr>
                <w:color w:val="231F20"/>
                <w:sz w:val="20"/>
              </w:rPr>
              <w:t>and</w:t>
            </w:r>
            <w:r>
              <w:rPr>
                <w:color w:val="231F20"/>
                <w:spacing w:val="-2"/>
                <w:sz w:val="20"/>
              </w:rPr>
              <w:t> </w:t>
            </w:r>
            <w:r>
              <w:rPr>
                <w:color w:val="231F20"/>
                <w:sz w:val="20"/>
              </w:rPr>
              <w:t>using</w:t>
            </w:r>
            <w:r>
              <w:rPr>
                <w:color w:val="231F20"/>
                <w:spacing w:val="-1"/>
                <w:sz w:val="20"/>
              </w:rPr>
              <w:t> </w:t>
            </w:r>
            <w:r>
              <w:rPr>
                <w:color w:val="231F20"/>
                <w:sz w:val="20"/>
              </w:rPr>
              <w:t>the</w:t>
            </w:r>
            <w:r>
              <w:rPr>
                <w:color w:val="231F20"/>
                <w:spacing w:val="-1"/>
                <w:sz w:val="20"/>
              </w:rPr>
              <w:t> </w:t>
            </w:r>
            <w:r>
              <w:rPr>
                <w:color w:val="231F20"/>
                <w:sz w:val="20"/>
              </w:rPr>
              <w:t>PE</w:t>
            </w:r>
            <w:r>
              <w:rPr>
                <w:color w:val="231F20"/>
                <w:spacing w:val="-1"/>
                <w:sz w:val="20"/>
              </w:rPr>
              <w:t> </w:t>
            </w:r>
            <w:r>
              <w:rPr>
                <w:color w:val="231F20"/>
                <w:sz w:val="20"/>
              </w:rPr>
              <w:t>Coach</w:t>
            </w:r>
            <w:r>
              <w:rPr>
                <w:color w:val="231F20"/>
                <w:spacing w:val="-2"/>
                <w:sz w:val="20"/>
              </w:rPr>
              <w:t> </w:t>
            </w:r>
            <w:r>
              <w:rPr>
                <w:color w:val="231F20"/>
                <w:sz w:val="20"/>
              </w:rPr>
              <w:t>app</w:t>
            </w:r>
            <w:r>
              <w:rPr>
                <w:color w:val="231F20"/>
                <w:spacing w:val="-1"/>
                <w:sz w:val="20"/>
              </w:rPr>
              <w:t> </w:t>
            </w:r>
            <w:r>
              <w:rPr>
                <w:color w:val="231F20"/>
                <w:sz w:val="20"/>
              </w:rPr>
              <w:t>to</w:t>
            </w:r>
            <w:r>
              <w:rPr>
                <w:color w:val="231F20"/>
                <w:spacing w:val="-53"/>
                <w:sz w:val="20"/>
              </w:rPr>
              <w:t> </w:t>
            </w:r>
            <w:r>
              <w:rPr>
                <w:color w:val="231F20"/>
                <w:sz w:val="20"/>
              </w:rPr>
              <w:t>augment and supplement treatment</w:t>
            </w:r>
            <w:r>
              <w:rPr>
                <w:color w:val="231F20"/>
                <w:position w:val="7"/>
                <w:sz w:val="11"/>
              </w:rPr>
              <w:t>66,</w:t>
            </w:r>
            <w:r>
              <w:rPr>
                <w:color w:val="231F20"/>
                <w:spacing w:val="1"/>
                <w:position w:val="7"/>
                <w:sz w:val="11"/>
              </w:rPr>
              <w:t> </w:t>
            </w:r>
            <w:r>
              <w:rPr>
                <w:color w:val="231F20"/>
                <w:position w:val="7"/>
                <w:sz w:val="11"/>
              </w:rPr>
              <w:t>68</w:t>
            </w:r>
          </w:p>
          <w:p>
            <w:pPr>
              <w:pStyle w:val="TableParagraph"/>
              <w:numPr>
                <w:ilvl w:val="0"/>
                <w:numId w:val="49"/>
              </w:numPr>
              <w:tabs>
                <w:tab w:pos="439" w:val="left" w:leader="none"/>
                <w:tab w:pos="441" w:val="left" w:leader="none"/>
              </w:tabs>
              <w:spacing w:line="247" w:lineRule="auto" w:before="0" w:after="0"/>
              <w:ind w:left="440" w:right="152" w:hanging="360"/>
              <w:jc w:val="left"/>
              <w:rPr>
                <w:sz w:val="11"/>
              </w:rPr>
            </w:pPr>
            <w:r>
              <w:rPr>
                <w:color w:val="231F20"/>
                <w:sz w:val="20"/>
              </w:rPr>
              <w:t>During</w:t>
            </w:r>
            <w:r>
              <w:rPr>
                <w:color w:val="231F20"/>
                <w:spacing w:val="-2"/>
                <w:sz w:val="20"/>
              </w:rPr>
              <w:t> </w:t>
            </w:r>
            <w:r>
              <w:rPr>
                <w:color w:val="231F20"/>
                <w:sz w:val="20"/>
              </w:rPr>
              <w:t>telehealth</w:t>
            </w:r>
            <w:r>
              <w:rPr>
                <w:color w:val="231F20"/>
                <w:spacing w:val="-1"/>
                <w:sz w:val="20"/>
              </w:rPr>
              <w:t> </w:t>
            </w:r>
            <w:r>
              <w:rPr>
                <w:color w:val="231F20"/>
                <w:sz w:val="20"/>
              </w:rPr>
              <w:t>visits,</w:t>
            </w:r>
            <w:r>
              <w:rPr>
                <w:color w:val="231F20"/>
                <w:spacing w:val="-1"/>
                <w:sz w:val="20"/>
              </w:rPr>
              <w:t> </w:t>
            </w:r>
            <w:r>
              <w:rPr>
                <w:color w:val="231F20"/>
                <w:sz w:val="20"/>
              </w:rPr>
              <w:t>the</w:t>
            </w:r>
            <w:r>
              <w:rPr>
                <w:color w:val="231F20"/>
                <w:spacing w:val="-2"/>
                <w:sz w:val="20"/>
              </w:rPr>
              <w:t> </w:t>
            </w:r>
            <w:r>
              <w:rPr>
                <w:color w:val="231F20"/>
                <w:sz w:val="20"/>
              </w:rPr>
              <w:t>quality</w:t>
            </w:r>
            <w:r>
              <w:rPr>
                <w:color w:val="231F20"/>
                <w:spacing w:val="-1"/>
                <w:sz w:val="20"/>
              </w:rPr>
              <w:t> </w:t>
            </w:r>
            <w:r>
              <w:rPr>
                <w:color w:val="231F20"/>
                <w:sz w:val="20"/>
              </w:rPr>
              <w:t>and</w:t>
            </w:r>
            <w:r>
              <w:rPr>
                <w:color w:val="231F20"/>
                <w:spacing w:val="-1"/>
                <w:sz w:val="20"/>
              </w:rPr>
              <w:t> </w:t>
            </w:r>
            <w:r>
              <w:rPr>
                <w:color w:val="231F20"/>
                <w:sz w:val="20"/>
              </w:rPr>
              <w:t>positioning</w:t>
            </w:r>
            <w:r>
              <w:rPr>
                <w:color w:val="231F20"/>
                <w:spacing w:val="-2"/>
                <w:sz w:val="20"/>
              </w:rPr>
              <w:t> </w:t>
            </w:r>
            <w:r>
              <w:rPr>
                <w:color w:val="231F20"/>
                <w:sz w:val="20"/>
              </w:rPr>
              <w:t>of</w:t>
            </w:r>
            <w:r>
              <w:rPr>
                <w:color w:val="231F20"/>
                <w:spacing w:val="-1"/>
                <w:sz w:val="20"/>
              </w:rPr>
              <w:t> </w:t>
            </w:r>
            <w:r>
              <w:rPr>
                <w:color w:val="231F20"/>
                <w:sz w:val="20"/>
              </w:rPr>
              <w:t>video</w:t>
            </w:r>
            <w:r>
              <w:rPr>
                <w:color w:val="231F20"/>
                <w:spacing w:val="-1"/>
                <w:sz w:val="20"/>
              </w:rPr>
              <w:t> </w:t>
            </w:r>
            <w:r>
              <w:rPr>
                <w:color w:val="231F20"/>
                <w:sz w:val="20"/>
              </w:rPr>
              <w:t>cameras</w:t>
            </w:r>
            <w:r>
              <w:rPr>
                <w:color w:val="231F20"/>
                <w:spacing w:val="-1"/>
                <w:sz w:val="20"/>
              </w:rPr>
              <w:t> </w:t>
            </w:r>
            <w:r>
              <w:rPr>
                <w:color w:val="231F20"/>
                <w:sz w:val="20"/>
              </w:rPr>
              <w:t>and</w:t>
            </w:r>
            <w:r>
              <w:rPr>
                <w:color w:val="231F20"/>
                <w:spacing w:val="-2"/>
                <w:sz w:val="20"/>
              </w:rPr>
              <w:t> </w:t>
            </w:r>
            <w:r>
              <w:rPr>
                <w:color w:val="231F20"/>
                <w:sz w:val="20"/>
              </w:rPr>
              <w:t>monitors</w:t>
            </w:r>
            <w:r>
              <w:rPr>
                <w:color w:val="231F20"/>
                <w:spacing w:val="-1"/>
                <w:sz w:val="20"/>
              </w:rPr>
              <w:t> </w:t>
            </w:r>
            <w:r>
              <w:rPr>
                <w:color w:val="231F20"/>
                <w:sz w:val="20"/>
              </w:rPr>
              <w:t>can</w:t>
            </w:r>
            <w:r>
              <w:rPr>
                <w:color w:val="231F20"/>
                <w:spacing w:val="-1"/>
                <w:sz w:val="20"/>
              </w:rPr>
              <w:t> </w:t>
            </w:r>
            <w:r>
              <w:rPr>
                <w:color w:val="231F20"/>
                <w:sz w:val="20"/>
              </w:rPr>
              <w:t>reduce</w:t>
            </w:r>
            <w:r>
              <w:rPr>
                <w:color w:val="231F20"/>
                <w:spacing w:val="-53"/>
                <w:sz w:val="20"/>
              </w:rPr>
              <w:t> </w:t>
            </w:r>
            <w:r>
              <w:rPr>
                <w:color w:val="231F20"/>
                <w:sz w:val="20"/>
              </w:rPr>
              <w:t>providers’</w:t>
            </w:r>
            <w:r>
              <w:rPr>
                <w:color w:val="231F20"/>
                <w:spacing w:val="-8"/>
                <w:sz w:val="20"/>
              </w:rPr>
              <w:t> </w:t>
            </w:r>
            <w:r>
              <w:rPr>
                <w:color w:val="231F20"/>
                <w:sz w:val="20"/>
              </w:rPr>
              <w:t>ability to notice and respond</w:t>
            </w:r>
            <w:r>
              <w:rPr>
                <w:color w:val="231F20"/>
                <w:spacing w:val="1"/>
                <w:sz w:val="20"/>
              </w:rPr>
              <w:t> </w:t>
            </w:r>
            <w:r>
              <w:rPr>
                <w:color w:val="231F20"/>
                <w:sz w:val="20"/>
              </w:rPr>
              <w:t>to clients’</w:t>
            </w:r>
            <w:r>
              <w:rPr>
                <w:color w:val="231F20"/>
                <w:spacing w:val="-8"/>
                <w:sz w:val="20"/>
              </w:rPr>
              <w:t> </w:t>
            </w:r>
            <w:r>
              <w:rPr>
                <w:color w:val="231F20"/>
                <w:sz w:val="20"/>
              </w:rPr>
              <w:t>nonverbal communications</w:t>
            </w:r>
            <w:r>
              <w:rPr>
                <w:color w:val="231F20"/>
                <w:position w:val="7"/>
                <w:sz w:val="11"/>
              </w:rPr>
              <w:t>69</w:t>
            </w:r>
          </w:p>
        </w:tc>
      </w:tr>
      <w:tr>
        <w:trPr>
          <w:trHeight w:val="535" w:hRule="atLeast"/>
        </w:trPr>
        <w:tc>
          <w:tcPr>
            <w:tcW w:w="10785" w:type="dxa"/>
            <w:gridSpan w:val="2"/>
            <w:tcBorders>
              <w:right w:val="single" w:sz="8" w:space="0" w:color="231F20"/>
            </w:tcBorders>
          </w:tcPr>
          <w:p>
            <w:pPr>
              <w:pStyle w:val="TableParagraph"/>
              <w:spacing w:line="249" w:lineRule="auto" w:before="33"/>
              <w:ind w:left="74"/>
              <w:rPr>
                <w:sz w:val="20"/>
              </w:rPr>
            </w:pPr>
            <w:r>
              <w:rPr>
                <w:color w:val="231F20"/>
                <w:sz w:val="20"/>
              </w:rPr>
              <w:t>Seven</w:t>
            </w:r>
            <w:r>
              <w:rPr>
                <w:color w:val="231F20"/>
                <w:spacing w:val="-2"/>
                <w:sz w:val="20"/>
              </w:rPr>
              <w:t> </w:t>
            </w:r>
            <w:r>
              <w:rPr>
                <w:color w:val="231F20"/>
                <w:sz w:val="20"/>
              </w:rPr>
              <w:t>studies</w:t>
            </w:r>
            <w:r>
              <w:rPr>
                <w:color w:val="231F20"/>
                <w:spacing w:val="-2"/>
                <w:sz w:val="20"/>
              </w:rPr>
              <w:t> </w:t>
            </w:r>
            <w:r>
              <w:rPr>
                <w:color w:val="231F20"/>
                <w:sz w:val="20"/>
              </w:rPr>
              <w:t>met</w:t>
            </w:r>
            <w:r>
              <w:rPr>
                <w:color w:val="231F20"/>
                <w:spacing w:val="-2"/>
                <w:sz w:val="20"/>
              </w:rPr>
              <w:t> </w:t>
            </w:r>
            <w:r>
              <w:rPr>
                <w:color w:val="231F20"/>
                <w:sz w:val="20"/>
              </w:rPr>
              <w:t>criteria</w:t>
            </w:r>
            <w:r>
              <w:rPr>
                <w:color w:val="231F20"/>
                <w:spacing w:val="-2"/>
                <w:sz w:val="20"/>
              </w:rPr>
              <w:t> </w:t>
            </w:r>
            <w:r>
              <w:rPr>
                <w:color w:val="231F20"/>
                <w:sz w:val="20"/>
              </w:rPr>
              <w:t>for</w:t>
            </w:r>
            <w:r>
              <w:rPr>
                <w:color w:val="231F20"/>
                <w:spacing w:val="-2"/>
                <w:sz w:val="20"/>
              </w:rPr>
              <w:t> </w:t>
            </w:r>
            <w:r>
              <w:rPr>
                <w:color w:val="231F20"/>
                <w:sz w:val="20"/>
              </w:rPr>
              <w:t>review</w:t>
            </w:r>
            <w:r>
              <w:rPr>
                <w:color w:val="231F20"/>
                <w:spacing w:val="-2"/>
                <w:sz w:val="20"/>
              </w:rPr>
              <w:t> </w:t>
            </w:r>
            <w:r>
              <w:rPr>
                <w:color w:val="231F20"/>
                <w:sz w:val="20"/>
              </w:rPr>
              <w:t>(four</w:t>
            </w:r>
            <w:r>
              <w:rPr>
                <w:color w:val="231F20"/>
                <w:spacing w:val="-2"/>
                <w:sz w:val="20"/>
              </w:rPr>
              <w:t> </w:t>
            </w:r>
            <w:r>
              <w:rPr>
                <w:color w:val="231F20"/>
                <w:sz w:val="20"/>
              </w:rPr>
              <w:t>RCTs,</w:t>
            </w:r>
            <w:r>
              <w:rPr>
                <w:color w:val="231F20"/>
                <w:spacing w:val="-2"/>
                <w:sz w:val="20"/>
              </w:rPr>
              <w:t> </w:t>
            </w:r>
            <w:r>
              <w:rPr>
                <w:color w:val="231F20"/>
                <w:sz w:val="20"/>
              </w:rPr>
              <w:t>two</w:t>
            </w:r>
            <w:r>
              <w:rPr>
                <w:color w:val="231F20"/>
                <w:spacing w:val="-2"/>
                <w:sz w:val="20"/>
              </w:rPr>
              <w:t> </w:t>
            </w:r>
            <w:r>
              <w:rPr>
                <w:color w:val="231F20"/>
                <w:sz w:val="20"/>
              </w:rPr>
              <w:t>QEDs,</w:t>
            </w:r>
            <w:r>
              <w:rPr>
                <w:color w:val="231F20"/>
                <w:spacing w:val="-2"/>
                <w:sz w:val="20"/>
              </w:rPr>
              <w:t> </w:t>
            </w:r>
            <w:r>
              <w:rPr>
                <w:color w:val="231F20"/>
                <w:sz w:val="20"/>
              </w:rPr>
              <w:t>and</w:t>
            </w:r>
            <w:r>
              <w:rPr>
                <w:color w:val="231F20"/>
                <w:spacing w:val="-2"/>
                <w:sz w:val="20"/>
              </w:rPr>
              <w:t> </w:t>
            </w:r>
            <w:r>
              <w:rPr>
                <w:color w:val="231F20"/>
                <w:sz w:val="20"/>
              </w:rPr>
              <w:t>one</w:t>
            </w:r>
            <w:r>
              <w:rPr>
                <w:color w:val="231F20"/>
                <w:spacing w:val="-2"/>
                <w:sz w:val="20"/>
              </w:rPr>
              <w:t> </w:t>
            </w:r>
            <w:r>
              <w:rPr>
                <w:color w:val="231F20"/>
                <w:sz w:val="20"/>
              </w:rPr>
              <w:t>single</w:t>
            </w:r>
            <w:r>
              <w:rPr>
                <w:color w:val="231F20"/>
                <w:spacing w:val="-2"/>
                <w:sz w:val="20"/>
              </w:rPr>
              <w:t> </w:t>
            </w:r>
            <w:r>
              <w:rPr>
                <w:color w:val="231F20"/>
                <w:sz w:val="20"/>
              </w:rPr>
              <w:t>sample</w:t>
            </w:r>
            <w:r>
              <w:rPr>
                <w:color w:val="231F20"/>
                <w:spacing w:val="-2"/>
                <w:sz w:val="20"/>
              </w:rPr>
              <w:t> </w:t>
            </w:r>
            <w:r>
              <w:rPr>
                <w:color w:val="231F20"/>
                <w:sz w:val="20"/>
              </w:rPr>
              <w:t>pre-post),</w:t>
            </w:r>
            <w:r>
              <w:rPr>
                <w:color w:val="231F20"/>
                <w:spacing w:val="-2"/>
                <w:sz w:val="20"/>
              </w:rPr>
              <w:t> </w:t>
            </w:r>
            <w:r>
              <w:rPr>
                <w:color w:val="231F20"/>
                <w:sz w:val="20"/>
              </w:rPr>
              <w:t>resulting</w:t>
            </w:r>
            <w:r>
              <w:rPr>
                <w:color w:val="231F20"/>
                <w:spacing w:val="-2"/>
                <w:sz w:val="20"/>
              </w:rPr>
              <w:t> </w:t>
            </w:r>
            <w:r>
              <w:rPr>
                <w:color w:val="231F20"/>
                <w:sz w:val="20"/>
              </w:rPr>
              <w:t>in</w:t>
            </w:r>
            <w:r>
              <w:rPr>
                <w:color w:val="231F20"/>
                <w:spacing w:val="-2"/>
                <w:sz w:val="20"/>
              </w:rPr>
              <w:t> </w:t>
            </w:r>
            <w:r>
              <w:rPr>
                <w:color w:val="231F20"/>
                <w:sz w:val="20"/>
              </w:rPr>
              <w:t>a</w:t>
            </w:r>
            <w:r>
              <w:rPr>
                <w:color w:val="231F20"/>
                <w:spacing w:val="-2"/>
                <w:sz w:val="20"/>
              </w:rPr>
              <w:t> </w:t>
            </w:r>
            <w:r>
              <w:rPr>
                <w:color w:val="231F20"/>
                <w:sz w:val="20"/>
              </w:rPr>
              <w:t>rating</w:t>
            </w:r>
            <w:r>
              <w:rPr>
                <w:color w:val="231F20"/>
                <w:spacing w:val="-2"/>
                <w:sz w:val="20"/>
              </w:rPr>
              <w:t> </w:t>
            </w:r>
            <w:r>
              <w:rPr>
                <w:color w:val="231F20"/>
                <w:sz w:val="20"/>
              </w:rPr>
              <w:t>of</w:t>
            </w:r>
            <w:r>
              <w:rPr>
                <w:color w:val="231F20"/>
                <w:spacing w:val="-53"/>
                <w:sz w:val="20"/>
              </w:rPr>
              <w:t> </w:t>
            </w:r>
            <w:r>
              <w:rPr>
                <w:color w:val="231F20"/>
                <w:sz w:val="20"/>
              </w:rPr>
              <w:t>Strong Support for Causal</w:t>
            </w:r>
            <w:r>
              <w:rPr>
                <w:color w:val="231F20"/>
                <w:spacing w:val="-1"/>
                <w:sz w:val="20"/>
              </w:rPr>
              <w:t> </w:t>
            </w:r>
            <w:r>
              <w:rPr>
                <w:color w:val="231F20"/>
                <w:sz w:val="20"/>
              </w:rPr>
              <w:t>Evidence.</w:t>
            </w:r>
          </w:p>
        </w:tc>
      </w:tr>
    </w:tbl>
    <w:p>
      <w:pPr>
        <w:spacing w:after="0" w:line="249" w:lineRule="auto"/>
        <w:rPr>
          <w:sz w:val="20"/>
        </w:rPr>
        <w:sectPr>
          <w:headerReference w:type="default" r:id="rId122"/>
          <w:footerReference w:type="default" r:id="rId123"/>
          <w:pgSz w:w="12240" w:h="15840"/>
          <w:pgMar w:header="0" w:footer="666" w:top="380" w:bottom="860" w:left="600" w:right="0"/>
        </w:sectPr>
      </w:pPr>
    </w:p>
    <w:p>
      <w:pPr>
        <w:pStyle w:val="BodyText"/>
        <w:rPr>
          <w:rFonts w:ascii="Arial"/>
          <w:b/>
          <w:sz w:val="20"/>
        </w:rPr>
      </w:pPr>
    </w:p>
    <w:p>
      <w:pPr>
        <w:pStyle w:val="BodyText"/>
        <w:spacing w:before="2"/>
        <w:rPr>
          <w:rFonts w:ascii="Arial"/>
          <w:b/>
          <w:sz w:val="27"/>
        </w:rPr>
      </w:pPr>
    </w:p>
    <w:p>
      <w:pPr>
        <w:spacing w:after="0"/>
        <w:rPr>
          <w:rFonts w:ascii="Arial"/>
          <w:sz w:val="27"/>
        </w:rPr>
        <w:sectPr>
          <w:headerReference w:type="default" r:id="rId124"/>
          <w:footerReference w:type="default" r:id="rId125"/>
          <w:pgSz w:w="12240" w:h="15840"/>
          <w:pgMar w:header="0" w:footer="666" w:top="380" w:bottom="860" w:left="600" w:right="0"/>
        </w:sectPr>
      </w:pPr>
    </w:p>
    <w:p>
      <w:pPr>
        <w:pStyle w:val="BodyText"/>
        <w:spacing w:line="266" w:lineRule="auto" w:before="91"/>
        <w:ind w:left="120" w:right="78"/>
      </w:pPr>
      <w:r>
        <w:rPr>
          <w:color w:val="231F20"/>
        </w:rPr>
        <w:t>While this review focuses on synchronous interventions,</w:t>
      </w:r>
      <w:r>
        <w:rPr>
          <w:color w:val="231F20"/>
          <w:spacing w:val="-52"/>
        </w:rPr>
        <w:t> </w:t>
      </w:r>
      <w:r>
        <w:rPr>
          <w:color w:val="231F20"/>
        </w:rPr>
        <w:t>providers can use asynchronous tools to complement,</w:t>
      </w:r>
      <w:r>
        <w:rPr>
          <w:color w:val="231F20"/>
          <w:spacing w:val="1"/>
        </w:rPr>
        <w:t> </w:t>
      </w:r>
      <w:r>
        <w:rPr>
          <w:color w:val="231F20"/>
        </w:rPr>
        <w:t>support, and reinforce synchronous client-provider</w:t>
      </w:r>
      <w:r>
        <w:rPr>
          <w:color w:val="231F20"/>
          <w:spacing w:val="1"/>
        </w:rPr>
        <w:t> </w:t>
      </w:r>
      <w:r>
        <w:rPr>
          <w:color w:val="231F20"/>
        </w:rPr>
        <w:t>interactions. Examples of asynchronous tools can be</w:t>
      </w:r>
      <w:r>
        <w:rPr>
          <w:color w:val="231F20"/>
          <w:spacing w:val="1"/>
        </w:rPr>
        <w:t> </w:t>
      </w:r>
      <w:r>
        <w:rPr>
          <w:color w:val="231F20"/>
        </w:rPr>
        <w:t>found through online repositories such as the </w:t>
      </w:r>
      <w:hyperlink r:id="rId126">
        <w:r>
          <w:rPr>
            <w:color w:val="2764B0"/>
            <w:u w:val="single" w:color="2764B0"/>
          </w:rPr>
          <w:t>M-Health</w:t>
        </w:r>
      </w:hyperlink>
      <w:r>
        <w:rPr>
          <w:color w:val="2764B0"/>
          <w:spacing w:val="1"/>
        </w:rPr>
        <w:t> </w:t>
      </w:r>
      <w:hyperlink r:id="rId126">
        <w:r>
          <w:rPr>
            <w:color w:val="2764B0"/>
            <w:spacing w:val="-1"/>
            <w:u w:val="single" w:color="2764B0"/>
          </w:rPr>
          <w:t>Index</w:t>
        </w:r>
        <w:r>
          <w:rPr>
            <w:color w:val="2764B0"/>
            <w:u w:val="single" w:color="2764B0"/>
          </w:rPr>
          <w:t> </w:t>
        </w:r>
        <w:r>
          <w:rPr>
            <w:color w:val="2764B0"/>
            <w:spacing w:val="-1"/>
            <w:u w:val="single" w:color="2764B0"/>
          </w:rPr>
          <w:t>and</w:t>
        </w:r>
        <w:r>
          <w:rPr>
            <w:color w:val="2764B0"/>
            <w:u w:val="single" w:color="2764B0"/>
          </w:rPr>
          <w:t> </w:t>
        </w:r>
        <w:r>
          <w:rPr>
            <w:color w:val="2764B0"/>
            <w:spacing w:val="-1"/>
            <w:u w:val="single" w:color="2764B0"/>
          </w:rPr>
          <w:t>Navigation</w:t>
        </w:r>
        <w:r>
          <w:rPr>
            <w:color w:val="2764B0"/>
            <w:u w:val="single" w:color="2764B0"/>
          </w:rPr>
          <w:t> </w:t>
        </w:r>
        <w:r>
          <w:rPr>
            <w:color w:val="2764B0"/>
            <w:spacing w:val="-1"/>
            <w:u w:val="single" w:color="2764B0"/>
          </w:rPr>
          <w:t>Database</w:t>
        </w:r>
        <w:r>
          <w:rPr>
            <w:color w:val="2764B0"/>
          </w:rPr>
          <w:t> </w:t>
        </w:r>
      </w:hyperlink>
      <w:r>
        <w:rPr>
          <w:color w:val="231F20"/>
          <w:spacing w:val="-1"/>
        </w:rPr>
        <w:t>or</w:t>
      </w:r>
      <w:r>
        <w:rPr>
          <w:color w:val="231F20"/>
        </w:rPr>
        <w:t> </w:t>
      </w:r>
      <w:r>
        <w:rPr>
          <w:color w:val="231F20"/>
          <w:spacing w:val="-1"/>
        </w:rPr>
        <w:t>the</w:t>
      </w:r>
      <w:r>
        <w:rPr>
          <w:color w:val="231F20"/>
          <w:spacing w:val="-4"/>
        </w:rPr>
        <w:t> </w:t>
      </w:r>
      <w:hyperlink r:id="rId127">
        <w:r>
          <w:rPr>
            <w:color w:val="2764B0"/>
            <w:spacing w:val="-1"/>
            <w:u w:val="single" w:color="2764B0"/>
          </w:rPr>
          <w:t>VA</w:t>
        </w:r>
        <w:r>
          <w:rPr>
            <w:color w:val="2764B0"/>
            <w:spacing w:val="-25"/>
            <w:u w:val="single" w:color="2764B0"/>
          </w:rPr>
          <w:t> </w:t>
        </w:r>
        <w:r>
          <w:rPr>
            <w:color w:val="2764B0"/>
            <w:spacing w:val="-1"/>
            <w:u w:val="single" w:color="2764B0"/>
          </w:rPr>
          <w:t>App </w:t>
        </w:r>
        <w:r>
          <w:rPr>
            <w:color w:val="2764B0"/>
            <w:u w:val="single" w:color="2764B0"/>
          </w:rPr>
          <w:t>Store</w:t>
        </w:r>
      </w:hyperlink>
      <w:r>
        <w:rPr>
          <w:color w:val="231F20"/>
        </w:rPr>
        <w:t>.</w:t>
      </w:r>
    </w:p>
    <w:p>
      <w:pPr>
        <w:pStyle w:val="Heading5"/>
        <w:spacing w:before="174"/>
      </w:pPr>
      <w:r>
        <w:rPr>
          <w:color w:val="CE384B"/>
        </w:rPr>
        <w:t>Case</w:t>
      </w:r>
      <w:r>
        <w:rPr>
          <w:color w:val="CE384B"/>
          <w:spacing w:val="-1"/>
        </w:rPr>
        <w:t> </w:t>
      </w:r>
      <w:r>
        <w:rPr>
          <w:color w:val="CE384B"/>
        </w:rPr>
        <w:t>Management</w:t>
      </w:r>
    </w:p>
    <w:p>
      <w:pPr>
        <w:pStyle w:val="BodyText"/>
        <w:spacing w:line="266" w:lineRule="auto" w:before="118"/>
        <w:ind w:left="120" w:right="332"/>
      </w:pPr>
      <w:r>
        <w:rPr>
          <w:color w:val="231F20"/>
        </w:rPr>
        <w:t>Ongoing</w:t>
      </w:r>
      <w:r>
        <w:rPr>
          <w:color w:val="231F20"/>
          <w:spacing w:val="9"/>
        </w:rPr>
        <w:t> </w:t>
      </w:r>
      <w:r>
        <w:rPr>
          <w:color w:val="231F20"/>
        </w:rPr>
        <w:t>case</w:t>
      </w:r>
      <w:r>
        <w:rPr>
          <w:color w:val="231F20"/>
          <w:spacing w:val="9"/>
        </w:rPr>
        <w:t> </w:t>
      </w:r>
      <w:r>
        <w:rPr>
          <w:color w:val="231F20"/>
        </w:rPr>
        <w:t>management</w:t>
      </w:r>
      <w:r>
        <w:rPr>
          <w:color w:val="231F20"/>
          <w:spacing w:val="9"/>
        </w:rPr>
        <w:t> </w:t>
      </w:r>
      <w:r>
        <w:rPr>
          <w:color w:val="231F20"/>
        </w:rPr>
        <w:t>may</w:t>
      </w:r>
      <w:r>
        <w:rPr>
          <w:color w:val="231F20"/>
          <w:spacing w:val="9"/>
        </w:rPr>
        <w:t> </w:t>
      </w:r>
      <w:r>
        <w:rPr>
          <w:color w:val="231F20"/>
        </w:rPr>
        <w:t>include</w:t>
      </w:r>
      <w:r>
        <w:rPr>
          <w:color w:val="231F20"/>
          <w:spacing w:val="9"/>
        </w:rPr>
        <w:t> </w:t>
      </w:r>
      <w:r>
        <w:rPr>
          <w:color w:val="231F20"/>
        </w:rPr>
        <w:t>routine</w:t>
      </w:r>
      <w:r>
        <w:rPr>
          <w:color w:val="231F20"/>
          <w:spacing w:val="1"/>
        </w:rPr>
        <w:t> </w:t>
      </w:r>
      <w:r>
        <w:rPr>
          <w:color w:val="231F20"/>
        </w:rPr>
        <w:t>check-ins</w:t>
      </w:r>
      <w:r>
        <w:rPr>
          <w:color w:val="231F20"/>
          <w:spacing w:val="16"/>
        </w:rPr>
        <w:t> </w:t>
      </w:r>
      <w:r>
        <w:rPr>
          <w:color w:val="231F20"/>
        </w:rPr>
        <w:t>and</w:t>
      </w:r>
      <w:r>
        <w:rPr>
          <w:color w:val="231F20"/>
          <w:spacing w:val="17"/>
        </w:rPr>
        <w:t> </w:t>
      </w:r>
      <w:r>
        <w:rPr>
          <w:color w:val="231F20"/>
        </w:rPr>
        <w:t>follow-ups,</w:t>
      </w:r>
      <w:r>
        <w:rPr>
          <w:color w:val="231F20"/>
          <w:spacing w:val="17"/>
        </w:rPr>
        <w:t> </w:t>
      </w:r>
      <w:r>
        <w:rPr>
          <w:color w:val="231F20"/>
        </w:rPr>
        <w:t>updates</w:t>
      </w:r>
      <w:r>
        <w:rPr>
          <w:color w:val="231F20"/>
          <w:spacing w:val="17"/>
        </w:rPr>
        <w:t> </w:t>
      </w:r>
      <w:r>
        <w:rPr>
          <w:color w:val="231F20"/>
        </w:rPr>
        <w:t>and</w:t>
      </w:r>
      <w:r>
        <w:rPr>
          <w:color w:val="231F20"/>
          <w:spacing w:val="17"/>
        </w:rPr>
        <w:t> </w:t>
      </w:r>
      <w:r>
        <w:rPr>
          <w:color w:val="231F20"/>
        </w:rPr>
        <w:t>modifications</w:t>
      </w:r>
      <w:r>
        <w:rPr>
          <w:color w:val="231F20"/>
          <w:spacing w:val="-52"/>
        </w:rPr>
        <w:t> </w:t>
      </w:r>
      <w:r>
        <w:rPr>
          <w:color w:val="231F20"/>
        </w:rPr>
        <w:t>to</w:t>
      </w:r>
      <w:r>
        <w:rPr>
          <w:color w:val="231F20"/>
          <w:spacing w:val="8"/>
        </w:rPr>
        <w:t> </w:t>
      </w:r>
      <w:r>
        <w:rPr>
          <w:color w:val="231F20"/>
        </w:rPr>
        <w:t>care</w:t>
      </w:r>
      <w:r>
        <w:rPr>
          <w:color w:val="231F20"/>
          <w:spacing w:val="8"/>
        </w:rPr>
        <w:t> </w:t>
      </w:r>
      <w:r>
        <w:rPr>
          <w:color w:val="231F20"/>
        </w:rPr>
        <w:t>and</w:t>
      </w:r>
      <w:r>
        <w:rPr>
          <w:color w:val="231F20"/>
          <w:spacing w:val="8"/>
        </w:rPr>
        <w:t> </w:t>
      </w:r>
      <w:r>
        <w:rPr>
          <w:color w:val="231F20"/>
        </w:rPr>
        <w:t>treatment</w:t>
      </w:r>
      <w:r>
        <w:rPr>
          <w:color w:val="231F20"/>
          <w:spacing w:val="8"/>
        </w:rPr>
        <w:t> </w:t>
      </w:r>
      <w:r>
        <w:rPr>
          <w:color w:val="231F20"/>
        </w:rPr>
        <w:t>plans,</w:t>
      </w:r>
      <w:r>
        <w:rPr>
          <w:color w:val="231F20"/>
          <w:spacing w:val="9"/>
        </w:rPr>
        <w:t> </w:t>
      </w:r>
      <w:r>
        <w:rPr>
          <w:color w:val="231F20"/>
        </w:rPr>
        <w:t>identification</w:t>
      </w:r>
      <w:r>
        <w:rPr>
          <w:color w:val="231F20"/>
          <w:spacing w:val="8"/>
        </w:rPr>
        <w:t> </w:t>
      </w:r>
      <w:r>
        <w:rPr>
          <w:color w:val="231F20"/>
        </w:rPr>
        <w:t>of</w:t>
      </w:r>
      <w:r>
        <w:rPr>
          <w:color w:val="231F20"/>
          <w:spacing w:val="8"/>
        </w:rPr>
        <w:t> </w:t>
      </w:r>
      <w:r>
        <w:rPr>
          <w:color w:val="231F20"/>
        </w:rPr>
        <w:t>and</w:t>
      </w:r>
      <w:r>
        <w:rPr>
          <w:color w:val="231F20"/>
          <w:spacing w:val="1"/>
        </w:rPr>
        <w:t> </w:t>
      </w:r>
      <w:r>
        <w:rPr>
          <w:color w:val="231F20"/>
        </w:rPr>
        <w:t>connections</w:t>
      </w:r>
      <w:r>
        <w:rPr>
          <w:color w:val="231F20"/>
          <w:spacing w:val="11"/>
        </w:rPr>
        <w:t> </w:t>
      </w:r>
      <w:r>
        <w:rPr>
          <w:color w:val="231F20"/>
        </w:rPr>
        <w:t>with</w:t>
      </w:r>
      <w:r>
        <w:rPr>
          <w:color w:val="231F20"/>
          <w:spacing w:val="12"/>
        </w:rPr>
        <w:t> </w:t>
      </w:r>
      <w:r>
        <w:rPr>
          <w:color w:val="231F20"/>
        </w:rPr>
        <w:t>needed</w:t>
      </w:r>
      <w:r>
        <w:rPr>
          <w:color w:val="231F20"/>
          <w:spacing w:val="11"/>
        </w:rPr>
        <w:t> </w:t>
      </w:r>
      <w:r>
        <w:rPr>
          <w:color w:val="231F20"/>
        </w:rPr>
        <w:t>resources,</w:t>
      </w:r>
      <w:r>
        <w:rPr>
          <w:color w:val="231F20"/>
          <w:spacing w:val="12"/>
        </w:rPr>
        <w:t> </w:t>
      </w:r>
      <w:r>
        <w:rPr>
          <w:color w:val="231F20"/>
        </w:rPr>
        <w:t>and</w:t>
      </w:r>
      <w:r>
        <w:rPr>
          <w:color w:val="231F20"/>
          <w:spacing w:val="12"/>
        </w:rPr>
        <w:t> </w:t>
      </w:r>
      <w:r>
        <w:rPr>
          <w:color w:val="231F20"/>
        </w:rPr>
        <w:t>support</w:t>
      </w:r>
      <w:r>
        <w:rPr>
          <w:color w:val="231F20"/>
          <w:spacing w:val="11"/>
        </w:rPr>
        <w:t> </w:t>
      </w:r>
      <w:r>
        <w:rPr>
          <w:color w:val="231F20"/>
        </w:rPr>
        <w:t>in</w:t>
      </w:r>
      <w:r>
        <w:rPr>
          <w:color w:val="231F20"/>
          <w:spacing w:val="1"/>
        </w:rPr>
        <w:t> </w:t>
      </w:r>
      <w:r>
        <w:rPr>
          <w:color w:val="231F20"/>
        </w:rPr>
        <w:t>achieving</w:t>
      </w:r>
      <w:r>
        <w:rPr>
          <w:color w:val="231F20"/>
          <w:spacing w:val="10"/>
        </w:rPr>
        <w:t> </w:t>
      </w:r>
      <w:r>
        <w:rPr>
          <w:color w:val="231F20"/>
        </w:rPr>
        <w:t>the</w:t>
      </w:r>
      <w:r>
        <w:rPr>
          <w:color w:val="231F20"/>
          <w:spacing w:val="11"/>
        </w:rPr>
        <w:t> </w:t>
      </w:r>
      <w:r>
        <w:rPr>
          <w:color w:val="231F20"/>
        </w:rPr>
        <w:t>goals</w:t>
      </w:r>
      <w:r>
        <w:rPr>
          <w:color w:val="231F20"/>
          <w:spacing w:val="11"/>
        </w:rPr>
        <w:t> </w:t>
      </w:r>
      <w:r>
        <w:rPr>
          <w:color w:val="231F20"/>
        </w:rPr>
        <w:t>of</w:t>
      </w:r>
      <w:r>
        <w:rPr>
          <w:color w:val="231F20"/>
          <w:spacing w:val="11"/>
        </w:rPr>
        <w:t> </w:t>
      </w:r>
      <w:r>
        <w:rPr>
          <w:color w:val="231F20"/>
        </w:rPr>
        <w:t>an</w:t>
      </w:r>
      <w:r>
        <w:rPr>
          <w:color w:val="231F20"/>
          <w:spacing w:val="11"/>
        </w:rPr>
        <w:t> </w:t>
      </w:r>
      <w:r>
        <w:rPr>
          <w:color w:val="231F20"/>
        </w:rPr>
        <w:t>individualized</w:t>
      </w:r>
      <w:r>
        <w:rPr>
          <w:color w:val="231F20"/>
          <w:spacing w:val="11"/>
        </w:rPr>
        <w:t> </w:t>
      </w:r>
      <w:r>
        <w:rPr>
          <w:color w:val="231F20"/>
        </w:rPr>
        <w:t>care</w:t>
      </w:r>
      <w:r>
        <w:rPr>
          <w:color w:val="231F20"/>
          <w:spacing w:val="11"/>
        </w:rPr>
        <w:t> </w:t>
      </w:r>
      <w:r>
        <w:rPr>
          <w:color w:val="231F20"/>
        </w:rPr>
        <w:t>plan.</w:t>
      </w:r>
    </w:p>
    <w:p>
      <w:pPr>
        <w:pStyle w:val="BodyText"/>
        <w:spacing w:line="266" w:lineRule="auto"/>
        <w:ind w:left="120" w:right="37"/>
      </w:pPr>
      <w:r>
        <w:rPr>
          <w:color w:val="231F20"/>
        </w:rPr>
        <w:t>These</w:t>
      </w:r>
      <w:r>
        <w:rPr>
          <w:color w:val="231F20"/>
          <w:spacing w:val="9"/>
        </w:rPr>
        <w:t> </w:t>
      </w:r>
      <w:r>
        <w:rPr>
          <w:color w:val="231F20"/>
        </w:rPr>
        <w:t>ongoing</w:t>
      </w:r>
      <w:r>
        <w:rPr>
          <w:color w:val="231F20"/>
          <w:spacing w:val="10"/>
        </w:rPr>
        <w:t> </w:t>
      </w:r>
      <w:r>
        <w:rPr>
          <w:color w:val="231F20"/>
        </w:rPr>
        <w:t>conversations</w:t>
      </w:r>
      <w:r>
        <w:rPr>
          <w:color w:val="231F20"/>
          <w:spacing w:val="10"/>
        </w:rPr>
        <w:t> </w:t>
      </w:r>
      <w:r>
        <w:rPr>
          <w:color w:val="231F20"/>
        </w:rPr>
        <w:t>are</w:t>
      </w:r>
      <w:r>
        <w:rPr>
          <w:color w:val="231F20"/>
          <w:spacing w:val="10"/>
        </w:rPr>
        <w:t> </w:t>
      </w:r>
      <w:r>
        <w:rPr>
          <w:color w:val="231F20"/>
        </w:rPr>
        <w:t>readily</w:t>
      </w:r>
      <w:r>
        <w:rPr>
          <w:color w:val="231F20"/>
          <w:spacing w:val="9"/>
        </w:rPr>
        <w:t> </w:t>
      </w:r>
      <w:r>
        <w:rPr>
          <w:color w:val="231F20"/>
        </w:rPr>
        <w:t>adapted</w:t>
      </w:r>
      <w:r>
        <w:rPr>
          <w:color w:val="231F20"/>
          <w:spacing w:val="10"/>
        </w:rPr>
        <w:t> </w:t>
      </w:r>
      <w:r>
        <w:rPr>
          <w:color w:val="231F20"/>
        </w:rPr>
        <w:t>to</w:t>
      </w:r>
      <w:r>
        <w:rPr>
          <w:color w:val="231F20"/>
          <w:spacing w:val="1"/>
        </w:rPr>
        <w:t> </w:t>
      </w:r>
      <w:r>
        <w:rPr>
          <w:color w:val="231F20"/>
        </w:rPr>
        <w:t>synchronous</w:t>
      </w:r>
      <w:r>
        <w:rPr>
          <w:color w:val="231F20"/>
          <w:spacing w:val="20"/>
        </w:rPr>
        <w:t> </w:t>
      </w:r>
      <w:r>
        <w:rPr>
          <w:color w:val="231F20"/>
        </w:rPr>
        <w:t>telehealth</w:t>
      </w:r>
      <w:r>
        <w:rPr>
          <w:color w:val="231F20"/>
          <w:spacing w:val="21"/>
        </w:rPr>
        <w:t> </w:t>
      </w:r>
      <w:r>
        <w:rPr>
          <w:color w:val="231F20"/>
        </w:rPr>
        <w:t>modalities</w:t>
      </w:r>
      <w:r>
        <w:rPr>
          <w:color w:val="231F20"/>
          <w:spacing w:val="21"/>
        </w:rPr>
        <w:t> </w:t>
      </w:r>
      <w:r>
        <w:rPr>
          <w:color w:val="231F20"/>
        </w:rPr>
        <w:t>and</w:t>
      </w:r>
      <w:r>
        <w:rPr>
          <w:color w:val="231F20"/>
          <w:spacing w:val="20"/>
        </w:rPr>
        <w:t> </w:t>
      </w:r>
      <w:r>
        <w:rPr>
          <w:color w:val="231F20"/>
        </w:rPr>
        <w:t>Health</w:t>
      </w:r>
      <w:r>
        <w:rPr>
          <w:color w:val="231F20"/>
          <w:spacing w:val="21"/>
        </w:rPr>
        <w:t> </w:t>
      </w:r>
      <w:r>
        <w:rPr>
          <w:color w:val="231F20"/>
        </w:rPr>
        <w:t>Insurance</w:t>
      </w:r>
      <w:r>
        <w:rPr>
          <w:color w:val="231F20"/>
          <w:spacing w:val="-52"/>
        </w:rPr>
        <w:t> </w:t>
      </w:r>
      <w:r>
        <w:rPr>
          <w:color w:val="231F20"/>
        </w:rPr>
        <w:t>Portability</w:t>
      </w:r>
      <w:r>
        <w:rPr>
          <w:color w:val="231F20"/>
          <w:spacing w:val="13"/>
        </w:rPr>
        <w:t> </w:t>
      </w:r>
      <w:r>
        <w:rPr>
          <w:color w:val="231F20"/>
        </w:rPr>
        <w:t>and</w:t>
      </w:r>
      <w:r>
        <w:rPr>
          <w:color w:val="231F20"/>
          <w:spacing w:val="-1"/>
        </w:rPr>
        <w:t> </w:t>
      </w:r>
      <w:r>
        <w:rPr>
          <w:color w:val="231F20"/>
        </w:rPr>
        <w:t>Accountability</w:t>
      </w:r>
      <w:r>
        <w:rPr>
          <w:color w:val="231F20"/>
          <w:spacing w:val="-1"/>
        </w:rPr>
        <w:t> </w:t>
      </w:r>
      <w:r>
        <w:rPr>
          <w:color w:val="231F20"/>
        </w:rPr>
        <w:t>Act</w:t>
      </w:r>
      <w:r>
        <w:rPr>
          <w:color w:val="231F20"/>
          <w:spacing w:val="14"/>
        </w:rPr>
        <w:t> </w:t>
      </w:r>
      <w:r>
        <w:rPr>
          <w:color w:val="231F20"/>
        </w:rPr>
        <w:t>(HIPAA)</w:t>
      </w:r>
      <w:r>
        <w:rPr>
          <w:color w:val="231F20"/>
          <w:spacing w:val="13"/>
        </w:rPr>
        <w:t> </w:t>
      </w:r>
      <w:r>
        <w:rPr>
          <w:color w:val="231F20"/>
        </w:rPr>
        <w:t>compliant</w:t>
      </w:r>
      <w:r>
        <w:rPr>
          <w:color w:val="231F20"/>
          <w:spacing w:val="1"/>
        </w:rPr>
        <w:t> </w:t>
      </w:r>
      <w:r>
        <w:rPr>
          <w:color w:val="231F20"/>
        </w:rPr>
        <w:t>asynchronous</w:t>
      </w:r>
      <w:r>
        <w:rPr>
          <w:color w:val="231F20"/>
          <w:spacing w:val="14"/>
        </w:rPr>
        <w:t> </w:t>
      </w:r>
      <w:r>
        <w:rPr>
          <w:color w:val="231F20"/>
        </w:rPr>
        <w:t>messaging</w:t>
      </w:r>
      <w:r>
        <w:rPr>
          <w:color w:val="231F20"/>
          <w:spacing w:val="15"/>
        </w:rPr>
        <w:t> </w:t>
      </w:r>
      <w:r>
        <w:rPr>
          <w:color w:val="231F20"/>
        </w:rPr>
        <w:t>platforms,</w:t>
      </w:r>
      <w:r>
        <w:rPr>
          <w:color w:val="231F20"/>
          <w:spacing w:val="15"/>
        </w:rPr>
        <w:t> </w:t>
      </w:r>
      <w:r>
        <w:rPr>
          <w:color w:val="231F20"/>
        </w:rPr>
        <w:t>including</w:t>
      </w:r>
      <w:r>
        <w:rPr>
          <w:color w:val="231F20"/>
          <w:spacing w:val="14"/>
        </w:rPr>
        <w:t> </w:t>
      </w:r>
      <w:r>
        <w:rPr>
          <w:color w:val="231F20"/>
        </w:rPr>
        <w:t>texting</w:t>
      </w:r>
      <w:r>
        <w:rPr>
          <w:color w:val="231F20"/>
          <w:spacing w:val="1"/>
        </w:rPr>
        <w:t> </w:t>
      </w:r>
      <w:r>
        <w:rPr>
          <w:color w:val="231F20"/>
        </w:rPr>
        <w:t>and</w:t>
      </w:r>
      <w:r>
        <w:rPr>
          <w:color w:val="231F20"/>
          <w:spacing w:val="14"/>
        </w:rPr>
        <w:t> </w:t>
      </w:r>
      <w:r>
        <w:rPr>
          <w:color w:val="231F20"/>
        </w:rPr>
        <w:t>messaging</w:t>
      </w:r>
      <w:r>
        <w:rPr>
          <w:color w:val="231F20"/>
          <w:spacing w:val="14"/>
        </w:rPr>
        <w:t> </w:t>
      </w:r>
      <w:r>
        <w:rPr>
          <w:color w:val="231F20"/>
        </w:rPr>
        <w:t>through</w:t>
      </w:r>
      <w:r>
        <w:rPr>
          <w:color w:val="231F20"/>
          <w:spacing w:val="14"/>
        </w:rPr>
        <w:t> </w:t>
      </w:r>
      <w:r>
        <w:rPr>
          <w:color w:val="231F20"/>
        </w:rPr>
        <w:t>a</w:t>
      </w:r>
      <w:r>
        <w:rPr>
          <w:color w:val="231F20"/>
          <w:spacing w:val="14"/>
        </w:rPr>
        <w:t> </w:t>
      </w:r>
      <w:r>
        <w:rPr>
          <w:color w:val="231F20"/>
        </w:rPr>
        <w:t>clinic</w:t>
      </w:r>
      <w:r>
        <w:rPr>
          <w:color w:val="231F20"/>
          <w:spacing w:val="15"/>
        </w:rPr>
        <w:t> </w:t>
      </w:r>
      <w:r>
        <w:rPr>
          <w:color w:val="231F20"/>
        </w:rPr>
        <w:t>electronic</w:t>
      </w:r>
      <w:r>
        <w:rPr>
          <w:color w:val="231F20"/>
          <w:spacing w:val="14"/>
        </w:rPr>
        <w:t> </w:t>
      </w:r>
      <w:r>
        <w:rPr>
          <w:color w:val="231F20"/>
        </w:rPr>
        <w:t>health</w:t>
      </w:r>
      <w:r>
        <w:rPr>
          <w:color w:val="231F20"/>
          <w:spacing w:val="14"/>
        </w:rPr>
        <w:t> </w:t>
      </w:r>
      <w:r>
        <w:rPr>
          <w:color w:val="231F20"/>
        </w:rPr>
        <w:t>record</w:t>
      </w:r>
      <w:r>
        <w:rPr>
          <w:color w:val="231F20"/>
          <w:spacing w:val="1"/>
        </w:rPr>
        <w:t> </w:t>
      </w:r>
      <w:r>
        <w:rPr>
          <w:color w:val="231F20"/>
        </w:rPr>
        <w:t>(EHR)</w:t>
      </w:r>
      <w:r>
        <w:rPr>
          <w:color w:val="231F20"/>
          <w:spacing w:val="8"/>
        </w:rPr>
        <w:t> </w:t>
      </w:r>
      <w:r>
        <w:rPr>
          <w:color w:val="231F20"/>
        </w:rPr>
        <w:t>system.</w:t>
      </w:r>
      <w:r>
        <w:rPr>
          <w:color w:val="231F20"/>
          <w:spacing w:val="9"/>
        </w:rPr>
        <w:t> </w:t>
      </w:r>
      <w:r>
        <w:rPr>
          <w:color w:val="231F20"/>
        </w:rPr>
        <w:t>Specific</w:t>
      </w:r>
      <w:r>
        <w:rPr>
          <w:color w:val="231F20"/>
          <w:spacing w:val="9"/>
        </w:rPr>
        <w:t> </w:t>
      </w:r>
      <w:r>
        <w:rPr>
          <w:color w:val="231F20"/>
        </w:rPr>
        <w:t>studies</w:t>
      </w:r>
      <w:r>
        <w:rPr>
          <w:color w:val="231F20"/>
          <w:spacing w:val="9"/>
        </w:rPr>
        <w:t> </w:t>
      </w:r>
      <w:r>
        <w:rPr>
          <w:color w:val="231F20"/>
        </w:rPr>
        <w:t>have</w:t>
      </w:r>
      <w:r>
        <w:rPr>
          <w:color w:val="231F20"/>
          <w:spacing w:val="8"/>
        </w:rPr>
        <w:t> </w:t>
      </w:r>
      <w:r>
        <w:rPr>
          <w:color w:val="231F20"/>
        </w:rPr>
        <w:t>demonstrated</w:t>
      </w:r>
      <w:r>
        <w:rPr>
          <w:color w:val="231F20"/>
          <w:spacing w:val="1"/>
        </w:rPr>
        <w:t> </w:t>
      </w:r>
      <w:r>
        <w:rPr>
          <w:color w:val="231F20"/>
        </w:rPr>
        <w:t>ongoing</w:t>
      </w:r>
      <w:r>
        <w:rPr>
          <w:color w:val="231F20"/>
          <w:spacing w:val="1"/>
        </w:rPr>
        <w:t> </w:t>
      </w:r>
      <w:r>
        <w:rPr>
          <w:color w:val="231F20"/>
        </w:rPr>
        <w:t>case</w:t>
      </w:r>
      <w:r>
        <w:rPr>
          <w:color w:val="231F20"/>
          <w:spacing w:val="55"/>
        </w:rPr>
        <w:t> </w:t>
      </w:r>
      <w:r>
        <w:rPr>
          <w:color w:val="231F20"/>
        </w:rPr>
        <w:t>management</w:t>
      </w:r>
      <w:r>
        <w:rPr>
          <w:color w:val="231F20"/>
          <w:spacing w:val="55"/>
        </w:rPr>
        <w:t> </w:t>
      </w:r>
      <w:r>
        <w:rPr>
          <w:color w:val="231F20"/>
        </w:rPr>
        <w:t>interventions</w:t>
      </w:r>
      <w:r>
        <w:rPr>
          <w:color w:val="231F20"/>
          <w:spacing w:val="55"/>
        </w:rPr>
        <w:t> </w:t>
      </w:r>
      <w:r>
        <w:rPr>
          <w:color w:val="231F20"/>
        </w:rPr>
        <w:t>using</w:t>
      </w:r>
      <w:r>
        <w:rPr>
          <w:color w:val="231F20"/>
          <w:spacing w:val="1"/>
        </w:rPr>
        <w:t> </w:t>
      </w:r>
      <w:r>
        <w:rPr>
          <w:color w:val="231F20"/>
          <w:w w:val="95"/>
        </w:rPr>
        <w:t>telehealth</w:t>
      </w:r>
      <w:r>
        <w:rPr>
          <w:color w:val="231F20"/>
          <w:spacing w:val="1"/>
          <w:w w:val="95"/>
        </w:rPr>
        <w:t> </w:t>
      </w:r>
      <w:r>
        <w:rPr>
          <w:color w:val="231F20"/>
          <w:w w:val="95"/>
        </w:rPr>
        <w:t>are</w:t>
      </w:r>
      <w:r>
        <w:rPr>
          <w:color w:val="231F20"/>
          <w:spacing w:val="1"/>
          <w:w w:val="95"/>
        </w:rPr>
        <w:t> </w:t>
      </w:r>
      <w:r>
        <w:rPr>
          <w:color w:val="231F20"/>
          <w:w w:val="95"/>
        </w:rPr>
        <w:t>effective</w:t>
      </w:r>
      <w:r>
        <w:rPr>
          <w:color w:val="231F20"/>
          <w:spacing w:val="49"/>
        </w:rPr>
        <w:t> </w:t>
      </w:r>
      <w:r>
        <w:rPr>
          <w:color w:val="231F20"/>
          <w:w w:val="95"/>
        </w:rPr>
        <w:t>for</w:t>
      </w:r>
      <w:r>
        <w:rPr>
          <w:color w:val="231F20"/>
          <w:spacing w:val="50"/>
        </w:rPr>
        <w:t> </w:t>
      </w:r>
      <w:r>
        <w:rPr>
          <w:color w:val="231F20"/>
          <w:w w:val="95"/>
        </w:rPr>
        <w:t>people</w:t>
      </w:r>
      <w:r>
        <w:rPr>
          <w:color w:val="231F20"/>
          <w:spacing w:val="49"/>
        </w:rPr>
        <w:t> </w:t>
      </w:r>
      <w:r>
        <w:rPr>
          <w:color w:val="231F20"/>
          <w:w w:val="95"/>
        </w:rPr>
        <w:t>with</w:t>
      </w:r>
      <w:r>
        <w:rPr>
          <w:color w:val="231F20"/>
          <w:spacing w:val="50"/>
        </w:rPr>
        <w:t> </w:t>
      </w:r>
      <w:r>
        <w:rPr>
          <w:color w:val="231F20"/>
          <w:w w:val="95"/>
        </w:rPr>
        <w:t>depression</w:t>
      </w:r>
      <w:r>
        <w:rPr>
          <w:color w:val="231F20"/>
          <w:w w:val="95"/>
          <w:vertAlign w:val="superscript"/>
        </w:rPr>
        <w:t>70,</w:t>
      </w:r>
      <w:r>
        <w:rPr>
          <w:color w:val="231F20"/>
          <w:w w:val="95"/>
          <w:vertAlign w:val="baseline"/>
        </w:rPr>
        <w:t> </w:t>
      </w:r>
      <w:r>
        <w:rPr>
          <w:color w:val="231F20"/>
          <w:w w:val="95"/>
          <w:vertAlign w:val="superscript"/>
        </w:rPr>
        <w:t>71</w:t>
      </w:r>
      <w:r>
        <w:rPr>
          <w:color w:val="231F20"/>
          <w:spacing w:val="1"/>
          <w:w w:val="95"/>
          <w:vertAlign w:val="baseline"/>
        </w:rPr>
        <w:t> </w:t>
      </w:r>
      <w:r>
        <w:rPr>
          <w:color w:val="231F20"/>
          <w:vertAlign w:val="baseline"/>
        </w:rPr>
        <w:t>and</w:t>
      </w:r>
      <w:r>
        <w:rPr>
          <w:color w:val="231F20"/>
          <w:spacing w:val="4"/>
          <w:vertAlign w:val="baseline"/>
        </w:rPr>
        <w:t> </w:t>
      </w:r>
      <w:r>
        <w:rPr>
          <w:color w:val="231F20"/>
          <w:vertAlign w:val="baseline"/>
        </w:rPr>
        <w:t>schizophrenia.</w:t>
      </w:r>
      <w:r>
        <w:rPr>
          <w:color w:val="231F20"/>
          <w:vertAlign w:val="superscript"/>
        </w:rPr>
        <w:t>72</w:t>
      </w:r>
    </w:p>
    <w:p>
      <w:pPr>
        <w:pStyle w:val="Heading5"/>
        <w:spacing w:before="168"/>
      </w:pPr>
      <w:r>
        <w:rPr>
          <w:color w:val="CE384B"/>
        </w:rPr>
        <w:t>SUD</w:t>
      </w:r>
      <w:r>
        <w:rPr>
          <w:color w:val="CE384B"/>
          <w:spacing w:val="-1"/>
        </w:rPr>
        <w:t> </w:t>
      </w:r>
      <w:r>
        <w:rPr>
          <w:color w:val="CE384B"/>
        </w:rPr>
        <w:t>Recovery Supports</w:t>
      </w:r>
    </w:p>
    <w:p>
      <w:pPr>
        <w:pStyle w:val="BodyText"/>
        <w:spacing w:line="266" w:lineRule="auto" w:before="118"/>
        <w:ind w:left="120" w:right="267"/>
      </w:pPr>
      <w:r>
        <w:rPr>
          <w:color w:val="231F20"/>
        </w:rPr>
        <w:t>Practitioners</w:t>
      </w:r>
      <w:r>
        <w:rPr>
          <w:color w:val="231F20"/>
          <w:spacing w:val="7"/>
        </w:rPr>
        <w:t> </w:t>
      </w:r>
      <w:r>
        <w:rPr>
          <w:color w:val="231F20"/>
        </w:rPr>
        <w:t>can</w:t>
      </w:r>
      <w:r>
        <w:rPr>
          <w:color w:val="231F20"/>
          <w:spacing w:val="8"/>
        </w:rPr>
        <w:t> </w:t>
      </w:r>
      <w:r>
        <w:rPr>
          <w:color w:val="231F20"/>
        </w:rPr>
        <w:t>provide</w:t>
      </w:r>
      <w:r>
        <w:rPr>
          <w:color w:val="231F20"/>
          <w:spacing w:val="8"/>
        </w:rPr>
        <w:t> </w:t>
      </w:r>
      <w:r>
        <w:rPr>
          <w:color w:val="231F20"/>
        </w:rPr>
        <w:t>ongoing</w:t>
      </w:r>
      <w:r>
        <w:rPr>
          <w:color w:val="231F20"/>
          <w:spacing w:val="8"/>
        </w:rPr>
        <w:t> </w:t>
      </w:r>
      <w:r>
        <w:rPr>
          <w:color w:val="231F20"/>
        </w:rPr>
        <w:t>recovery</w:t>
      </w:r>
      <w:r>
        <w:rPr>
          <w:color w:val="231F20"/>
          <w:spacing w:val="8"/>
        </w:rPr>
        <w:t> </w:t>
      </w:r>
      <w:r>
        <w:rPr>
          <w:color w:val="231F20"/>
        </w:rPr>
        <w:t>support</w:t>
      </w:r>
      <w:r>
        <w:rPr>
          <w:color w:val="231F20"/>
          <w:spacing w:val="1"/>
        </w:rPr>
        <w:t> </w:t>
      </w:r>
      <w:r>
        <w:rPr>
          <w:color w:val="231F20"/>
        </w:rPr>
        <w:t>for people in SUD treatment through synchronous</w:t>
      </w:r>
      <w:r>
        <w:rPr>
          <w:color w:val="231F20"/>
          <w:spacing w:val="1"/>
        </w:rPr>
        <w:t> </w:t>
      </w:r>
      <w:r>
        <w:rPr>
          <w:color w:val="231F20"/>
        </w:rPr>
        <w:t>telehealth methods. Peer recovery support services use</w:t>
      </w:r>
      <w:r>
        <w:rPr>
          <w:color w:val="231F20"/>
          <w:spacing w:val="-52"/>
        </w:rPr>
        <w:t> </w:t>
      </w:r>
      <w:r>
        <w:rPr>
          <w:color w:val="231F20"/>
        </w:rPr>
        <w:t>peers (people who have similar lived experiences as</w:t>
      </w:r>
      <w:r>
        <w:rPr>
          <w:color w:val="231F20"/>
          <w:spacing w:val="1"/>
        </w:rPr>
        <w:t> </w:t>
      </w:r>
      <w:r>
        <w:rPr>
          <w:color w:val="231F20"/>
        </w:rPr>
        <w:t>the client, such as someone who is in SUD recovery</w:t>
      </w:r>
      <w:r>
        <w:rPr>
          <w:color w:val="231F20"/>
          <w:spacing w:val="1"/>
        </w:rPr>
        <w:t> </w:t>
      </w:r>
      <w:r>
        <w:rPr>
          <w:color w:val="231F20"/>
        </w:rPr>
        <w:t>themselves) to provide support for clients while in</w:t>
      </w:r>
      <w:r>
        <w:rPr>
          <w:color w:val="231F20"/>
          <w:spacing w:val="1"/>
        </w:rPr>
        <w:t> </w:t>
      </w:r>
      <w:r>
        <w:rPr>
          <w:color w:val="231F20"/>
        </w:rPr>
        <w:t>treatment</w:t>
      </w:r>
      <w:r>
        <w:rPr>
          <w:color w:val="231F20"/>
          <w:spacing w:val="-4"/>
        </w:rPr>
        <w:t> </w:t>
      </w:r>
      <w:r>
        <w:rPr>
          <w:color w:val="231F20"/>
        </w:rPr>
        <w:t>and</w:t>
      </w:r>
      <w:r>
        <w:rPr>
          <w:color w:val="231F20"/>
          <w:spacing w:val="-4"/>
        </w:rPr>
        <w:t> </w:t>
      </w:r>
      <w:r>
        <w:rPr>
          <w:color w:val="231F20"/>
        </w:rPr>
        <w:t>recovery.</w:t>
      </w:r>
      <w:r>
        <w:rPr>
          <w:color w:val="231F20"/>
          <w:vertAlign w:val="superscript"/>
        </w:rPr>
        <w:t>73</w:t>
      </w:r>
      <w:r>
        <w:rPr>
          <w:color w:val="231F20"/>
          <w:spacing w:val="-4"/>
          <w:vertAlign w:val="baseline"/>
        </w:rPr>
        <w:t> </w:t>
      </w:r>
      <w:r>
        <w:rPr>
          <w:color w:val="231F20"/>
          <w:vertAlign w:val="baseline"/>
        </w:rPr>
        <w:t>Some</w:t>
      </w:r>
      <w:r>
        <w:rPr>
          <w:color w:val="231F20"/>
          <w:spacing w:val="-4"/>
          <w:vertAlign w:val="baseline"/>
        </w:rPr>
        <w:t> </w:t>
      </w:r>
      <w:r>
        <w:rPr>
          <w:color w:val="231F20"/>
          <w:vertAlign w:val="baseline"/>
        </w:rPr>
        <w:t>peer</w:t>
      </w:r>
      <w:r>
        <w:rPr>
          <w:color w:val="231F20"/>
          <w:spacing w:val="-4"/>
          <w:vertAlign w:val="baseline"/>
        </w:rPr>
        <w:t> </w:t>
      </w:r>
      <w:r>
        <w:rPr>
          <w:color w:val="231F20"/>
          <w:vertAlign w:val="baseline"/>
        </w:rPr>
        <w:t>recovery</w:t>
      </w:r>
      <w:r>
        <w:rPr>
          <w:color w:val="231F20"/>
          <w:spacing w:val="-4"/>
          <w:vertAlign w:val="baseline"/>
        </w:rPr>
        <w:t> </w:t>
      </w:r>
      <w:r>
        <w:rPr>
          <w:color w:val="231F20"/>
          <w:vertAlign w:val="baseline"/>
        </w:rPr>
        <w:t>support</w:t>
      </w:r>
    </w:p>
    <w:p>
      <w:pPr>
        <w:pStyle w:val="BodyText"/>
        <w:spacing w:line="266" w:lineRule="auto"/>
        <w:ind w:left="120" w:right="158"/>
      </w:pPr>
      <w:r>
        <w:rPr>
          <w:color w:val="231F20"/>
        </w:rPr>
        <w:t>services use technology-assisted peer support to engage</w:t>
      </w:r>
      <w:r>
        <w:rPr>
          <w:color w:val="231F20"/>
          <w:spacing w:val="-52"/>
        </w:rPr>
        <w:t> </w:t>
      </w:r>
      <w:r>
        <w:rPr>
          <w:color w:val="231F20"/>
        </w:rPr>
        <w:t>clients, conducting regular check-ins over telephone or</w:t>
      </w:r>
      <w:r>
        <w:rPr>
          <w:color w:val="231F20"/>
          <w:spacing w:val="1"/>
        </w:rPr>
        <w:t> </w:t>
      </w:r>
      <w:r>
        <w:rPr>
          <w:color w:val="231F20"/>
        </w:rPr>
        <w:t>videoconference.</w:t>
      </w:r>
      <w:r>
        <w:rPr>
          <w:color w:val="231F20"/>
          <w:vertAlign w:val="superscript"/>
        </w:rPr>
        <w:t>74</w:t>
      </w:r>
    </w:p>
    <w:p>
      <w:pPr>
        <w:pStyle w:val="Heading5"/>
        <w:spacing w:before="171"/>
        <w:ind w:left="119"/>
      </w:pPr>
      <w:r>
        <w:rPr>
          <w:color w:val="CE384B"/>
        </w:rPr>
        <w:t>Crisis</w:t>
      </w:r>
      <w:r>
        <w:rPr>
          <w:color w:val="CE384B"/>
          <w:spacing w:val="-1"/>
        </w:rPr>
        <w:t> </w:t>
      </w:r>
      <w:r>
        <w:rPr>
          <w:color w:val="CE384B"/>
        </w:rPr>
        <w:t>Services</w:t>
      </w:r>
    </w:p>
    <w:p>
      <w:pPr>
        <w:pStyle w:val="BodyText"/>
        <w:spacing w:line="266" w:lineRule="auto" w:before="118"/>
        <w:ind w:left="119" w:right="348"/>
      </w:pPr>
      <w:r>
        <w:rPr>
          <w:color w:val="231F20"/>
        </w:rPr>
        <w:t>Telehealth</w:t>
      </w:r>
      <w:r>
        <w:rPr>
          <w:color w:val="231F20"/>
          <w:spacing w:val="1"/>
        </w:rPr>
        <w:t> </w:t>
      </w:r>
      <w:r>
        <w:rPr>
          <w:color w:val="231F20"/>
        </w:rPr>
        <w:t>modalities</w:t>
      </w:r>
      <w:r>
        <w:rPr>
          <w:color w:val="231F20"/>
          <w:spacing w:val="1"/>
        </w:rPr>
        <w:t> </w:t>
      </w:r>
      <w:r>
        <w:rPr>
          <w:color w:val="231F20"/>
        </w:rPr>
        <w:t>can</w:t>
      </w:r>
      <w:r>
        <w:rPr>
          <w:color w:val="231F20"/>
          <w:spacing w:val="55"/>
        </w:rPr>
        <w:t> </w:t>
      </w:r>
      <w:r>
        <w:rPr>
          <w:color w:val="231F20"/>
        </w:rPr>
        <w:t>increase</w:t>
      </w:r>
      <w:r>
        <w:rPr>
          <w:color w:val="231F20"/>
          <w:spacing w:val="55"/>
        </w:rPr>
        <w:t> </w:t>
      </w:r>
      <w:r>
        <w:rPr>
          <w:color w:val="231F20"/>
        </w:rPr>
        <w:t>the</w:t>
      </w:r>
      <w:r>
        <w:rPr>
          <w:color w:val="231F20"/>
          <w:spacing w:val="55"/>
        </w:rPr>
        <w:t> </w:t>
      </w:r>
      <w:r>
        <w:rPr>
          <w:color w:val="231F20"/>
        </w:rPr>
        <w:t>availability</w:t>
      </w:r>
      <w:r>
        <w:rPr>
          <w:color w:val="231F20"/>
          <w:spacing w:val="-52"/>
        </w:rPr>
        <w:t> </w:t>
      </w:r>
      <w:r>
        <w:rPr>
          <w:color w:val="231F20"/>
        </w:rPr>
        <w:t>of</w:t>
      </w:r>
      <w:r>
        <w:rPr>
          <w:color w:val="231F20"/>
          <w:spacing w:val="15"/>
        </w:rPr>
        <w:t> </w:t>
      </w:r>
      <w:r>
        <w:rPr>
          <w:color w:val="231F20"/>
        </w:rPr>
        <w:t>needed</w:t>
      </w:r>
      <w:r>
        <w:rPr>
          <w:color w:val="231F20"/>
          <w:spacing w:val="15"/>
        </w:rPr>
        <w:t> </w:t>
      </w:r>
      <w:r>
        <w:rPr>
          <w:color w:val="231F20"/>
        </w:rPr>
        <w:t>crisis</w:t>
      </w:r>
      <w:r>
        <w:rPr>
          <w:color w:val="231F20"/>
          <w:spacing w:val="15"/>
        </w:rPr>
        <w:t> </w:t>
      </w:r>
      <w:r>
        <w:rPr>
          <w:color w:val="231F20"/>
        </w:rPr>
        <w:t>services,</w:t>
      </w:r>
      <w:r>
        <w:rPr>
          <w:color w:val="231F20"/>
          <w:spacing w:val="15"/>
        </w:rPr>
        <w:t> </w:t>
      </w:r>
      <w:r>
        <w:rPr>
          <w:color w:val="231F20"/>
        </w:rPr>
        <w:t>ensuring</w:t>
      </w:r>
      <w:r>
        <w:rPr>
          <w:color w:val="231F20"/>
          <w:spacing w:val="15"/>
        </w:rPr>
        <w:t> </w:t>
      </w:r>
      <w:r>
        <w:rPr>
          <w:color w:val="231F20"/>
        </w:rPr>
        <w:t>these</w:t>
      </w:r>
      <w:r>
        <w:rPr>
          <w:color w:val="231F20"/>
          <w:spacing w:val="15"/>
        </w:rPr>
        <w:t> </w:t>
      </w:r>
      <w:r>
        <w:rPr>
          <w:color w:val="231F20"/>
        </w:rPr>
        <w:t>services</w:t>
      </w:r>
      <w:r>
        <w:rPr>
          <w:color w:val="231F20"/>
          <w:spacing w:val="15"/>
        </w:rPr>
        <w:t> </w:t>
      </w:r>
      <w:r>
        <w:rPr>
          <w:color w:val="231F20"/>
        </w:rPr>
        <w:t>are</w:t>
      </w:r>
      <w:r>
        <w:rPr>
          <w:color w:val="231F20"/>
          <w:spacing w:val="-52"/>
        </w:rPr>
        <w:t> </w:t>
      </w:r>
      <w:r>
        <w:rPr>
          <w:color w:val="231F20"/>
        </w:rPr>
        <w:t>available</w:t>
      </w:r>
      <w:r>
        <w:rPr>
          <w:color w:val="231F20"/>
          <w:spacing w:val="12"/>
        </w:rPr>
        <w:t> </w:t>
      </w:r>
      <w:r>
        <w:rPr>
          <w:color w:val="231F20"/>
        </w:rPr>
        <w:t>to</w:t>
      </w:r>
      <w:r>
        <w:rPr>
          <w:color w:val="231F20"/>
          <w:spacing w:val="12"/>
        </w:rPr>
        <w:t> </w:t>
      </w:r>
      <w:r>
        <w:rPr>
          <w:color w:val="231F20"/>
        </w:rPr>
        <w:t>anyone,</w:t>
      </w:r>
      <w:r>
        <w:rPr>
          <w:color w:val="231F20"/>
          <w:spacing w:val="12"/>
        </w:rPr>
        <w:t> </w:t>
      </w:r>
      <w:r>
        <w:rPr>
          <w:color w:val="231F20"/>
        </w:rPr>
        <w:t>anywhere,</w:t>
      </w:r>
      <w:r>
        <w:rPr>
          <w:color w:val="231F20"/>
          <w:spacing w:val="12"/>
        </w:rPr>
        <w:t> </w:t>
      </w:r>
      <w:r>
        <w:rPr>
          <w:color w:val="231F20"/>
        </w:rPr>
        <w:t>at</w:t>
      </w:r>
      <w:r>
        <w:rPr>
          <w:color w:val="231F20"/>
          <w:spacing w:val="12"/>
        </w:rPr>
        <w:t> </w:t>
      </w:r>
      <w:r>
        <w:rPr>
          <w:color w:val="231F20"/>
        </w:rPr>
        <w:t>any</w:t>
      </w:r>
      <w:r>
        <w:rPr>
          <w:color w:val="231F20"/>
          <w:spacing w:val="12"/>
        </w:rPr>
        <w:t> </w:t>
      </w:r>
      <w:r>
        <w:rPr>
          <w:color w:val="231F20"/>
        </w:rPr>
        <w:t>time,</w:t>
      </w:r>
      <w:r>
        <w:rPr>
          <w:color w:val="231F20"/>
          <w:spacing w:val="13"/>
        </w:rPr>
        <w:t> </w:t>
      </w:r>
      <w:r>
        <w:rPr>
          <w:color w:val="231F20"/>
        </w:rPr>
        <w:t>and</w:t>
      </w:r>
      <w:r>
        <w:rPr>
          <w:color w:val="231F20"/>
          <w:spacing w:val="12"/>
        </w:rPr>
        <w:t> </w:t>
      </w:r>
      <w:r>
        <w:rPr>
          <w:color w:val="231F20"/>
        </w:rPr>
        <w:t>that</w:t>
      </w:r>
      <w:r>
        <w:rPr>
          <w:color w:val="231F20"/>
          <w:spacing w:val="1"/>
        </w:rPr>
        <w:t> </w:t>
      </w:r>
      <w:r>
        <w:rPr>
          <w:color w:val="231F20"/>
        </w:rPr>
        <w:t>there</w:t>
      </w:r>
      <w:r>
        <w:rPr>
          <w:color w:val="231F20"/>
          <w:spacing w:val="11"/>
        </w:rPr>
        <w:t> </w:t>
      </w:r>
      <w:r>
        <w:rPr>
          <w:color w:val="231F20"/>
        </w:rPr>
        <w:t>is</w:t>
      </w:r>
      <w:r>
        <w:rPr>
          <w:color w:val="231F20"/>
          <w:spacing w:val="11"/>
        </w:rPr>
        <w:t> </w:t>
      </w:r>
      <w:r>
        <w:rPr>
          <w:color w:val="231F20"/>
        </w:rPr>
        <w:t>a</w:t>
      </w:r>
      <w:r>
        <w:rPr>
          <w:color w:val="231F20"/>
          <w:spacing w:val="11"/>
        </w:rPr>
        <w:t> </w:t>
      </w:r>
      <w:r>
        <w:rPr>
          <w:color w:val="231F20"/>
        </w:rPr>
        <w:t>“no-wrong-door”</w:t>
      </w:r>
      <w:r>
        <w:rPr>
          <w:color w:val="231F20"/>
          <w:spacing w:val="11"/>
        </w:rPr>
        <w:t> </w:t>
      </w:r>
      <w:r>
        <w:rPr>
          <w:color w:val="231F20"/>
        </w:rPr>
        <w:t>approach</w:t>
      </w:r>
      <w:r>
        <w:rPr>
          <w:color w:val="231F20"/>
          <w:spacing w:val="12"/>
        </w:rPr>
        <w:t> </w:t>
      </w:r>
      <w:r>
        <w:rPr>
          <w:color w:val="231F20"/>
        </w:rPr>
        <w:t>for</w:t>
      </w:r>
      <w:r>
        <w:rPr>
          <w:color w:val="231F20"/>
          <w:spacing w:val="11"/>
        </w:rPr>
        <w:t> </w:t>
      </w:r>
      <w:r>
        <w:rPr>
          <w:color w:val="231F20"/>
        </w:rPr>
        <w:t>entry</w:t>
      </w:r>
      <w:r>
        <w:rPr>
          <w:color w:val="231F20"/>
          <w:spacing w:val="11"/>
        </w:rPr>
        <w:t> </w:t>
      </w:r>
      <w:r>
        <w:rPr>
          <w:color w:val="231F20"/>
        </w:rPr>
        <w:t>into</w:t>
      </w:r>
    </w:p>
    <w:p>
      <w:pPr>
        <w:pStyle w:val="BodyText"/>
        <w:spacing w:line="266" w:lineRule="auto"/>
        <w:ind w:left="120" w:right="269" w:hanging="1"/>
      </w:pPr>
      <w:r>
        <w:rPr>
          <w:color w:val="231F20"/>
        </w:rPr>
        <w:t>services.</w:t>
      </w:r>
      <w:r>
        <w:rPr>
          <w:color w:val="231F20"/>
          <w:vertAlign w:val="superscript"/>
        </w:rPr>
        <w:t>75</w:t>
      </w:r>
      <w:r>
        <w:rPr>
          <w:color w:val="231F20"/>
          <w:spacing w:val="10"/>
          <w:vertAlign w:val="baseline"/>
        </w:rPr>
        <w:t> </w:t>
      </w:r>
      <w:r>
        <w:rPr>
          <w:color w:val="231F20"/>
          <w:vertAlign w:val="baseline"/>
        </w:rPr>
        <w:t>Crisis</w:t>
      </w:r>
      <w:r>
        <w:rPr>
          <w:color w:val="231F20"/>
          <w:spacing w:val="12"/>
          <w:vertAlign w:val="baseline"/>
        </w:rPr>
        <w:t> </w:t>
      </w:r>
      <w:r>
        <w:rPr>
          <w:color w:val="231F20"/>
          <w:vertAlign w:val="baseline"/>
        </w:rPr>
        <w:t>services</w:t>
      </w:r>
      <w:r>
        <w:rPr>
          <w:color w:val="231F20"/>
          <w:spacing w:val="11"/>
          <w:vertAlign w:val="baseline"/>
        </w:rPr>
        <w:t> </w:t>
      </w:r>
      <w:r>
        <w:rPr>
          <w:color w:val="231F20"/>
          <w:vertAlign w:val="baseline"/>
        </w:rPr>
        <w:t>are</w:t>
      </w:r>
      <w:r>
        <w:rPr>
          <w:color w:val="231F20"/>
          <w:spacing w:val="12"/>
          <w:vertAlign w:val="baseline"/>
        </w:rPr>
        <w:t> </w:t>
      </w:r>
      <w:r>
        <w:rPr>
          <w:color w:val="231F20"/>
          <w:vertAlign w:val="baseline"/>
        </w:rPr>
        <w:t>an</w:t>
      </w:r>
      <w:r>
        <w:rPr>
          <w:color w:val="231F20"/>
          <w:spacing w:val="12"/>
          <w:vertAlign w:val="baseline"/>
        </w:rPr>
        <w:t> </w:t>
      </w:r>
      <w:r>
        <w:rPr>
          <w:color w:val="231F20"/>
          <w:vertAlign w:val="baseline"/>
        </w:rPr>
        <w:t>effective</w:t>
      </w:r>
      <w:r>
        <w:rPr>
          <w:color w:val="231F20"/>
          <w:spacing w:val="11"/>
          <w:vertAlign w:val="baseline"/>
        </w:rPr>
        <w:t> </w:t>
      </w:r>
      <w:r>
        <w:rPr>
          <w:color w:val="231F20"/>
          <w:vertAlign w:val="baseline"/>
        </w:rPr>
        <w:t>strategy</w:t>
      </w:r>
      <w:r>
        <w:rPr>
          <w:color w:val="231F20"/>
          <w:spacing w:val="12"/>
          <w:vertAlign w:val="baseline"/>
        </w:rPr>
        <w:t> </w:t>
      </w:r>
      <w:r>
        <w:rPr>
          <w:color w:val="231F20"/>
          <w:vertAlign w:val="baseline"/>
        </w:rPr>
        <w:t>for</w:t>
      </w:r>
      <w:r>
        <w:rPr>
          <w:color w:val="231F20"/>
          <w:spacing w:val="-52"/>
          <w:vertAlign w:val="baseline"/>
        </w:rPr>
        <w:t> </w:t>
      </w:r>
      <w:r>
        <w:rPr>
          <w:color w:val="231F20"/>
          <w:vertAlign w:val="baseline"/>
        </w:rPr>
        <w:t>suicide</w:t>
      </w:r>
      <w:r>
        <w:rPr>
          <w:color w:val="231F20"/>
          <w:spacing w:val="15"/>
          <w:vertAlign w:val="baseline"/>
        </w:rPr>
        <w:t> </w:t>
      </w:r>
      <w:r>
        <w:rPr>
          <w:color w:val="231F20"/>
          <w:vertAlign w:val="baseline"/>
        </w:rPr>
        <w:t>prevention</w:t>
      </w:r>
      <w:r>
        <w:rPr>
          <w:color w:val="231F20"/>
          <w:spacing w:val="15"/>
          <w:vertAlign w:val="baseline"/>
        </w:rPr>
        <w:t> </w:t>
      </w:r>
      <w:r>
        <w:rPr>
          <w:color w:val="231F20"/>
          <w:vertAlign w:val="baseline"/>
        </w:rPr>
        <w:t>and</w:t>
      </w:r>
      <w:r>
        <w:rPr>
          <w:color w:val="231F20"/>
          <w:spacing w:val="15"/>
          <w:vertAlign w:val="baseline"/>
        </w:rPr>
        <w:t> </w:t>
      </w:r>
      <w:r>
        <w:rPr>
          <w:color w:val="231F20"/>
          <w:vertAlign w:val="baseline"/>
        </w:rPr>
        <w:t>resolving</w:t>
      </w:r>
      <w:r>
        <w:rPr>
          <w:color w:val="231F20"/>
          <w:spacing w:val="15"/>
          <w:vertAlign w:val="baseline"/>
        </w:rPr>
        <w:t> </w:t>
      </w:r>
      <w:r>
        <w:rPr>
          <w:color w:val="231F20"/>
          <w:vertAlign w:val="baseline"/>
        </w:rPr>
        <w:t>acute</w:t>
      </w:r>
      <w:r>
        <w:rPr>
          <w:color w:val="231F20"/>
          <w:spacing w:val="15"/>
          <w:vertAlign w:val="baseline"/>
        </w:rPr>
        <w:t> </w:t>
      </w:r>
      <w:r>
        <w:rPr>
          <w:color w:val="231F20"/>
          <w:vertAlign w:val="baseline"/>
        </w:rPr>
        <w:t>mental</w:t>
      </w:r>
      <w:r>
        <w:rPr>
          <w:color w:val="231F20"/>
          <w:spacing w:val="15"/>
          <w:vertAlign w:val="baseline"/>
        </w:rPr>
        <w:t> </w:t>
      </w:r>
      <w:r>
        <w:rPr>
          <w:color w:val="231F20"/>
          <w:vertAlign w:val="baseline"/>
        </w:rPr>
        <w:t>health</w:t>
      </w:r>
      <w:r>
        <w:rPr>
          <w:color w:val="231F20"/>
          <w:spacing w:val="1"/>
          <w:vertAlign w:val="baseline"/>
        </w:rPr>
        <w:t> </w:t>
      </w:r>
      <w:r>
        <w:rPr>
          <w:color w:val="231F20"/>
          <w:vertAlign w:val="baseline"/>
        </w:rPr>
        <w:t>and</w:t>
      </w:r>
      <w:r>
        <w:rPr>
          <w:color w:val="231F20"/>
          <w:spacing w:val="8"/>
          <w:vertAlign w:val="baseline"/>
        </w:rPr>
        <w:t> </w:t>
      </w:r>
      <w:r>
        <w:rPr>
          <w:color w:val="231F20"/>
          <w:vertAlign w:val="baseline"/>
        </w:rPr>
        <w:t>substance</w:t>
      </w:r>
      <w:r>
        <w:rPr>
          <w:color w:val="231F20"/>
          <w:spacing w:val="8"/>
          <w:vertAlign w:val="baseline"/>
        </w:rPr>
        <w:t> </w:t>
      </w:r>
      <w:r>
        <w:rPr>
          <w:color w:val="231F20"/>
          <w:vertAlign w:val="baseline"/>
        </w:rPr>
        <w:t>use</w:t>
      </w:r>
      <w:r>
        <w:rPr>
          <w:color w:val="231F20"/>
          <w:spacing w:val="8"/>
          <w:vertAlign w:val="baseline"/>
        </w:rPr>
        <w:t> </w:t>
      </w:r>
      <w:r>
        <w:rPr>
          <w:color w:val="231F20"/>
          <w:vertAlign w:val="baseline"/>
        </w:rPr>
        <w:t>crises,</w:t>
      </w:r>
      <w:r>
        <w:rPr>
          <w:color w:val="231F20"/>
          <w:spacing w:val="8"/>
          <w:vertAlign w:val="baseline"/>
        </w:rPr>
        <w:t> </w:t>
      </w:r>
      <w:r>
        <w:rPr>
          <w:color w:val="231F20"/>
          <w:vertAlign w:val="baseline"/>
        </w:rPr>
        <w:t>as</w:t>
      </w:r>
      <w:r>
        <w:rPr>
          <w:color w:val="231F20"/>
          <w:spacing w:val="8"/>
          <w:vertAlign w:val="baseline"/>
        </w:rPr>
        <w:t> </w:t>
      </w:r>
      <w:r>
        <w:rPr>
          <w:color w:val="231F20"/>
          <w:vertAlign w:val="baseline"/>
        </w:rPr>
        <w:t>well</w:t>
      </w:r>
      <w:r>
        <w:rPr>
          <w:color w:val="231F20"/>
          <w:spacing w:val="8"/>
          <w:vertAlign w:val="baseline"/>
        </w:rPr>
        <w:t> </w:t>
      </w:r>
      <w:r>
        <w:rPr>
          <w:color w:val="231F20"/>
          <w:vertAlign w:val="baseline"/>
        </w:rPr>
        <w:t>as</w:t>
      </w:r>
      <w:r>
        <w:rPr>
          <w:color w:val="231F20"/>
          <w:spacing w:val="8"/>
          <w:vertAlign w:val="baseline"/>
        </w:rPr>
        <w:t> </w:t>
      </w:r>
      <w:r>
        <w:rPr>
          <w:color w:val="231F20"/>
          <w:vertAlign w:val="baseline"/>
        </w:rPr>
        <w:t>for</w:t>
      </w:r>
      <w:r>
        <w:rPr>
          <w:color w:val="231F20"/>
          <w:spacing w:val="8"/>
          <w:vertAlign w:val="baseline"/>
        </w:rPr>
        <w:t> </w:t>
      </w:r>
      <w:r>
        <w:rPr>
          <w:color w:val="231F20"/>
          <w:vertAlign w:val="baseline"/>
        </w:rPr>
        <w:t>reducing</w:t>
      </w:r>
      <w:r>
        <w:rPr>
          <w:color w:val="231F20"/>
          <w:spacing w:val="1"/>
          <w:vertAlign w:val="baseline"/>
        </w:rPr>
        <w:t> </w:t>
      </w:r>
      <w:r>
        <w:rPr>
          <w:color w:val="231F20"/>
          <w:vertAlign w:val="baseline"/>
        </w:rPr>
        <w:t>psychiatric</w:t>
      </w:r>
      <w:r>
        <w:rPr>
          <w:color w:val="231F20"/>
          <w:spacing w:val="1"/>
          <w:vertAlign w:val="baseline"/>
        </w:rPr>
        <w:t> </w:t>
      </w:r>
      <w:r>
        <w:rPr>
          <w:color w:val="231F20"/>
          <w:vertAlign w:val="baseline"/>
        </w:rPr>
        <w:t>hospital</w:t>
      </w:r>
      <w:r>
        <w:rPr>
          <w:color w:val="231F20"/>
          <w:spacing w:val="1"/>
          <w:vertAlign w:val="baseline"/>
        </w:rPr>
        <w:t> </w:t>
      </w:r>
      <w:r>
        <w:rPr>
          <w:color w:val="231F20"/>
          <w:vertAlign w:val="baseline"/>
        </w:rPr>
        <w:t>bed</w:t>
      </w:r>
      <w:r>
        <w:rPr>
          <w:color w:val="231F20"/>
          <w:spacing w:val="55"/>
          <w:vertAlign w:val="baseline"/>
        </w:rPr>
        <w:t> </w:t>
      </w:r>
      <w:r>
        <w:rPr>
          <w:color w:val="231F20"/>
          <w:vertAlign w:val="baseline"/>
        </w:rPr>
        <w:t>overuse,</w:t>
      </w:r>
      <w:r>
        <w:rPr>
          <w:color w:val="231F20"/>
          <w:spacing w:val="55"/>
          <w:vertAlign w:val="baseline"/>
        </w:rPr>
        <w:t> </w:t>
      </w:r>
      <w:r>
        <w:rPr>
          <w:color w:val="231F20"/>
          <w:vertAlign w:val="baseline"/>
        </w:rPr>
        <w:t>inappropriate</w:t>
      </w:r>
      <w:r>
        <w:rPr>
          <w:color w:val="231F20"/>
          <w:spacing w:val="55"/>
          <w:vertAlign w:val="baseline"/>
        </w:rPr>
        <w:t> </w:t>
      </w:r>
      <w:r>
        <w:rPr>
          <w:color w:val="231F20"/>
          <w:vertAlign w:val="baseline"/>
        </w:rPr>
        <w:t>use</w:t>
      </w:r>
      <w:r>
        <w:rPr>
          <w:color w:val="231F20"/>
          <w:spacing w:val="1"/>
          <w:vertAlign w:val="baseline"/>
        </w:rPr>
        <w:t> </w:t>
      </w:r>
      <w:r>
        <w:rPr>
          <w:color w:val="231F20"/>
          <w:vertAlign w:val="baseline"/>
        </w:rPr>
        <w:t>of</w:t>
      </w:r>
      <w:r>
        <w:rPr>
          <w:color w:val="231F20"/>
          <w:spacing w:val="12"/>
          <w:vertAlign w:val="baseline"/>
        </w:rPr>
        <w:t> </w:t>
      </w:r>
      <w:r>
        <w:rPr>
          <w:color w:val="231F20"/>
          <w:vertAlign w:val="baseline"/>
        </w:rPr>
        <w:t>emergency</w:t>
      </w:r>
      <w:r>
        <w:rPr>
          <w:color w:val="231F20"/>
          <w:spacing w:val="13"/>
          <w:vertAlign w:val="baseline"/>
        </w:rPr>
        <w:t> </w:t>
      </w:r>
      <w:r>
        <w:rPr>
          <w:color w:val="231F20"/>
          <w:vertAlign w:val="baseline"/>
        </w:rPr>
        <w:t>departments,</w:t>
      </w:r>
      <w:r>
        <w:rPr>
          <w:color w:val="231F20"/>
          <w:spacing w:val="24"/>
          <w:vertAlign w:val="baseline"/>
        </w:rPr>
        <w:t> </w:t>
      </w:r>
      <w:r>
        <w:rPr>
          <w:color w:val="231F20"/>
          <w:vertAlign w:val="baseline"/>
        </w:rPr>
        <w:t>inappropriate</w:t>
      </w:r>
      <w:r>
        <w:rPr>
          <w:color w:val="231F20"/>
          <w:spacing w:val="12"/>
          <w:vertAlign w:val="baseline"/>
        </w:rPr>
        <w:t> </w:t>
      </w:r>
      <w:r>
        <w:rPr>
          <w:color w:val="231F20"/>
          <w:vertAlign w:val="baseline"/>
        </w:rPr>
        <w:t>use</w:t>
      </w:r>
      <w:r>
        <w:rPr>
          <w:color w:val="231F20"/>
          <w:spacing w:val="13"/>
          <w:vertAlign w:val="baseline"/>
        </w:rPr>
        <w:t> </w:t>
      </w:r>
      <w:r>
        <w:rPr>
          <w:color w:val="231F20"/>
          <w:vertAlign w:val="baseline"/>
        </w:rPr>
        <w:t>of</w:t>
      </w:r>
      <w:r>
        <w:rPr>
          <w:color w:val="231F20"/>
          <w:spacing w:val="13"/>
          <w:vertAlign w:val="baseline"/>
        </w:rPr>
        <w:t> </w:t>
      </w:r>
      <w:r>
        <w:rPr>
          <w:color w:val="231F20"/>
          <w:vertAlign w:val="baseline"/>
        </w:rPr>
        <w:t>law</w:t>
      </w:r>
    </w:p>
    <w:p>
      <w:pPr>
        <w:pStyle w:val="BodyText"/>
        <w:spacing w:line="266" w:lineRule="auto"/>
        <w:ind w:left="120" w:right="36"/>
      </w:pPr>
      <w:r>
        <w:rPr>
          <w:color w:val="231F20"/>
        </w:rPr>
        <w:t>enforcement</w:t>
      </w:r>
      <w:r>
        <w:rPr>
          <w:color w:val="231F20"/>
          <w:spacing w:val="17"/>
        </w:rPr>
        <w:t> </w:t>
      </w:r>
      <w:r>
        <w:rPr>
          <w:color w:val="231F20"/>
        </w:rPr>
        <w:t>resources,</w:t>
      </w:r>
      <w:r>
        <w:rPr>
          <w:color w:val="231F20"/>
          <w:spacing w:val="17"/>
        </w:rPr>
        <w:t> </w:t>
      </w:r>
      <w:r>
        <w:rPr>
          <w:color w:val="231F20"/>
        </w:rPr>
        <w:t>and</w:t>
      </w:r>
      <w:r>
        <w:rPr>
          <w:color w:val="231F20"/>
          <w:spacing w:val="18"/>
        </w:rPr>
        <w:t> </w:t>
      </w:r>
      <w:r>
        <w:rPr>
          <w:color w:val="231F20"/>
        </w:rPr>
        <w:t>the</w:t>
      </w:r>
      <w:r>
        <w:rPr>
          <w:color w:val="231F20"/>
          <w:spacing w:val="17"/>
        </w:rPr>
        <w:t> </w:t>
      </w:r>
      <w:r>
        <w:rPr>
          <w:color w:val="231F20"/>
        </w:rPr>
        <w:t>fragmentation</w:t>
      </w:r>
      <w:r>
        <w:rPr>
          <w:color w:val="231F20"/>
          <w:spacing w:val="18"/>
        </w:rPr>
        <w:t> </w:t>
      </w:r>
      <w:r>
        <w:rPr>
          <w:color w:val="231F20"/>
        </w:rPr>
        <w:t>of</w:t>
      </w:r>
      <w:r>
        <w:rPr>
          <w:color w:val="231F20"/>
          <w:spacing w:val="17"/>
        </w:rPr>
        <w:t> </w:t>
      </w:r>
      <w:r>
        <w:rPr>
          <w:color w:val="231F20"/>
        </w:rPr>
        <w:t>mental</w:t>
      </w:r>
      <w:r>
        <w:rPr>
          <w:color w:val="231F20"/>
          <w:spacing w:val="-52"/>
        </w:rPr>
        <w:t> </w:t>
      </w:r>
      <w:r>
        <w:rPr>
          <w:color w:val="231F20"/>
        </w:rPr>
        <w:t>health</w:t>
      </w:r>
      <w:r>
        <w:rPr>
          <w:color w:val="231F20"/>
          <w:spacing w:val="4"/>
        </w:rPr>
        <w:t> </w:t>
      </w:r>
      <w:r>
        <w:rPr>
          <w:color w:val="231F20"/>
        </w:rPr>
        <w:t>care.</w:t>
      </w:r>
      <w:r>
        <w:rPr>
          <w:color w:val="231F20"/>
          <w:vertAlign w:val="superscript"/>
        </w:rPr>
        <w:t>75</w:t>
      </w:r>
    </w:p>
    <w:p>
      <w:pPr>
        <w:pStyle w:val="BodyText"/>
        <w:spacing w:line="266" w:lineRule="auto" w:before="91"/>
        <w:ind w:left="120" w:right="805"/>
      </w:pPr>
      <w:r>
        <w:rPr/>
        <w:br w:type="column"/>
      </w:r>
      <w:r>
        <w:rPr>
          <w:color w:val="231F20"/>
        </w:rPr>
        <w:t>Cited by the </w:t>
      </w:r>
      <w:hyperlink r:id="rId128">
        <w:r>
          <w:rPr>
            <w:i/>
            <w:color w:val="2764B0"/>
            <w:u w:val="single" w:color="2764B0"/>
          </w:rPr>
          <w:t>National Guidelines for Behavioral Health</w:t>
        </w:r>
      </w:hyperlink>
      <w:r>
        <w:rPr>
          <w:i/>
          <w:color w:val="2764B0"/>
          <w:spacing w:val="1"/>
        </w:rPr>
        <w:t> </w:t>
      </w:r>
      <w:hyperlink r:id="rId128">
        <w:r>
          <w:rPr>
            <w:i/>
            <w:color w:val="2764B0"/>
            <w:u w:val="single" w:color="2764B0"/>
          </w:rPr>
          <w:t>Crisis Care</w:t>
        </w:r>
        <w:r>
          <w:rPr>
            <w:i/>
            <w:color w:val="2764B0"/>
          </w:rPr>
          <w:t> </w:t>
        </w:r>
      </w:hyperlink>
      <w:r>
        <w:rPr>
          <w:color w:val="231F20"/>
        </w:rPr>
        <w:t>as an essential element of an integrated</w:t>
      </w:r>
      <w:r>
        <w:rPr>
          <w:color w:val="231F20"/>
          <w:spacing w:val="1"/>
        </w:rPr>
        <w:t> </w:t>
      </w:r>
      <w:r>
        <w:rPr>
          <w:color w:val="231F20"/>
        </w:rPr>
        <w:t>crisis system, regional crisis call centers provide</w:t>
      </w:r>
      <w:r>
        <w:rPr>
          <w:color w:val="231F20"/>
          <w:spacing w:val="1"/>
        </w:rPr>
        <w:t> </w:t>
      </w:r>
      <w:r>
        <w:rPr>
          <w:color w:val="231F20"/>
        </w:rPr>
        <w:t>synchronous telephonic crisis services, text, and online</w:t>
      </w:r>
      <w:r>
        <w:rPr>
          <w:color w:val="231F20"/>
          <w:spacing w:val="1"/>
        </w:rPr>
        <w:t> </w:t>
      </w:r>
      <w:r>
        <w:rPr>
          <w:color w:val="231F20"/>
        </w:rPr>
        <w:t>chat technology to triage needs, assess for additional</w:t>
      </w:r>
      <w:r>
        <w:rPr>
          <w:color w:val="231F20"/>
          <w:spacing w:val="1"/>
        </w:rPr>
        <w:t> </w:t>
      </w:r>
      <w:r>
        <w:rPr>
          <w:color w:val="231F20"/>
        </w:rPr>
        <w:t>needs and preferences, and coordinate connections for</w:t>
      </w:r>
      <w:r>
        <w:rPr>
          <w:color w:val="231F20"/>
          <w:spacing w:val="1"/>
        </w:rPr>
        <w:t> </w:t>
      </w:r>
      <w:r>
        <w:rPr>
          <w:color w:val="231F20"/>
        </w:rPr>
        <w:t>additional post-crisis support. In addition to telephone</w:t>
      </w:r>
      <w:r>
        <w:rPr>
          <w:color w:val="231F20"/>
          <w:spacing w:val="1"/>
        </w:rPr>
        <w:t> </w:t>
      </w:r>
      <w:r>
        <w:rPr>
          <w:color w:val="231F20"/>
        </w:rPr>
        <w:t>calls and live online chats or texts, regional crisis call</w:t>
      </w:r>
      <w:r>
        <w:rPr>
          <w:color w:val="231F20"/>
          <w:spacing w:val="1"/>
        </w:rPr>
        <w:t> </w:t>
      </w:r>
      <w:r>
        <w:rPr>
          <w:color w:val="231F20"/>
        </w:rPr>
        <w:t>centers can also make use of the following technologies</w:t>
      </w:r>
      <w:r>
        <w:rPr>
          <w:color w:val="231F20"/>
          <w:spacing w:val="-52"/>
        </w:rPr>
        <w:t> </w:t>
      </w:r>
      <w:r>
        <w:rPr>
          <w:color w:val="231F20"/>
        </w:rPr>
        <w:t>to</w:t>
      </w:r>
      <w:r>
        <w:rPr>
          <w:color w:val="231F20"/>
          <w:spacing w:val="-1"/>
        </w:rPr>
        <w:t> </w:t>
      </w:r>
      <w:r>
        <w:rPr>
          <w:color w:val="231F20"/>
        </w:rPr>
        <w:t>support an</w:t>
      </w:r>
      <w:r>
        <w:rPr>
          <w:color w:val="231F20"/>
          <w:spacing w:val="-1"/>
        </w:rPr>
        <w:t> </w:t>
      </w:r>
      <w:r>
        <w:rPr>
          <w:color w:val="231F20"/>
        </w:rPr>
        <w:t>individual’s well-being:</w:t>
      </w:r>
    </w:p>
    <w:p>
      <w:pPr>
        <w:pStyle w:val="ListParagraph"/>
        <w:numPr>
          <w:ilvl w:val="0"/>
          <w:numId w:val="13"/>
        </w:numPr>
        <w:tabs>
          <w:tab w:pos="839" w:val="left" w:leader="none"/>
          <w:tab w:pos="841" w:val="left" w:leader="none"/>
        </w:tabs>
        <w:spacing w:line="240" w:lineRule="auto" w:before="157" w:after="0"/>
        <w:ind w:left="840" w:right="0" w:hanging="361"/>
        <w:jc w:val="left"/>
        <w:rPr>
          <w:sz w:val="22"/>
        </w:rPr>
      </w:pPr>
      <w:r>
        <w:rPr>
          <w:color w:val="010202"/>
          <w:sz w:val="22"/>
        </w:rPr>
        <w:t>24/7 outpatient scheduling</w:t>
      </w:r>
    </w:p>
    <w:p>
      <w:pPr>
        <w:pStyle w:val="ListParagraph"/>
        <w:numPr>
          <w:ilvl w:val="0"/>
          <w:numId w:val="13"/>
        </w:numPr>
        <w:tabs>
          <w:tab w:pos="839" w:val="left" w:leader="none"/>
          <w:tab w:pos="841" w:val="left" w:leader="none"/>
        </w:tabs>
        <w:spacing w:line="240" w:lineRule="auto" w:before="57" w:after="0"/>
        <w:ind w:left="840" w:right="0" w:hanging="361"/>
        <w:jc w:val="left"/>
        <w:rPr>
          <w:sz w:val="22"/>
        </w:rPr>
      </w:pPr>
      <w:r>
        <w:rPr>
          <w:color w:val="010202"/>
          <w:sz w:val="22"/>
        </w:rPr>
        <w:t>Crisis</w:t>
      </w:r>
      <w:r>
        <w:rPr>
          <w:color w:val="010202"/>
          <w:spacing w:val="-1"/>
          <w:sz w:val="22"/>
        </w:rPr>
        <w:t> </w:t>
      </w:r>
      <w:r>
        <w:rPr>
          <w:color w:val="010202"/>
          <w:sz w:val="22"/>
        </w:rPr>
        <w:t>bed registry</w:t>
      </w:r>
    </w:p>
    <w:p>
      <w:pPr>
        <w:pStyle w:val="ListParagraph"/>
        <w:numPr>
          <w:ilvl w:val="0"/>
          <w:numId w:val="13"/>
        </w:numPr>
        <w:tabs>
          <w:tab w:pos="839" w:val="left" w:leader="none"/>
          <w:tab w:pos="841" w:val="left" w:leader="none"/>
        </w:tabs>
        <w:spacing w:line="240" w:lineRule="auto" w:before="57" w:after="0"/>
        <w:ind w:left="840" w:right="0" w:hanging="361"/>
        <w:jc w:val="left"/>
        <w:rPr>
          <w:sz w:val="22"/>
        </w:rPr>
      </w:pPr>
      <w:r>
        <w:rPr>
          <w:color w:val="010202"/>
          <w:sz w:val="22"/>
        </w:rPr>
        <w:t>GPS-enabled</w:t>
      </w:r>
      <w:r>
        <w:rPr>
          <w:color w:val="010202"/>
          <w:spacing w:val="-1"/>
          <w:sz w:val="22"/>
        </w:rPr>
        <w:t> </w:t>
      </w:r>
      <w:r>
        <w:rPr>
          <w:color w:val="010202"/>
          <w:sz w:val="22"/>
        </w:rPr>
        <w:t>mobile crisis dispatch</w:t>
      </w:r>
    </w:p>
    <w:p>
      <w:pPr>
        <w:pStyle w:val="ListParagraph"/>
        <w:numPr>
          <w:ilvl w:val="0"/>
          <w:numId w:val="13"/>
        </w:numPr>
        <w:tabs>
          <w:tab w:pos="839" w:val="left" w:leader="none"/>
          <w:tab w:pos="841" w:val="left" w:leader="none"/>
        </w:tabs>
        <w:spacing w:line="240" w:lineRule="auto" w:before="57" w:after="0"/>
        <w:ind w:left="840" w:right="0" w:hanging="361"/>
        <w:jc w:val="left"/>
        <w:rPr>
          <w:sz w:val="22"/>
        </w:rPr>
      </w:pPr>
      <w:r>
        <w:rPr>
          <w:color w:val="010202"/>
          <w:sz w:val="22"/>
        </w:rPr>
        <w:t>Real-time performance outcome dashboards</w:t>
      </w:r>
    </w:p>
    <w:p>
      <w:pPr>
        <w:pStyle w:val="BodyText"/>
        <w:spacing w:line="266" w:lineRule="auto" w:before="207"/>
        <w:ind w:left="119" w:right="933"/>
      </w:pPr>
      <w:r>
        <w:rPr/>
        <w:drawing>
          <wp:anchor distT="0" distB="0" distL="0" distR="0" allowOverlap="1" layoutInCell="1" locked="0" behindDoc="0" simplePos="0" relativeHeight="15743488">
            <wp:simplePos x="0" y="0"/>
            <wp:positionH relativeFrom="page">
              <wp:posOffset>4114800</wp:posOffset>
            </wp:positionH>
            <wp:positionV relativeFrom="paragraph">
              <wp:posOffset>1362801</wp:posOffset>
            </wp:positionV>
            <wp:extent cx="3200400" cy="4389775"/>
            <wp:effectExtent l="0" t="0" r="0" b="0"/>
            <wp:wrapNone/>
            <wp:docPr id="31" name="image15.png" descr="Picture of a person video chatting with another person through a computer.   "/>
            <wp:cNvGraphicFramePr>
              <a:graphicFrameLocks noChangeAspect="1"/>
            </wp:cNvGraphicFramePr>
            <a:graphic>
              <a:graphicData uri="http://schemas.openxmlformats.org/drawingml/2006/picture">
                <pic:pic>
                  <pic:nvPicPr>
                    <pic:cNvPr id="32" name="image15.png"/>
                    <pic:cNvPicPr/>
                  </pic:nvPicPr>
                  <pic:blipFill>
                    <a:blip r:embed="rId129" cstate="print"/>
                    <a:stretch>
                      <a:fillRect/>
                    </a:stretch>
                  </pic:blipFill>
                  <pic:spPr>
                    <a:xfrm>
                      <a:off x="0" y="0"/>
                      <a:ext cx="3200400" cy="4389775"/>
                    </a:xfrm>
                    <a:prstGeom prst="rect">
                      <a:avLst/>
                    </a:prstGeom>
                  </pic:spPr>
                </pic:pic>
              </a:graphicData>
            </a:graphic>
          </wp:anchor>
        </w:drawing>
      </w:r>
      <w:r>
        <w:rPr>
          <w:color w:val="231F20"/>
        </w:rPr>
        <w:t>Asynchronous tools such as </w:t>
      </w:r>
      <w:hyperlink r:id="rId130">
        <w:r>
          <w:rPr>
            <w:color w:val="2764B0"/>
            <w:u w:val="single" w:color="2764B0"/>
          </w:rPr>
          <w:t>My Mental Health Crisis</w:t>
        </w:r>
      </w:hyperlink>
      <w:r>
        <w:rPr>
          <w:color w:val="2764B0"/>
          <w:spacing w:val="1"/>
        </w:rPr>
        <w:t> </w:t>
      </w:r>
      <w:hyperlink r:id="rId130">
        <w:r>
          <w:rPr>
            <w:color w:val="2764B0"/>
            <w:u w:val="single" w:color="2764B0"/>
          </w:rPr>
          <w:t>Plan</w:t>
        </w:r>
      </w:hyperlink>
      <w:r>
        <w:rPr>
          <w:color w:val="231F20"/>
          <w:vertAlign w:val="superscript"/>
        </w:rPr>
        <w:t>76</w:t>
      </w:r>
      <w:r>
        <w:rPr>
          <w:color w:val="231F20"/>
          <w:vertAlign w:val="baseline"/>
        </w:rPr>
        <w:t> (designed by SAMHSA) can be used to create a</w:t>
      </w:r>
      <w:r>
        <w:rPr>
          <w:color w:val="231F20"/>
          <w:spacing w:val="-52"/>
          <w:vertAlign w:val="baseline"/>
        </w:rPr>
        <w:t> </w:t>
      </w:r>
      <w:r>
        <w:rPr>
          <w:color w:val="231F20"/>
          <w:vertAlign w:val="baseline"/>
        </w:rPr>
        <w:t>personal advance directive, a legal document outlining</w:t>
      </w:r>
      <w:r>
        <w:rPr>
          <w:color w:val="231F20"/>
          <w:spacing w:val="-52"/>
          <w:vertAlign w:val="baseline"/>
        </w:rPr>
        <w:t> </w:t>
      </w:r>
      <w:r>
        <w:rPr>
          <w:color w:val="231F20"/>
          <w:vertAlign w:val="baseline"/>
        </w:rPr>
        <w:t>an individual’s preferences during a mental health</w:t>
      </w:r>
      <w:r>
        <w:rPr>
          <w:color w:val="231F20"/>
          <w:spacing w:val="1"/>
          <w:vertAlign w:val="baseline"/>
        </w:rPr>
        <w:t> </w:t>
      </w:r>
      <w:r>
        <w:rPr>
          <w:color w:val="231F20"/>
          <w:vertAlign w:val="baseline"/>
        </w:rPr>
        <w:t>crisis should the individual not be able to determine or</w:t>
      </w:r>
      <w:r>
        <w:rPr>
          <w:color w:val="231F20"/>
          <w:spacing w:val="-52"/>
          <w:vertAlign w:val="baseline"/>
        </w:rPr>
        <w:t> </w:t>
      </w:r>
      <w:r>
        <w:rPr>
          <w:color w:val="231F20"/>
          <w:vertAlign w:val="baseline"/>
        </w:rPr>
        <w:t>communicate their own decisions.</w:t>
      </w:r>
    </w:p>
    <w:p>
      <w:pPr>
        <w:spacing w:after="0" w:line="266" w:lineRule="auto"/>
        <w:sectPr>
          <w:type w:val="continuous"/>
          <w:pgSz w:w="12240" w:h="15840"/>
          <w:pgMar w:header="0" w:footer="666" w:top="1500" w:bottom="0" w:left="600" w:right="0"/>
          <w:cols w:num="2" w:equalWidth="0">
            <w:col w:w="5198" w:space="562"/>
            <w:col w:w="5880"/>
          </w:cols>
        </w:sectPr>
      </w:pPr>
    </w:p>
    <w:p>
      <w:pPr>
        <w:pStyle w:val="BodyText"/>
        <w:rPr>
          <w:sz w:val="20"/>
        </w:rPr>
      </w:pPr>
    </w:p>
    <w:p>
      <w:pPr>
        <w:pStyle w:val="BodyText"/>
        <w:rPr>
          <w:sz w:val="20"/>
        </w:rPr>
      </w:pPr>
    </w:p>
    <w:p>
      <w:pPr>
        <w:pStyle w:val="BodyText"/>
        <w:spacing w:before="4"/>
        <w:rPr>
          <w:sz w:val="20"/>
        </w:rPr>
      </w:pPr>
    </w:p>
    <w:p>
      <w:pPr>
        <w:pStyle w:val="Heading3"/>
        <w:ind w:left="761" w:right="1359"/>
        <w:jc w:val="center"/>
      </w:pPr>
      <w:r>
        <w:rPr/>
        <w:pict>
          <v:shape style="position:absolute;margin-left:36pt;margin-top:-.382751pt;width:540pt;height:351pt;mso-position-horizontal-relative:page;mso-position-vertical-relative:paragraph;z-index:-17876480" id="docshape96" coordorigin="720,-8" coordsize="10800,7020" path="m11430,-8l810,-8,775,-1,746,19,727,47,720,82,720,6922,727,6957,746,6986,775,7005,810,7012,11430,7012,11465,7005,11494,6986,11513,6957,11520,6922,11520,82,11513,47,11494,19,11465,-1,11430,-8xe" filled="true" fillcolor="#f7e0e0" stroked="false">
            <v:path arrowok="t"/>
            <v:fill type="solid"/>
            <w10:wrap type="none"/>
          </v:shape>
        </w:pict>
      </w:r>
      <w:r>
        <w:rPr>
          <w:color w:val="CE384B"/>
        </w:rPr>
        <w:t>Suicide</w:t>
      </w:r>
      <w:r>
        <w:rPr>
          <w:color w:val="CE384B"/>
          <w:spacing w:val="-1"/>
        </w:rPr>
        <w:t> </w:t>
      </w:r>
      <w:r>
        <w:rPr>
          <w:color w:val="CE384B"/>
        </w:rPr>
        <w:t>Screening and Assessment</w:t>
      </w:r>
    </w:p>
    <w:p>
      <w:pPr>
        <w:spacing w:line="259" w:lineRule="auto" w:before="109"/>
        <w:ind w:left="300" w:right="1027" w:hanging="1"/>
        <w:jc w:val="left"/>
        <w:rPr>
          <w:rFonts w:ascii="Arial"/>
          <w:sz w:val="21"/>
        </w:rPr>
      </w:pPr>
      <w:r>
        <w:rPr>
          <w:rFonts w:ascii="Arial"/>
          <w:color w:val="010202"/>
          <w:spacing w:val="-5"/>
          <w:sz w:val="21"/>
        </w:rPr>
        <w:t>Telehealth modalities provide an effective alternative </w:t>
      </w:r>
      <w:r>
        <w:rPr>
          <w:rFonts w:ascii="Arial"/>
          <w:color w:val="010202"/>
          <w:spacing w:val="-4"/>
          <w:sz w:val="21"/>
        </w:rPr>
        <w:t>to in-person suicide screening and assessment.</w:t>
      </w:r>
      <w:r>
        <w:rPr>
          <w:rFonts w:ascii="Arial"/>
          <w:color w:val="010202"/>
          <w:spacing w:val="-4"/>
          <w:position w:val="7"/>
          <w:sz w:val="12"/>
        </w:rPr>
        <w:t>77 </w:t>
      </w:r>
      <w:r>
        <w:rPr>
          <w:rFonts w:ascii="Arial"/>
          <w:color w:val="010202"/>
          <w:spacing w:val="-4"/>
          <w:sz w:val="21"/>
        </w:rPr>
        <w:t>The following</w:t>
      </w:r>
      <w:r>
        <w:rPr>
          <w:rFonts w:ascii="Arial"/>
          <w:color w:val="010202"/>
          <w:spacing w:val="-56"/>
          <w:sz w:val="21"/>
        </w:rPr>
        <w:t> </w:t>
      </w:r>
      <w:r>
        <w:rPr>
          <w:rFonts w:ascii="Arial"/>
          <w:color w:val="010202"/>
          <w:spacing w:val="-2"/>
          <w:sz w:val="21"/>
        </w:rPr>
        <w:t>suicide</w:t>
      </w:r>
      <w:r>
        <w:rPr>
          <w:rFonts w:ascii="Arial"/>
          <w:color w:val="010202"/>
          <w:spacing w:val="-13"/>
          <w:sz w:val="21"/>
        </w:rPr>
        <w:t> </w:t>
      </w:r>
      <w:r>
        <w:rPr>
          <w:rFonts w:ascii="Arial"/>
          <w:color w:val="010202"/>
          <w:spacing w:val="-2"/>
          <w:sz w:val="21"/>
        </w:rPr>
        <w:t>screening</w:t>
      </w:r>
      <w:r>
        <w:rPr>
          <w:rFonts w:ascii="Arial"/>
          <w:color w:val="010202"/>
          <w:spacing w:val="-12"/>
          <w:sz w:val="21"/>
        </w:rPr>
        <w:t> </w:t>
      </w:r>
      <w:r>
        <w:rPr>
          <w:rFonts w:ascii="Arial"/>
          <w:color w:val="010202"/>
          <w:spacing w:val="-2"/>
          <w:sz w:val="21"/>
        </w:rPr>
        <w:t>and</w:t>
      </w:r>
      <w:r>
        <w:rPr>
          <w:rFonts w:ascii="Arial"/>
          <w:color w:val="010202"/>
          <w:spacing w:val="-13"/>
          <w:sz w:val="21"/>
        </w:rPr>
        <w:t> </w:t>
      </w:r>
      <w:r>
        <w:rPr>
          <w:rFonts w:ascii="Arial"/>
          <w:color w:val="010202"/>
          <w:spacing w:val="-2"/>
          <w:sz w:val="21"/>
        </w:rPr>
        <w:t>assessment</w:t>
      </w:r>
      <w:r>
        <w:rPr>
          <w:rFonts w:ascii="Arial"/>
          <w:color w:val="010202"/>
          <w:spacing w:val="-12"/>
          <w:sz w:val="21"/>
        </w:rPr>
        <w:t> </w:t>
      </w:r>
      <w:r>
        <w:rPr>
          <w:rFonts w:ascii="Arial"/>
          <w:color w:val="010202"/>
          <w:spacing w:val="-2"/>
          <w:sz w:val="21"/>
        </w:rPr>
        <w:t>tools</w:t>
      </w:r>
      <w:r>
        <w:rPr>
          <w:rFonts w:ascii="Arial"/>
          <w:color w:val="010202"/>
          <w:spacing w:val="-13"/>
          <w:sz w:val="21"/>
        </w:rPr>
        <w:t> </w:t>
      </w:r>
      <w:r>
        <w:rPr>
          <w:rFonts w:ascii="Arial"/>
          <w:color w:val="010202"/>
          <w:spacing w:val="-2"/>
          <w:sz w:val="21"/>
        </w:rPr>
        <w:t>can</w:t>
      </w:r>
      <w:r>
        <w:rPr>
          <w:rFonts w:ascii="Arial"/>
          <w:color w:val="010202"/>
          <w:spacing w:val="-12"/>
          <w:sz w:val="21"/>
        </w:rPr>
        <w:t> </w:t>
      </w:r>
      <w:r>
        <w:rPr>
          <w:rFonts w:ascii="Arial"/>
          <w:color w:val="010202"/>
          <w:spacing w:val="-2"/>
          <w:sz w:val="21"/>
        </w:rPr>
        <w:t>be</w:t>
      </w:r>
      <w:r>
        <w:rPr>
          <w:rFonts w:ascii="Arial"/>
          <w:color w:val="010202"/>
          <w:spacing w:val="-13"/>
          <w:sz w:val="21"/>
        </w:rPr>
        <w:t> </w:t>
      </w:r>
      <w:r>
        <w:rPr>
          <w:rFonts w:ascii="Arial"/>
          <w:color w:val="010202"/>
          <w:spacing w:val="-2"/>
          <w:sz w:val="21"/>
        </w:rPr>
        <w:t>implemented</w:t>
      </w:r>
      <w:r>
        <w:rPr>
          <w:rFonts w:ascii="Arial"/>
          <w:color w:val="010202"/>
          <w:spacing w:val="-12"/>
          <w:sz w:val="21"/>
        </w:rPr>
        <w:t> </w:t>
      </w:r>
      <w:r>
        <w:rPr>
          <w:rFonts w:ascii="Arial"/>
          <w:color w:val="010202"/>
          <w:spacing w:val="-2"/>
          <w:sz w:val="21"/>
        </w:rPr>
        <w:t>through</w:t>
      </w:r>
      <w:r>
        <w:rPr>
          <w:rFonts w:ascii="Arial"/>
          <w:color w:val="010202"/>
          <w:spacing w:val="-13"/>
          <w:sz w:val="21"/>
        </w:rPr>
        <w:t> </w:t>
      </w:r>
      <w:r>
        <w:rPr>
          <w:rFonts w:ascii="Arial"/>
          <w:color w:val="010202"/>
          <w:spacing w:val="-2"/>
          <w:sz w:val="21"/>
        </w:rPr>
        <w:t>telehealth</w:t>
      </w:r>
      <w:r>
        <w:rPr>
          <w:rFonts w:ascii="Arial"/>
          <w:color w:val="010202"/>
          <w:spacing w:val="-12"/>
          <w:sz w:val="21"/>
        </w:rPr>
        <w:t> </w:t>
      </w:r>
      <w:r>
        <w:rPr>
          <w:rFonts w:ascii="Arial"/>
          <w:color w:val="010202"/>
          <w:spacing w:val="-1"/>
          <w:sz w:val="21"/>
        </w:rPr>
        <w:t>modalities:</w:t>
      </w:r>
    </w:p>
    <w:p>
      <w:pPr>
        <w:pStyle w:val="ListParagraph"/>
        <w:numPr>
          <w:ilvl w:val="1"/>
          <w:numId w:val="13"/>
        </w:numPr>
        <w:tabs>
          <w:tab w:pos="1019" w:val="left" w:leader="none"/>
          <w:tab w:pos="1020" w:val="left" w:leader="none"/>
        </w:tabs>
        <w:spacing w:line="240" w:lineRule="auto" w:before="164" w:after="0"/>
        <w:ind w:left="1019" w:right="0" w:hanging="361"/>
        <w:jc w:val="left"/>
        <w:rPr>
          <w:rFonts w:ascii="Symbol" w:hAnsi="Symbol"/>
          <w:color w:val="010202"/>
          <w:sz w:val="21"/>
        </w:rPr>
      </w:pPr>
      <w:r>
        <w:rPr>
          <w:rFonts w:ascii="Arial" w:hAnsi="Arial"/>
          <w:color w:val="010202"/>
          <w:sz w:val="21"/>
        </w:rPr>
        <w:t>The</w:t>
      </w:r>
      <w:r>
        <w:rPr>
          <w:rFonts w:ascii="Arial" w:hAnsi="Arial"/>
          <w:color w:val="3953A4"/>
          <w:spacing w:val="-15"/>
          <w:sz w:val="21"/>
        </w:rPr>
        <w:t> </w:t>
      </w:r>
      <w:hyperlink r:id="rId131">
        <w:r>
          <w:rPr>
            <w:rFonts w:ascii="Arial" w:hAnsi="Arial"/>
            <w:color w:val="3953A4"/>
            <w:sz w:val="21"/>
            <w:u w:val="single" w:color="3953A4"/>
          </w:rPr>
          <w:t>Ask</w:t>
        </w:r>
        <w:r>
          <w:rPr>
            <w:rFonts w:ascii="Arial" w:hAnsi="Arial"/>
            <w:color w:val="3953A4"/>
            <w:spacing w:val="-2"/>
            <w:sz w:val="21"/>
            <w:u w:val="single" w:color="3953A4"/>
          </w:rPr>
          <w:t> </w:t>
        </w:r>
        <w:r>
          <w:rPr>
            <w:rFonts w:ascii="Arial" w:hAnsi="Arial"/>
            <w:color w:val="3953A4"/>
            <w:sz w:val="21"/>
            <w:u w:val="single" w:color="3953A4"/>
          </w:rPr>
          <w:t>Suicide-Screening</w:t>
        </w:r>
        <w:r>
          <w:rPr>
            <w:rFonts w:ascii="Arial" w:hAnsi="Arial"/>
            <w:color w:val="3953A4"/>
            <w:spacing w:val="-3"/>
            <w:sz w:val="21"/>
            <w:u w:val="single" w:color="3953A4"/>
          </w:rPr>
          <w:t> </w:t>
        </w:r>
        <w:r>
          <w:rPr>
            <w:rFonts w:ascii="Arial" w:hAnsi="Arial"/>
            <w:color w:val="3953A4"/>
            <w:sz w:val="21"/>
            <w:u w:val="single" w:color="3953A4"/>
          </w:rPr>
          <w:t>Question</w:t>
        </w:r>
        <w:r>
          <w:rPr>
            <w:rFonts w:ascii="Arial" w:hAnsi="Arial"/>
            <w:color w:val="3953A4"/>
            <w:spacing w:val="-6"/>
            <w:sz w:val="21"/>
            <w:u w:val="single" w:color="3953A4"/>
          </w:rPr>
          <w:t> </w:t>
        </w:r>
        <w:r>
          <w:rPr>
            <w:rFonts w:ascii="Arial" w:hAnsi="Arial"/>
            <w:color w:val="3953A4"/>
            <w:sz w:val="21"/>
            <w:u w:val="single" w:color="3953A4"/>
          </w:rPr>
          <w:t>Toolkit</w:t>
        </w:r>
        <w:r>
          <w:rPr>
            <w:rFonts w:ascii="Arial" w:hAnsi="Arial"/>
            <w:color w:val="3953A4"/>
            <w:spacing w:val="-3"/>
            <w:sz w:val="21"/>
            <w:u w:val="single" w:color="3953A4"/>
          </w:rPr>
          <w:t> </w:t>
        </w:r>
        <w:r>
          <w:rPr>
            <w:rFonts w:ascii="Arial" w:hAnsi="Arial"/>
            <w:color w:val="3953A4"/>
            <w:sz w:val="21"/>
            <w:u w:val="single" w:color="3953A4"/>
          </w:rPr>
          <w:t>(ASQ)</w:t>
        </w:r>
        <w:r>
          <w:rPr>
            <w:rFonts w:ascii="Arial" w:hAnsi="Arial"/>
            <w:color w:val="3953A4"/>
            <w:spacing w:val="-3"/>
            <w:sz w:val="21"/>
          </w:rPr>
          <w:t> </w:t>
        </w:r>
      </w:hyperlink>
      <w:r>
        <w:rPr>
          <w:rFonts w:ascii="Arial" w:hAnsi="Arial"/>
          <w:color w:val="010202"/>
          <w:sz w:val="21"/>
        </w:rPr>
        <w:t>from</w:t>
      </w:r>
      <w:r>
        <w:rPr>
          <w:rFonts w:ascii="Arial" w:hAnsi="Arial"/>
          <w:color w:val="010202"/>
          <w:spacing w:val="-2"/>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National</w:t>
      </w:r>
      <w:r>
        <w:rPr>
          <w:rFonts w:ascii="Arial" w:hAnsi="Arial"/>
          <w:color w:val="010202"/>
          <w:spacing w:val="-4"/>
          <w:sz w:val="21"/>
        </w:rPr>
        <w:t> </w:t>
      </w:r>
      <w:r>
        <w:rPr>
          <w:rFonts w:ascii="Arial" w:hAnsi="Arial"/>
          <w:color w:val="010202"/>
          <w:sz w:val="21"/>
        </w:rPr>
        <w:t>Institute</w:t>
      </w:r>
      <w:r>
        <w:rPr>
          <w:rFonts w:ascii="Arial" w:hAnsi="Arial"/>
          <w:color w:val="010202"/>
          <w:spacing w:val="-2"/>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Mental</w:t>
      </w:r>
      <w:r>
        <w:rPr>
          <w:rFonts w:ascii="Arial" w:hAnsi="Arial"/>
          <w:color w:val="010202"/>
          <w:spacing w:val="-3"/>
          <w:sz w:val="21"/>
        </w:rPr>
        <w:t> </w:t>
      </w:r>
      <w:r>
        <w:rPr>
          <w:rFonts w:ascii="Arial" w:hAnsi="Arial"/>
          <w:color w:val="010202"/>
          <w:sz w:val="21"/>
        </w:rPr>
        <w:t>Health</w:t>
      </w:r>
      <w:r>
        <w:rPr>
          <w:rFonts w:ascii="Arial" w:hAnsi="Arial"/>
          <w:color w:val="010202"/>
          <w:spacing w:val="-3"/>
          <w:sz w:val="21"/>
        </w:rPr>
        <w:t> </w:t>
      </w:r>
      <w:r>
        <w:rPr>
          <w:rFonts w:ascii="Arial" w:hAnsi="Arial"/>
          <w:color w:val="010202"/>
          <w:sz w:val="21"/>
        </w:rPr>
        <w:t>(NIMH)</w:t>
      </w:r>
      <w:r>
        <w:rPr>
          <w:rFonts w:ascii="Arial" w:hAnsi="Arial"/>
          <w:color w:val="010202"/>
          <w:spacing w:val="-3"/>
          <w:sz w:val="21"/>
        </w:rPr>
        <w:t> </w:t>
      </w:r>
      <w:r>
        <w:rPr>
          <w:rFonts w:ascii="Arial" w:hAnsi="Arial"/>
          <w:color w:val="010202"/>
          <w:sz w:val="21"/>
        </w:rPr>
        <w:t>is</w:t>
      </w:r>
    </w:p>
    <w:p>
      <w:pPr>
        <w:spacing w:before="17"/>
        <w:ind w:left="1019" w:right="0" w:firstLine="0"/>
        <w:jc w:val="left"/>
        <w:rPr>
          <w:rFonts w:ascii="Arial"/>
          <w:sz w:val="12"/>
        </w:rPr>
      </w:pPr>
      <w:r>
        <w:rPr>
          <w:rFonts w:ascii="Arial"/>
          <w:color w:val="010202"/>
          <w:sz w:val="21"/>
        </w:rPr>
        <w:t>an evidence-based, 20-second, four-question suicide</w:t>
      </w:r>
      <w:r>
        <w:rPr>
          <w:rFonts w:ascii="Arial"/>
          <w:color w:val="010202"/>
          <w:spacing w:val="1"/>
          <w:sz w:val="21"/>
        </w:rPr>
        <w:t> </w:t>
      </w:r>
      <w:r>
        <w:rPr>
          <w:rFonts w:ascii="Arial"/>
          <w:color w:val="010202"/>
          <w:sz w:val="21"/>
        </w:rPr>
        <w:t>screening tool.</w:t>
      </w:r>
      <w:r>
        <w:rPr>
          <w:rFonts w:ascii="Arial"/>
          <w:color w:val="010202"/>
          <w:position w:val="7"/>
          <w:sz w:val="12"/>
        </w:rPr>
        <w:t>78</w:t>
      </w:r>
    </w:p>
    <w:p>
      <w:pPr>
        <w:pStyle w:val="ListParagraph"/>
        <w:numPr>
          <w:ilvl w:val="1"/>
          <w:numId w:val="13"/>
        </w:numPr>
        <w:tabs>
          <w:tab w:pos="1019" w:val="left" w:leader="none"/>
          <w:tab w:pos="1020" w:val="left" w:leader="none"/>
        </w:tabs>
        <w:spacing w:line="256" w:lineRule="auto" w:before="94" w:after="0"/>
        <w:ind w:left="1019" w:right="1059" w:hanging="360"/>
        <w:jc w:val="left"/>
        <w:rPr>
          <w:rFonts w:ascii="Symbol" w:hAnsi="Symbol"/>
          <w:color w:val="010202"/>
          <w:sz w:val="21"/>
        </w:rPr>
      </w:pPr>
      <w:r>
        <w:rPr>
          <w:rFonts w:ascii="Arial" w:hAnsi="Arial"/>
          <w:color w:val="010202"/>
          <w:sz w:val="21"/>
        </w:rPr>
        <w:t>The</w:t>
      </w:r>
      <w:r>
        <w:rPr>
          <w:rFonts w:ascii="Arial" w:hAnsi="Arial"/>
          <w:color w:val="3953A4"/>
          <w:sz w:val="21"/>
        </w:rPr>
        <w:t> </w:t>
      </w:r>
      <w:hyperlink r:id="rId132">
        <w:r>
          <w:rPr>
            <w:rFonts w:ascii="Arial" w:hAnsi="Arial"/>
            <w:color w:val="3953A4"/>
            <w:sz w:val="21"/>
            <w:u w:val="single" w:color="3953A4"/>
          </w:rPr>
          <w:t>Collaborative Assessment and Management of Suicidality (CAMS</w:t>
        </w:r>
      </w:hyperlink>
      <w:r>
        <w:rPr>
          <w:rFonts w:ascii="Arial" w:hAnsi="Arial"/>
          <w:color w:val="3953A4"/>
          <w:sz w:val="21"/>
          <w:u w:val="single" w:color="3953A4"/>
        </w:rPr>
        <w:t>)</w:t>
      </w:r>
      <w:r>
        <w:rPr>
          <w:rFonts w:ascii="Arial" w:hAnsi="Arial"/>
          <w:color w:val="3953A4"/>
          <w:sz w:val="21"/>
        </w:rPr>
        <w:t> </w:t>
      </w:r>
      <w:r>
        <w:rPr>
          <w:rFonts w:ascii="Arial" w:hAnsi="Arial"/>
          <w:color w:val="010202"/>
          <w:sz w:val="21"/>
        </w:rPr>
        <w:t>is an evidence-based</w:t>
      </w:r>
      <w:r>
        <w:rPr>
          <w:rFonts w:ascii="Arial" w:hAnsi="Arial"/>
          <w:color w:val="010202"/>
          <w:spacing w:val="1"/>
          <w:sz w:val="21"/>
        </w:rPr>
        <w:t> </w:t>
      </w:r>
      <w:r>
        <w:rPr>
          <w:rFonts w:ascii="Arial" w:hAnsi="Arial"/>
          <w:color w:val="010202"/>
          <w:sz w:val="21"/>
        </w:rPr>
        <w:t>intervention</w:t>
      </w:r>
      <w:r>
        <w:rPr>
          <w:rFonts w:ascii="Arial" w:hAnsi="Arial"/>
          <w:color w:val="010202"/>
          <w:spacing w:val="-1"/>
          <w:sz w:val="21"/>
        </w:rPr>
        <w:t> </w:t>
      </w:r>
      <w:r>
        <w:rPr>
          <w:rFonts w:ascii="Arial" w:hAnsi="Arial"/>
          <w:color w:val="010202"/>
          <w:sz w:val="21"/>
        </w:rPr>
        <w:t>to</w:t>
      </w:r>
      <w:r>
        <w:rPr>
          <w:rFonts w:ascii="Arial" w:hAnsi="Arial"/>
          <w:color w:val="010202"/>
          <w:spacing w:val="-1"/>
          <w:sz w:val="21"/>
        </w:rPr>
        <w:t> </w:t>
      </w:r>
      <w:r>
        <w:rPr>
          <w:rFonts w:ascii="Arial" w:hAnsi="Arial"/>
          <w:color w:val="010202"/>
          <w:sz w:val="21"/>
        </w:rPr>
        <w:t>assess, treat,</w:t>
      </w:r>
      <w:r>
        <w:rPr>
          <w:rFonts w:ascii="Arial" w:hAnsi="Arial"/>
          <w:color w:val="010202"/>
          <w:spacing w:val="-1"/>
          <w:sz w:val="21"/>
        </w:rPr>
        <w:t> </w:t>
      </w:r>
      <w:r>
        <w:rPr>
          <w:rFonts w:ascii="Arial" w:hAnsi="Arial"/>
          <w:color w:val="010202"/>
          <w:sz w:val="21"/>
        </w:rPr>
        <w:t>and</w:t>
      </w:r>
      <w:r>
        <w:rPr>
          <w:rFonts w:ascii="Arial" w:hAnsi="Arial"/>
          <w:color w:val="010202"/>
          <w:spacing w:val="-1"/>
          <w:sz w:val="21"/>
        </w:rPr>
        <w:t> </w:t>
      </w:r>
      <w:r>
        <w:rPr>
          <w:rFonts w:ascii="Arial" w:hAnsi="Arial"/>
          <w:color w:val="010202"/>
          <w:sz w:val="21"/>
        </w:rPr>
        <w:t>manage clients</w:t>
      </w:r>
      <w:r>
        <w:rPr>
          <w:rFonts w:ascii="Arial" w:hAnsi="Arial"/>
          <w:color w:val="010202"/>
          <w:spacing w:val="-1"/>
          <w:sz w:val="21"/>
        </w:rPr>
        <w:t> </w:t>
      </w:r>
      <w:r>
        <w:rPr>
          <w:rFonts w:ascii="Arial" w:hAnsi="Arial"/>
          <w:color w:val="010202"/>
          <w:sz w:val="21"/>
        </w:rPr>
        <w:t>with</w:t>
      </w:r>
      <w:r>
        <w:rPr>
          <w:rFonts w:ascii="Arial" w:hAnsi="Arial"/>
          <w:color w:val="010202"/>
          <w:spacing w:val="-1"/>
          <w:sz w:val="21"/>
        </w:rPr>
        <w:t> </w:t>
      </w:r>
      <w:r>
        <w:rPr>
          <w:rFonts w:ascii="Arial" w:hAnsi="Arial"/>
          <w:color w:val="010202"/>
          <w:sz w:val="21"/>
        </w:rPr>
        <w:t>suicidal ideation</w:t>
      </w:r>
      <w:r>
        <w:rPr>
          <w:rFonts w:ascii="Arial" w:hAnsi="Arial"/>
          <w:color w:val="010202"/>
          <w:spacing w:val="-1"/>
          <w:sz w:val="21"/>
        </w:rPr>
        <w:t> </w:t>
      </w:r>
      <w:r>
        <w:rPr>
          <w:rFonts w:ascii="Arial" w:hAnsi="Arial"/>
          <w:color w:val="010202"/>
          <w:sz w:val="21"/>
        </w:rPr>
        <w:t>in</w:t>
      </w:r>
      <w:r>
        <w:rPr>
          <w:rFonts w:ascii="Arial" w:hAnsi="Arial"/>
          <w:color w:val="010202"/>
          <w:spacing w:val="-1"/>
          <w:sz w:val="21"/>
        </w:rPr>
        <w:t> </w:t>
      </w:r>
      <w:r>
        <w:rPr>
          <w:rFonts w:ascii="Arial" w:hAnsi="Arial"/>
          <w:color w:val="010202"/>
          <w:sz w:val="21"/>
        </w:rPr>
        <w:t>a range</w:t>
      </w:r>
      <w:r>
        <w:rPr>
          <w:rFonts w:ascii="Arial" w:hAnsi="Arial"/>
          <w:color w:val="010202"/>
          <w:spacing w:val="-1"/>
          <w:sz w:val="21"/>
        </w:rPr>
        <w:t> </w:t>
      </w:r>
      <w:r>
        <w:rPr>
          <w:rFonts w:ascii="Arial" w:hAnsi="Arial"/>
          <w:color w:val="010202"/>
          <w:sz w:val="21"/>
        </w:rPr>
        <w:t>of</w:t>
      </w:r>
      <w:r>
        <w:rPr>
          <w:rFonts w:ascii="Arial" w:hAnsi="Arial"/>
          <w:color w:val="010202"/>
          <w:spacing w:val="-1"/>
          <w:sz w:val="21"/>
        </w:rPr>
        <w:t> </w:t>
      </w:r>
      <w:r>
        <w:rPr>
          <w:rFonts w:ascii="Arial" w:hAnsi="Arial"/>
          <w:color w:val="010202"/>
          <w:sz w:val="21"/>
        </w:rPr>
        <w:t>clinical settings.</w:t>
      </w:r>
      <w:r>
        <w:rPr>
          <w:rFonts w:ascii="Arial" w:hAnsi="Arial"/>
          <w:color w:val="010202"/>
          <w:position w:val="7"/>
          <w:sz w:val="12"/>
        </w:rPr>
        <w:t>79-87</w:t>
      </w:r>
    </w:p>
    <w:p>
      <w:pPr>
        <w:pStyle w:val="ListParagraph"/>
        <w:numPr>
          <w:ilvl w:val="1"/>
          <w:numId w:val="13"/>
        </w:numPr>
        <w:tabs>
          <w:tab w:pos="1019" w:val="left" w:leader="none"/>
          <w:tab w:pos="1020" w:val="left" w:leader="none"/>
        </w:tabs>
        <w:spacing w:line="256" w:lineRule="auto" w:before="76" w:after="0"/>
        <w:ind w:left="1019" w:right="1012" w:hanging="360"/>
        <w:jc w:val="left"/>
        <w:rPr>
          <w:rFonts w:ascii="Symbol" w:hAnsi="Symbol"/>
          <w:color w:val="231F20"/>
          <w:sz w:val="21"/>
        </w:rPr>
      </w:pPr>
      <w:hyperlink r:id="rId133">
        <w:r>
          <w:rPr>
            <w:rFonts w:ascii="Arial" w:hAnsi="Arial"/>
            <w:color w:val="3953A4"/>
            <w:sz w:val="21"/>
            <w:u w:val="single" w:color="3953A4"/>
          </w:rPr>
          <w:t>Columbia-Suicide Severity Rating Scale (C-SSRS)</w:t>
        </w:r>
      </w:hyperlink>
      <w:r>
        <w:rPr>
          <w:rFonts w:ascii="Arial" w:hAnsi="Arial"/>
          <w:color w:val="231F20"/>
          <w:sz w:val="21"/>
        </w:rPr>
        <w:t>, </w:t>
      </w:r>
      <w:r>
        <w:rPr>
          <w:rFonts w:ascii="Arial" w:hAnsi="Arial"/>
          <w:color w:val="010202"/>
          <w:sz w:val="21"/>
        </w:rPr>
        <w:t>also known as the Columbia Protocol, can be used</w:t>
      </w:r>
      <w:r>
        <w:rPr>
          <w:rFonts w:ascii="Arial" w:hAnsi="Arial"/>
          <w:color w:val="010202"/>
          <w:spacing w:val="1"/>
          <w:sz w:val="21"/>
        </w:rPr>
        <w:t> </w:t>
      </w:r>
      <w:r>
        <w:rPr>
          <w:rFonts w:ascii="Arial" w:hAnsi="Arial"/>
          <w:color w:val="010202"/>
          <w:sz w:val="21"/>
        </w:rPr>
        <w:t>to determine whether someone is at risk for suicide, assess the severity and immediacy of that risk, and</w:t>
      </w:r>
      <w:r>
        <w:rPr>
          <w:rFonts w:ascii="Arial" w:hAnsi="Arial"/>
          <w:color w:val="010202"/>
          <w:spacing w:val="-56"/>
          <w:sz w:val="21"/>
        </w:rPr>
        <w:t> </w:t>
      </w:r>
      <w:r>
        <w:rPr>
          <w:rFonts w:ascii="Arial" w:hAnsi="Arial"/>
          <w:color w:val="010202"/>
          <w:sz w:val="21"/>
        </w:rPr>
        <w:t>gauge the level of support the person needs.</w:t>
      </w:r>
      <w:r>
        <w:rPr>
          <w:rFonts w:ascii="Arial" w:hAnsi="Arial"/>
          <w:color w:val="010202"/>
          <w:position w:val="7"/>
          <w:sz w:val="12"/>
        </w:rPr>
        <w:t>88</w:t>
      </w:r>
    </w:p>
    <w:p>
      <w:pPr>
        <w:spacing w:before="153"/>
        <w:ind w:left="300" w:right="0" w:firstLine="0"/>
        <w:jc w:val="left"/>
        <w:rPr>
          <w:rFonts w:ascii="Arial"/>
          <w:sz w:val="21"/>
        </w:rPr>
      </w:pPr>
      <w:r>
        <w:rPr>
          <w:rFonts w:ascii="Arial"/>
          <w:color w:val="231F20"/>
          <w:sz w:val="21"/>
        </w:rPr>
        <w:t>If</w:t>
      </w:r>
      <w:r>
        <w:rPr>
          <w:rFonts w:ascii="Arial"/>
          <w:color w:val="231F20"/>
          <w:spacing w:val="-1"/>
          <w:sz w:val="21"/>
        </w:rPr>
        <w:t> </w:t>
      </w:r>
      <w:r>
        <w:rPr>
          <w:rFonts w:ascii="Arial"/>
          <w:color w:val="231F20"/>
          <w:sz w:val="21"/>
        </w:rPr>
        <w:t>a client is at risk of imminent harm:</w:t>
      </w:r>
    </w:p>
    <w:p>
      <w:pPr>
        <w:pStyle w:val="ListParagraph"/>
        <w:numPr>
          <w:ilvl w:val="1"/>
          <w:numId w:val="14"/>
        </w:numPr>
        <w:tabs>
          <w:tab w:pos="1020" w:val="left" w:leader="none"/>
        </w:tabs>
        <w:spacing w:line="259" w:lineRule="auto" w:before="139" w:after="0"/>
        <w:ind w:left="1019" w:right="1151" w:hanging="360"/>
        <w:jc w:val="left"/>
        <w:rPr>
          <w:rFonts w:ascii="Arial"/>
          <w:sz w:val="21"/>
        </w:rPr>
      </w:pPr>
      <w:r>
        <w:rPr>
          <w:rFonts w:ascii="Arial"/>
          <w:b/>
          <w:color w:val="010202"/>
          <w:sz w:val="21"/>
        </w:rPr>
        <w:t>Assess</w:t>
      </w:r>
      <w:r>
        <w:rPr>
          <w:rFonts w:ascii="Arial"/>
          <w:b/>
          <w:color w:val="010202"/>
          <w:spacing w:val="-2"/>
          <w:sz w:val="21"/>
        </w:rPr>
        <w:t> </w:t>
      </w:r>
      <w:r>
        <w:rPr>
          <w:rFonts w:ascii="Arial"/>
          <w:b/>
          <w:color w:val="010202"/>
          <w:sz w:val="21"/>
        </w:rPr>
        <w:t>immediate</w:t>
      </w:r>
      <w:r>
        <w:rPr>
          <w:rFonts w:ascii="Arial"/>
          <w:b/>
          <w:color w:val="010202"/>
          <w:spacing w:val="-2"/>
          <w:sz w:val="21"/>
        </w:rPr>
        <w:t> </w:t>
      </w:r>
      <w:r>
        <w:rPr>
          <w:rFonts w:ascii="Arial"/>
          <w:b/>
          <w:color w:val="010202"/>
          <w:sz w:val="21"/>
        </w:rPr>
        <w:t>danger.</w:t>
      </w:r>
      <w:r>
        <w:rPr>
          <w:rFonts w:ascii="Arial"/>
          <w:b/>
          <w:color w:val="010202"/>
          <w:spacing w:val="-1"/>
          <w:sz w:val="21"/>
        </w:rPr>
        <w:t> </w:t>
      </w:r>
      <w:r>
        <w:rPr>
          <w:rFonts w:ascii="Arial"/>
          <w:color w:val="010202"/>
          <w:sz w:val="21"/>
        </w:rPr>
        <w:t>If</w:t>
      </w:r>
      <w:r>
        <w:rPr>
          <w:rFonts w:ascii="Arial"/>
          <w:color w:val="010202"/>
          <w:spacing w:val="-2"/>
          <w:sz w:val="21"/>
        </w:rPr>
        <w:t> </w:t>
      </w:r>
      <w:r>
        <w:rPr>
          <w:rFonts w:ascii="Arial"/>
          <w:color w:val="010202"/>
          <w:sz w:val="21"/>
        </w:rPr>
        <w:t>the</w:t>
      </w:r>
      <w:r>
        <w:rPr>
          <w:rFonts w:ascii="Arial"/>
          <w:color w:val="010202"/>
          <w:spacing w:val="-1"/>
          <w:sz w:val="21"/>
        </w:rPr>
        <w:t> </w:t>
      </w:r>
      <w:r>
        <w:rPr>
          <w:rFonts w:ascii="Arial"/>
          <w:color w:val="010202"/>
          <w:sz w:val="21"/>
        </w:rPr>
        <w:t>client</w:t>
      </w:r>
      <w:r>
        <w:rPr>
          <w:rFonts w:ascii="Arial"/>
          <w:color w:val="010202"/>
          <w:spacing w:val="-2"/>
          <w:sz w:val="21"/>
        </w:rPr>
        <w:t> </w:t>
      </w:r>
      <w:r>
        <w:rPr>
          <w:rFonts w:ascii="Arial"/>
          <w:color w:val="010202"/>
          <w:sz w:val="21"/>
        </w:rPr>
        <w:t>is</w:t>
      </w:r>
      <w:r>
        <w:rPr>
          <w:rFonts w:ascii="Arial"/>
          <w:color w:val="010202"/>
          <w:spacing w:val="-2"/>
          <w:sz w:val="21"/>
        </w:rPr>
        <w:t> </w:t>
      </w:r>
      <w:r>
        <w:rPr>
          <w:rFonts w:ascii="Arial"/>
          <w:color w:val="010202"/>
          <w:sz w:val="21"/>
        </w:rPr>
        <w:t>in</w:t>
      </w:r>
      <w:r>
        <w:rPr>
          <w:rFonts w:ascii="Arial"/>
          <w:color w:val="010202"/>
          <w:spacing w:val="-1"/>
          <w:sz w:val="21"/>
        </w:rPr>
        <w:t> </w:t>
      </w:r>
      <w:r>
        <w:rPr>
          <w:rFonts w:ascii="Arial"/>
          <w:color w:val="010202"/>
          <w:sz w:val="21"/>
        </w:rPr>
        <w:t>immediate</w:t>
      </w:r>
      <w:r>
        <w:rPr>
          <w:rFonts w:ascii="Arial"/>
          <w:color w:val="010202"/>
          <w:spacing w:val="-2"/>
          <w:sz w:val="21"/>
        </w:rPr>
        <w:t> </w:t>
      </w:r>
      <w:r>
        <w:rPr>
          <w:rFonts w:ascii="Arial"/>
          <w:color w:val="010202"/>
          <w:sz w:val="21"/>
        </w:rPr>
        <w:t>danger</w:t>
      </w:r>
      <w:r>
        <w:rPr>
          <w:rFonts w:ascii="Arial"/>
          <w:color w:val="010202"/>
          <w:spacing w:val="-1"/>
          <w:sz w:val="21"/>
        </w:rPr>
        <w:t> </w:t>
      </w:r>
      <w:r>
        <w:rPr>
          <w:rFonts w:ascii="Arial"/>
          <w:color w:val="010202"/>
          <w:sz w:val="21"/>
        </w:rPr>
        <w:t>and</w:t>
      </w:r>
      <w:r>
        <w:rPr>
          <w:rFonts w:ascii="Arial"/>
          <w:color w:val="010202"/>
          <w:spacing w:val="-2"/>
          <w:sz w:val="21"/>
        </w:rPr>
        <w:t> </w:t>
      </w:r>
      <w:r>
        <w:rPr>
          <w:rFonts w:ascii="Arial"/>
          <w:color w:val="010202"/>
          <w:sz w:val="21"/>
        </w:rPr>
        <w:t>the</w:t>
      </w:r>
      <w:r>
        <w:rPr>
          <w:rFonts w:ascii="Arial"/>
          <w:color w:val="010202"/>
          <w:spacing w:val="-2"/>
          <w:sz w:val="21"/>
        </w:rPr>
        <w:t> </w:t>
      </w:r>
      <w:r>
        <w:rPr>
          <w:rFonts w:ascii="Arial"/>
          <w:color w:val="010202"/>
          <w:sz w:val="21"/>
        </w:rPr>
        <w:t>provider</w:t>
      </w:r>
      <w:r>
        <w:rPr>
          <w:rFonts w:ascii="Arial"/>
          <w:color w:val="010202"/>
          <w:spacing w:val="-1"/>
          <w:sz w:val="21"/>
        </w:rPr>
        <w:t> </w:t>
      </w:r>
      <w:r>
        <w:rPr>
          <w:rFonts w:ascii="Arial"/>
          <w:color w:val="010202"/>
          <w:sz w:val="21"/>
        </w:rPr>
        <w:t>is</w:t>
      </w:r>
      <w:r>
        <w:rPr>
          <w:rFonts w:ascii="Arial"/>
          <w:color w:val="010202"/>
          <w:spacing w:val="-2"/>
          <w:sz w:val="21"/>
        </w:rPr>
        <w:t> </w:t>
      </w:r>
      <w:r>
        <w:rPr>
          <w:rFonts w:ascii="Arial"/>
          <w:color w:val="010202"/>
          <w:sz w:val="21"/>
        </w:rPr>
        <w:t>unable</w:t>
      </w:r>
      <w:r>
        <w:rPr>
          <w:rFonts w:ascii="Arial"/>
          <w:color w:val="010202"/>
          <w:spacing w:val="-1"/>
          <w:sz w:val="21"/>
        </w:rPr>
        <w:t> </w:t>
      </w:r>
      <w:r>
        <w:rPr>
          <w:rFonts w:ascii="Arial"/>
          <w:color w:val="010202"/>
          <w:sz w:val="21"/>
        </w:rPr>
        <w:t>to</w:t>
      </w:r>
      <w:r>
        <w:rPr>
          <w:rFonts w:ascii="Arial"/>
          <w:color w:val="010202"/>
          <w:spacing w:val="-2"/>
          <w:sz w:val="21"/>
        </w:rPr>
        <w:t> </w:t>
      </w:r>
      <w:r>
        <w:rPr>
          <w:rFonts w:ascii="Arial"/>
          <w:color w:val="010202"/>
          <w:sz w:val="21"/>
        </w:rPr>
        <w:t>detain</w:t>
      </w:r>
      <w:r>
        <w:rPr>
          <w:rFonts w:ascii="Arial"/>
          <w:color w:val="010202"/>
          <w:spacing w:val="-2"/>
          <w:sz w:val="21"/>
        </w:rPr>
        <w:t> </w:t>
      </w:r>
      <w:r>
        <w:rPr>
          <w:rFonts w:ascii="Arial"/>
          <w:color w:val="010202"/>
          <w:sz w:val="21"/>
        </w:rPr>
        <w:t>or</w:t>
      </w:r>
      <w:r>
        <w:rPr>
          <w:rFonts w:ascii="Arial"/>
          <w:color w:val="010202"/>
          <w:spacing w:val="-55"/>
          <w:sz w:val="21"/>
        </w:rPr>
        <w:t> </w:t>
      </w:r>
      <w:r>
        <w:rPr>
          <w:rFonts w:ascii="Arial"/>
          <w:color w:val="010202"/>
          <w:sz w:val="21"/>
        </w:rPr>
        <w:t>physically</w:t>
      </w:r>
      <w:r>
        <w:rPr>
          <w:rFonts w:ascii="Arial"/>
          <w:color w:val="010202"/>
          <w:spacing w:val="-1"/>
          <w:sz w:val="21"/>
        </w:rPr>
        <w:t> </w:t>
      </w:r>
      <w:r>
        <w:rPr>
          <w:rFonts w:ascii="Arial"/>
          <w:color w:val="010202"/>
          <w:sz w:val="21"/>
        </w:rPr>
        <w:t>intervene, the provider must contact emergency services.</w:t>
      </w:r>
    </w:p>
    <w:p>
      <w:pPr>
        <w:pStyle w:val="ListParagraph"/>
        <w:numPr>
          <w:ilvl w:val="1"/>
          <w:numId w:val="14"/>
        </w:numPr>
        <w:tabs>
          <w:tab w:pos="1020" w:val="left" w:leader="none"/>
        </w:tabs>
        <w:spacing w:line="240" w:lineRule="auto" w:before="89" w:after="0"/>
        <w:ind w:left="1019" w:right="0" w:hanging="361"/>
        <w:jc w:val="left"/>
        <w:rPr>
          <w:rFonts w:ascii="Arial" w:hAnsi="Arial"/>
          <w:sz w:val="21"/>
        </w:rPr>
      </w:pPr>
      <w:r>
        <w:rPr>
          <w:rFonts w:ascii="Arial" w:hAnsi="Arial"/>
          <w:b/>
          <w:color w:val="010202"/>
          <w:sz w:val="21"/>
        </w:rPr>
        <w:t>Identify</w:t>
      </w:r>
      <w:r>
        <w:rPr>
          <w:rFonts w:ascii="Arial" w:hAnsi="Arial"/>
          <w:b/>
          <w:color w:val="010202"/>
          <w:spacing w:val="-3"/>
          <w:sz w:val="21"/>
        </w:rPr>
        <w:t> </w:t>
      </w:r>
      <w:r>
        <w:rPr>
          <w:rFonts w:ascii="Arial" w:hAnsi="Arial"/>
          <w:b/>
          <w:color w:val="010202"/>
          <w:sz w:val="21"/>
        </w:rPr>
        <w:t>the</w:t>
      </w:r>
      <w:r>
        <w:rPr>
          <w:rFonts w:ascii="Arial" w:hAnsi="Arial"/>
          <w:b/>
          <w:color w:val="010202"/>
          <w:spacing w:val="-2"/>
          <w:sz w:val="21"/>
        </w:rPr>
        <w:t> </w:t>
      </w:r>
      <w:r>
        <w:rPr>
          <w:rFonts w:ascii="Arial" w:hAnsi="Arial"/>
          <w:b/>
          <w:color w:val="010202"/>
          <w:sz w:val="21"/>
        </w:rPr>
        <w:t>client’s</w:t>
      </w:r>
      <w:r>
        <w:rPr>
          <w:rFonts w:ascii="Arial" w:hAnsi="Arial"/>
          <w:b/>
          <w:color w:val="010202"/>
          <w:spacing w:val="-3"/>
          <w:sz w:val="21"/>
        </w:rPr>
        <w:t> </w:t>
      </w:r>
      <w:r>
        <w:rPr>
          <w:rFonts w:ascii="Arial" w:hAnsi="Arial"/>
          <w:b/>
          <w:color w:val="010202"/>
          <w:sz w:val="21"/>
        </w:rPr>
        <w:t>location</w:t>
      </w:r>
      <w:r>
        <w:rPr>
          <w:rFonts w:ascii="Arial" w:hAnsi="Arial"/>
          <w:b/>
          <w:color w:val="010202"/>
          <w:spacing w:val="-3"/>
          <w:sz w:val="21"/>
        </w:rPr>
        <w:t> </w:t>
      </w:r>
      <w:r>
        <w:rPr>
          <w:rFonts w:ascii="Arial" w:hAnsi="Arial"/>
          <w:color w:val="010202"/>
          <w:sz w:val="21"/>
        </w:rPr>
        <w:t>in</w:t>
      </w:r>
      <w:r>
        <w:rPr>
          <w:rFonts w:ascii="Arial" w:hAnsi="Arial"/>
          <w:color w:val="010202"/>
          <w:spacing w:val="-2"/>
          <w:sz w:val="21"/>
        </w:rPr>
        <w:t> </w:t>
      </w:r>
      <w:r>
        <w:rPr>
          <w:rFonts w:ascii="Arial" w:hAnsi="Arial"/>
          <w:color w:val="010202"/>
          <w:sz w:val="21"/>
        </w:rPr>
        <w:t>case</w:t>
      </w:r>
      <w:r>
        <w:rPr>
          <w:rFonts w:ascii="Arial" w:hAnsi="Arial"/>
          <w:color w:val="010202"/>
          <w:spacing w:val="-3"/>
          <w:sz w:val="21"/>
        </w:rPr>
        <w:t> </w:t>
      </w:r>
      <w:r>
        <w:rPr>
          <w:rFonts w:ascii="Arial" w:hAnsi="Arial"/>
          <w:color w:val="010202"/>
          <w:sz w:val="21"/>
        </w:rPr>
        <w:t>emergency</w:t>
      </w:r>
      <w:r>
        <w:rPr>
          <w:rFonts w:ascii="Arial" w:hAnsi="Arial"/>
          <w:color w:val="010202"/>
          <w:spacing w:val="-2"/>
          <w:sz w:val="21"/>
        </w:rPr>
        <w:t> </w:t>
      </w:r>
      <w:r>
        <w:rPr>
          <w:rFonts w:ascii="Arial" w:hAnsi="Arial"/>
          <w:color w:val="010202"/>
          <w:sz w:val="21"/>
        </w:rPr>
        <w:t>services</w:t>
      </w:r>
      <w:r>
        <w:rPr>
          <w:rFonts w:ascii="Arial" w:hAnsi="Arial"/>
          <w:color w:val="010202"/>
          <w:spacing w:val="-3"/>
          <w:sz w:val="21"/>
        </w:rPr>
        <w:t> </w:t>
      </w:r>
      <w:r>
        <w:rPr>
          <w:rFonts w:ascii="Arial" w:hAnsi="Arial"/>
          <w:color w:val="010202"/>
          <w:sz w:val="21"/>
        </w:rPr>
        <w:t>are</w:t>
      </w:r>
      <w:r>
        <w:rPr>
          <w:rFonts w:ascii="Arial" w:hAnsi="Arial"/>
          <w:color w:val="010202"/>
          <w:spacing w:val="-2"/>
          <w:sz w:val="21"/>
        </w:rPr>
        <w:t> </w:t>
      </w:r>
      <w:r>
        <w:rPr>
          <w:rFonts w:ascii="Arial" w:hAnsi="Arial"/>
          <w:color w:val="010202"/>
          <w:sz w:val="21"/>
        </w:rPr>
        <w:t>necessary.</w:t>
      </w:r>
    </w:p>
    <w:p>
      <w:pPr>
        <w:pStyle w:val="ListParagraph"/>
        <w:numPr>
          <w:ilvl w:val="1"/>
          <w:numId w:val="14"/>
        </w:numPr>
        <w:tabs>
          <w:tab w:pos="1020" w:val="left" w:leader="none"/>
        </w:tabs>
        <w:spacing w:line="259" w:lineRule="auto" w:before="108" w:after="0"/>
        <w:ind w:left="1019" w:right="977" w:hanging="360"/>
        <w:jc w:val="left"/>
        <w:rPr>
          <w:rFonts w:ascii="Arial"/>
          <w:sz w:val="12"/>
        </w:rPr>
      </w:pPr>
      <w:r>
        <w:rPr>
          <w:rFonts w:ascii="Arial"/>
          <w:b/>
          <w:color w:val="010202"/>
          <w:sz w:val="21"/>
        </w:rPr>
        <w:t>Work with other care providers (e.g., suicide prevention coordinators) when contacting</w:t>
      </w:r>
      <w:r>
        <w:rPr>
          <w:rFonts w:ascii="Arial"/>
          <w:b/>
          <w:color w:val="010202"/>
          <w:spacing w:val="1"/>
          <w:sz w:val="21"/>
        </w:rPr>
        <w:t> </w:t>
      </w:r>
      <w:r>
        <w:rPr>
          <w:rFonts w:ascii="Arial"/>
          <w:b/>
          <w:color w:val="010202"/>
          <w:sz w:val="21"/>
        </w:rPr>
        <w:t>emergency services. </w:t>
      </w:r>
      <w:r>
        <w:rPr>
          <w:rFonts w:ascii="Arial"/>
          <w:color w:val="010202"/>
          <w:sz w:val="21"/>
        </w:rPr>
        <w:t>Remain connected with the client as the client connects with emergency services</w:t>
      </w:r>
      <w:r>
        <w:rPr>
          <w:rFonts w:ascii="Arial"/>
          <w:color w:val="010202"/>
          <w:spacing w:val="-57"/>
          <w:sz w:val="21"/>
        </w:rPr>
        <w:t> </w:t>
      </w:r>
      <w:r>
        <w:rPr>
          <w:rFonts w:ascii="Arial"/>
          <w:color w:val="010202"/>
          <w:sz w:val="21"/>
        </w:rPr>
        <w:t>or while arranging hospitalization.</w:t>
      </w:r>
      <w:r>
        <w:rPr>
          <w:rFonts w:ascii="Arial"/>
          <w:color w:val="010202"/>
          <w:position w:val="7"/>
          <w:sz w:val="12"/>
        </w:rPr>
        <w:t>89</w:t>
      </w:r>
    </w:p>
    <w:p>
      <w:pPr>
        <w:pStyle w:val="ListParagraph"/>
        <w:numPr>
          <w:ilvl w:val="1"/>
          <w:numId w:val="14"/>
        </w:numPr>
        <w:tabs>
          <w:tab w:pos="1020" w:val="left" w:leader="none"/>
        </w:tabs>
        <w:spacing w:line="259" w:lineRule="auto" w:before="88" w:after="0"/>
        <w:ind w:left="1019" w:right="1444" w:hanging="360"/>
        <w:jc w:val="left"/>
        <w:rPr>
          <w:rFonts w:ascii="Arial"/>
          <w:sz w:val="12"/>
        </w:rPr>
      </w:pPr>
      <w:r>
        <w:rPr>
          <w:rFonts w:ascii="Arial"/>
          <w:b/>
          <w:color w:val="010202"/>
          <w:sz w:val="21"/>
        </w:rPr>
        <w:t>Support clients as they navigate the triage process at an emergency department. </w:t>
      </w:r>
      <w:r>
        <w:rPr>
          <w:rFonts w:ascii="Arial"/>
          <w:color w:val="010202"/>
          <w:sz w:val="21"/>
        </w:rPr>
        <w:t>Treatment</w:t>
      </w:r>
      <w:r>
        <w:rPr>
          <w:rFonts w:ascii="Arial"/>
          <w:color w:val="010202"/>
          <w:spacing w:val="1"/>
          <w:sz w:val="21"/>
        </w:rPr>
        <w:t> </w:t>
      </w:r>
      <w:r>
        <w:rPr>
          <w:rFonts w:ascii="Arial"/>
          <w:color w:val="010202"/>
          <w:sz w:val="21"/>
        </w:rPr>
        <w:t>programs should have safety protocols to mitigate risks and create a workflow to support the client;</w:t>
      </w:r>
      <w:r>
        <w:rPr>
          <w:rFonts w:ascii="Arial"/>
          <w:color w:val="010202"/>
          <w:spacing w:val="-57"/>
          <w:sz w:val="21"/>
        </w:rPr>
        <w:t> </w:t>
      </w:r>
      <w:r>
        <w:rPr>
          <w:rFonts w:ascii="Arial"/>
          <w:color w:val="010202"/>
          <w:sz w:val="21"/>
        </w:rPr>
        <w:t>providers should determine the suicide risk level with criteria that identify the appropriate clinical</w:t>
      </w:r>
      <w:r>
        <w:rPr>
          <w:rFonts w:ascii="Arial"/>
          <w:color w:val="010202"/>
          <w:spacing w:val="1"/>
          <w:sz w:val="21"/>
        </w:rPr>
        <w:t> </w:t>
      </w:r>
      <w:r>
        <w:rPr>
          <w:rFonts w:ascii="Arial"/>
          <w:color w:val="010202"/>
          <w:sz w:val="21"/>
        </w:rPr>
        <w:t>response.</w:t>
      </w:r>
      <w:r>
        <w:rPr>
          <w:rFonts w:ascii="Arial"/>
          <w:color w:val="010202"/>
          <w:position w:val="7"/>
          <w:sz w:val="12"/>
        </w:rPr>
        <w:t>90, 91</w:t>
      </w:r>
    </w:p>
    <w:p>
      <w:pPr>
        <w:pStyle w:val="BodyText"/>
        <w:rPr>
          <w:rFonts w:ascii="Arial"/>
        </w:rPr>
      </w:pPr>
    </w:p>
    <w:p>
      <w:pPr>
        <w:pStyle w:val="BodyText"/>
        <w:spacing w:before="8"/>
        <w:rPr>
          <w:rFonts w:ascii="Arial"/>
          <w:sz w:val="29"/>
        </w:rPr>
      </w:pPr>
    </w:p>
    <w:p>
      <w:pPr>
        <w:pStyle w:val="Heading5"/>
        <w:spacing w:before="1"/>
      </w:pPr>
      <w:r>
        <w:rPr/>
        <w:drawing>
          <wp:anchor distT="0" distB="0" distL="0" distR="0" allowOverlap="1" layoutInCell="1" locked="0" behindDoc="0" simplePos="0" relativeHeight="15744512">
            <wp:simplePos x="0" y="0"/>
            <wp:positionH relativeFrom="page">
              <wp:posOffset>4114800</wp:posOffset>
            </wp:positionH>
            <wp:positionV relativeFrom="paragraph">
              <wp:posOffset>29954</wp:posOffset>
            </wp:positionV>
            <wp:extent cx="3200400" cy="3767339"/>
            <wp:effectExtent l="0" t="0" r="0" b="0"/>
            <wp:wrapNone/>
            <wp:docPr id="33" name="image16.png" descr="Picture of a person using a tablet.   "/>
            <wp:cNvGraphicFramePr>
              <a:graphicFrameLocks noChangeAspect="1"/>
            </wp:cNvGraphicFramePr>
            <a:graphic>
              <a:graphicData uri="http://schemas.openxmlformats.org/drawingml/2006/picture">
                <pic:pic>
                  <pic:nvPicPr>
                    <pic:cNvPr id="34" name="image16.png"/>
                    <pic:cNvPicPr/>
                  </pic:nvPicPr>
                  <pic:blipFill>
                    <a:blip r:embed="rId134" cstate="print"/>
                    <a:stretch>
                      <a:fillRect/>
                    </a:stretch>
                  </pic:blipFill>
                  <pic:spPr>
                    <a:xfrm>
                      <a:off x="0" y="0"/>
                      <a:ext cx="3200400" cy="3767339"/>
                    </a:xfrm>
                    <a:prstGeom prst="rect">
                      <a:avLst/>
                    </a:prstGeom>
                  </pic:spPr>
                </pic:pic>
              </a:graphicData>
            </a:graphic>
          </wp:anchor>
        </w:drawing>
      </w:r>
      <w:r>
        <w:rPr>
          <w:color w:val="CE384B"/>
        </w:rPr>
        <w:t>Future Directions</w:t>
      </w:r>
    </w:p>
    <w:p>
      <w:pPr>
        <w:pStyle w:val="BodyText"/>
        <w:spacing w:before="118"/>
        <w:ind w:left="120"/>
      </w:pPr>
      <w:r>
        <w:rPr>
          <w:color w:val="231F20"/>
        </w:rPr>
        <w:t>This</w:t>
      </w:r>
      <w:r>
        <w:rPr>
          <w:color w:val="231F20"/>
          <w:spacing w:val="-1"/>
        </w:rPr>
        <w:t> </w:t>
      </w:r>
      <w:r>
        <w:rPr>
          <w:color w:val="231F20"/>
        </w:rPr>
        <w:t>evidence review supported conclusions related to</w:t>
      </w:r>
    </w:p>
    <w:p>
      <w:pPr>
        <w:spacing w:before="27"/>
        <w:ind w:left="120" w:right="0" w:firstLine="0"/>
        <w:jc w:val="left"/>
        <w:rPr>
          <w:sz w:val="22"/>
        </w:rPr>
      </w:pPr>
      <w:r>
        <w:rPr>
          <w:i/>
          <w:color w:val="231F20"/>
          <w:sz w:val="22"/>
        </w:rPr>
        <w:t>treatment</w:t>
      </w:r>
      <w:r>
        <w:rPr>
          <w:i/>
          <w:color w:val="231F20"/>
          <w:spacing w:val="-5"/>
          <w:sz w:val="22"/>
        </w:rPr>
        <w:t> </w:t>
      </w:r>
      <w:r>
        <w:rPr>
          <w:i/>
          <w:color w:val="231F20"/>
          <w:sz w:val="22"/>
        </w:rPr>
        <w:t>outcomes</w:t>
      </w:r>
      <w:r>
        <w:rPr>
          <w:color w:val="231F20"/>
          <w:sz w:val="22"/>
        </w:rPr>
        <w:t>:</w:t>
      </w:r>
    </w:p>
    <w:p>
      <w:pPr>
        <w:pStyle w:val="ListParagraph"/>
        <w:numPr>
          <w:ilvl w:val="0"/>
          <w:numId w:val="13"/>
        </w:numPr>
        <w:tabs>
          <w:tab w:pos="839" w:val="left" w:leader="none"/>
          <w:tab w:pos="840" w:val="left" w:leader="none"/>
        </w:tabs>
        <w:spacing w:line="264" w:lineRule="auto" w:before="191" w:after="0"/>
        <w:ind w:left="839" w:right="6728" w:hanging="360"/>
        <w:jc w:val="left"/>
        <w:rPr>
          <w:sz w:val="22"/>
        </w:rPr>
      </w:pPr>
      <w:r>
        <w:rPr>
          <w:color w:val="010202"/>
          <w:sz w:val="22"/>
        </w:rPr>
        <w:t>Telehealth</w:t>
      </w:r>
      <w:r>
        <w:rPr>
          <w:color w:val="010202"/>
          <w:spacing w:val="2"/>
          <w:sz w:val="22"/>
        </w:rPr>
        <w:t> </w:t>
      </w:r>
      <w:r>
        <w:rPr>
          <w:color w:val="010202"/>
          <w:sz w:val="22"/>
        </w:rPr>
        <w:t>is</w:t>
      </w:r>
      <w:r>
        <w:rPr>
          <w:color w:val="010202"/>
          <w:spacing w:val="2"/>
          <w:sz w:val="22"/>
        </w:rPr>
        <w:t> </w:t>
      </w:r>
      <w:r>
        <w:rPr>
          <w:color w:val="010202"/>
          <w:sz w:val="22"/>
        </w:rPr>
        <w:t>effective</w:t>
      </w:r>
      <w:r>
        <w:rPr>
          <w:color w:val="010202"/>
          <w:spacing w:val="2"/>
          <w:sz w:val="22"/>
        </w:rPr>
        <w:t> </w:t>
      </w:r>
      <w:r>
        <w:rPr>
          <w:color w:val="010202"/>
          <w:sz w:val="22"/>
        </w:rPr>
        <w:t>across</w:t>
      </w:r>
      <w:r>
        <w:rPr>
          <w:color w:val="010202"/>
          <w:spacing w:val="2"/>
          <w:sz w:val="22"/>
        </w:rPr>
        <w:t> </w:t>
      </w:r>
      <w:r>
        <w:rPr>
          <w:color w:val="010202"/>
          <w:sz w:val="22"/>
        </w:rPr>
        <w:t>the</w:t>
      </w:r>
      <w:r>
        <w:rPr>
          <w:color w:val="010202"/>
          <w:spacing w:val="2"/>
          <w:sz w:val="22"/>
        </w:rPr>
        <w:t> </w:t>
      </w:r>
      <w:r>
        <w:rPr>
          <w:color w:val="010202"/>
          <w:sz w:val="22"/>
        </w:rPr>
        <w:t>continuum</w:t>
      </w:r>
      <w:r>
        <w:rPr>
          <w:color w:val="010202"/>
          <w:spacing w:val="1"/>
          <w:sz w:val="22"/>
        </w:rPr>
        <w:t> </w:t>
      </w:r>
      <w:r>
        <w:rPr>
          <w:color w:val="010202"/>
          <w:sz w:val="22"/>
        </w:rPr>
        <w:t>of care for SMI and SUD, including screening</w:t>
      </w:r>
      <w:r>
        <w:rPr>
          <w:color w:val="010202"/>
          <w:spacing w:val="-52"/>
          <w:sz w:val="22"/>
        </w:rPr>
        <w:t> </w:t>
      </w:r>
      <w:r>
        <w:rPr>
          <w:color w:val="010202"/>
          <w:sz w:val="22"/>
        </w:rPr>
        <w:t>and assessment,</w:t>
      </w:r>
      <w:r>
        <w:rPr>
          <w:color w:val="010202"/>
          <w:spacing w:val="-1"/>
          <w:sz w:val="22"/>
        </w:rPr>
        <w:t> </w:t>
      </w:r>
      <w:r>
        <w:rPr>
          <w:color w:val="010202"/>
          <w:sz w:val="22"/>
        </w:rPr>
        <w:t>treatments, including</w:t>
      </w:r>
    </w:p>
    <w:p>
      <w:pPr>
        <w:pStyle w:val="BodyText"/>
        <w:spacing w:line="266" w:lineRule="auto" w:before="3"/>
        <w:ind w:left="839" w:right="6476"/>
      </w:pPr>
      <w:r>
        <w:rPr>
          <w:color w:val="010202"/>
        </w:rPr>
        <w:t>pharmacotherapy, medication management, and</w:t>
      </w:r>
      <w:r>
        <w:rPr>
          <w:color w:val="010202"/>
          <w:spacing w:val="1"/>
        </w:rPr>
        <w:t> </w:t>
      </w:r>
      <w:r>
        <w:rPr>
          <w:color w:val="010202"/>
        </w:rPr>
        <w:t>behavioral</w:t>
      </w:r>
      <w:r>
        <w:rPr>
          <w:color w:val="010202"/>
          <w:spacing w:val="-5"/>
        </w:rPr>
        <w:t> </w:t>
      </w:r>
      <w:r>
        <w:rPr>
          <w:color w:val="010202"/>
        </w:rPr>
        <w:t>therapies,</w:t>
      </w:r>
      <w:r>
        <w:rPr>
          <w:color w:val="010202"/>
          <w:spacing w:val="-5"/>
        </w:rPr>
        <w:t> </w:t>
      </w:r>
      <w:r>
        <w:rPr>
          <w:color w:val="010202"/>
        </w:rPr>
        <w:t>case</w:t>
      </w:r>
      <w:r>
        <w:rPr>
          <w:color w:val="010202"/>
          <w:spacing w:val="-5"/>
        </w:rPr>
        <w:t> </w:t>
      </w:r>
      <w:r>
        <w:rPr>
          <w:color w:val="010202"/>
        </w:rPr>
        <w:t>management,</w:t>
      </w:r>
      <w:r>
        <w:rPr>
          <w:color w:val="010202"/>
          <w:spacing w:val="-5"/>
        </w:rPr>
        <w:t> </w:t>
      </w:r>
      <w:r>
        <w:rPr>
          <w:color w:val="010202"/>
        </w:rPr>
        <w:t>recovery</w:t>
      </w:r>
      <w:r>
        <w:rPr>
          <w:color w:val="010202"/>
          <w:spacing w:val="-52"/>
        </w:rPr>
        <w:t> </w:t>
      </w:r>
      <w:r>
        <w:rPr>
          <w:color w:val="010202"/>
        </w:rPr>
        <w:t>supports, and crisis services.</w:t>
      </w:r>
    </w:p>
    <w:p>
      <w:pPr>
        <w:pStyle w:val="ListParagraph"/>
        <w:numPr>
          <w:ilvl w:val="0"/>
          <w:numId w:val="13"/>
        </w:numPr>
        <w:tabs>
          <w:tab w:pos="839" w:val="left" w:leader="none"/>
          <w:tab w:pos="840" w:val="left" w:leader="none"/>
        </w:tabs>
        <w:spacing w:line="264" w:lineRule="auto" w:before="29" w:after="0"/>
        <w:ind w:left="839" w:right="6613" w:hanging="360"/>
        <w:jc w:val="left"/>
        <w:rPr>
          <w:sz w:val="22"/>
        </w:rPr>
      </w:pPr>
      <w:r>
        <w:rPr>
          <w:color w:val="010202"/>
          <w:sz w:val="22"/>
        </w:rPr>
        <w:t>Evidence-based treatments for SMI and SUD,</w:t>
      </w:r>
      <w:r>
        <w:rPr>
          <w:color w:val="010202"/>
          <w:spacing w:val="1"/>
          <w:sz w:val="22"/>
        </w:rPr>
        <w:t> </w:t>
      </w:r>
      <w:r>
        <w:rPr>
          <w:color w:val="010202"/>
          <w:sz w:val="22"/>
        </w:rPr>
        <w:t>traditionally provided face-to-face, are also</w:t>
      </w:r>
      <w:r>
        <w:rPr>
          <w:color w:val="010202"/>
          <w:spacing w:val="1"/>
          <w:sz w:val="22"/>
        </w:rPr>
        <w:t> </w:t>
      </w:r>
      <w:r>
        <w:rPr>
          <w:color w:val="010202"/>
          <w:sz w:val="22"/>
        </w:rPr>
        <w:t>effective when delivered using telehealth and</w:t>
      </w:r>
      <w:r>
        <w:rPr>
          <w:color w:val="010202"/>
          <w:spacing w:val="1"/>
          <w:sz w:val="22"/>
        </w:rPr>
        <w:t> </w:t>
      </w:r>
      <w:r>
        <w:rPr>
          <w:color w:val="010202"/>
          <w:sz w:val="22"/>
        </w:rPr>
        <w:t>have outcomes comparable to in-person service</w:t>
      </w:r>
      <w:r>
        <w:rPr>
          <w:color w:val="010202"/>
          <w:spacing w:val="-52"/>
          <w:sz w:val="22"/>
        </w:rPr>
        <w:t> </w:t>
      </w:r>
      <w:r>
        <w:rPr>
          <w:color w:val="010202"/>
          <w:sz w:val="22"/>
        </w:rPr>
        <w:t>delivery.</w:t>
      </w:r>
    </w:p>
    <w:p>
      <w:pPr>
        <w:pStyle w:val="ListParagraph"/>
        <w:numPr>
          <w:ilvl w:val="0"/>
          <w:numId w:val="13"/>
        </w:numPr>
        <w:tabs>
          <w:tab w:pos="839" w:val="left" w:leader="none"/>
          <w:tab w:pos="840" w:val="left" w:leader="none"/>
        </w:tabs>
        <w:spacing w:line="266" w:lineRule="auto" w:before="37" w:after="0"/>
        <w:ind w:left="839" w:right="6692" w:hanging="360"/>
        <w:jc w:val="left"/>
        <w:rPr>
          <w:sz w:val="22"/>
        </w:rPr>
      </w:pPr>
      <w:r>
        <w:rPr>
          <w:color w:val="010202"/>
          <w:sz w:val="22"/>
        </w:rPr>
        <w:t>Therapeutic services provided using telehealth</w:t>
      </w:r>
      <w:r>
        <w:rPr>
          <w:color w:val="010202"/>
          <w:spacing w:val="-52"/>
          <w:sz w:val="22"/>
        </w:rPr>
        <w:t> </w:t>
      </w:r>
      <w:r>
        <w:rPr>
          <w:color w:val="010202"/>
          <w:sz w:val="22"/>
        </w:rPr>
        <w:t>modalities generate positive outcomes for the</w:t>
      </w:r>
      <w:r>
        <w:rPr>
          <w:color w:val="010202"/>
          <w:spacing w:val="1"/>
          <w:sz w:val="22"/>
        </w:rPr>
        <w:t> </w:t>
      </w:r>
      <w:r>
        <w:rPr>
          <w:color w:val="010202"/>
          <w:sz w:val="22"/>
        </w:rPr>
        <w:t>client, including engagement in treatment,</w:t>
      </w:r>
      <w:r>
        <w:rPr>
          <w:color w:val="010202"/>
          <w:spacing w:val="1"/>
          <w:sz w:val="22"/>
        </w:rPr>
        <w:t> </w:t>
      </w:r>
      <w:r>
        <w:rPr>
          <w:color w:val="010202"/>
          <w:sz w:val="22"/>
        </w:rPr>
        <w:t>retention in care, and client satisfaction, which</w:t>
      </w:r>
      <w:r>
        <w:rPr>
          <w:color w:val="010202"/>
          <w:spacing w:val="-52"/>
          <w:sz w:val="22"/>
        </w:rPr>
        <w:t> </w:t>
      </w:r>
      <w:r>
        <w:rPr>
          <w:color w:val="010202"/>
          <w:sz w:val="22"/>
        </w:rPr>
        <w:t>in turn lead to improved long-term health</w:t>
      </w:r>
      <w:r>
        <w:rPr>
          <w:color w:val="010202"/>
          <w:spacing w:val="1"/>
          <w:sz w:val="22"/>
        </w:rPr>
        <w:t> </w:t>
      </w:r>
      <w:r>
        <w:rPr>
          <w:color w:val="010202"/>
          <w:sz w:val="22"/>
        </w:rPr>
        <w:t>outcomes.</w:t>
      </w:r>
    </w:p>
    <w:p>
      <w:pPr>
        <w:spacing w:after="0" w:line="266" w:lineRule="auto"/>
        <w:jc w:val="left"/>
        <w:rPr>
          <w:sz w:val="22"/>
        </w:rPr>
        <w:sectPr>
          <w:pgSz w:w="12240" w:h="15840"/>
          <w:pgMar w:header="0" w:footer="666" w:top="380" w:bottom="860" w:left="600" w:right="0"/>
        </w:sectPr>
      </w:pPr>
    </w:p>
    <w:p>
      <w:pPr>
        <w:pStyle w:val="BodyText"/>
        <w:rPr>
          <w:sz w:val="20"/>
        </w:rPr>
      </w:pPr>
    </w:p>
    <w:p>
      <w:pPr>
        <w:pStyle w:val="BodyText"/>
        <w:rPr>
          <w:sz w:val="25"/>
        </w:rPr>
      </w:pPr>
    </w:p>
    <w:p>
      <w:pPr>
        <w:spacing w:after="0"/>
        <w:rPr>
          <w:sz w:val="25"/>
        </w:rPr>
        <w:sectPr>
          <w:pgSz w:w="12240" w:h="15840"/>
          <w:pgMar w:header="0" w:footer="666" w:top="380" w:bottom="860" w:left="600" w:right="0"/>
        </w:sectPr>
      </w:pPr>
    </w:p>
    <w:p>
      <w:pPr>
        <w:pStyle w:val="ListParagraph"/>
        <w:numPr>
          <w:ilvl w:val="0"/>
          <w:numId w:val="13"/>
        </w:numPr>
        <w:tabs>
          <w:tab w:pos="839" w:val="left" w:leader="none"/>
          <w:tab w:pos="840" w:val="left" w:leader="none"/>
        </w:tabs>
        <w:spacing w:line="266" w:lineRule="auto" w:before="100" w:after="0"/>
        <w:ind w:left="839" w:right="50" w:hanging="360"/>
        <w:jc w:val="left"/>
        <w:rPr>
          <w:sz w:val="22"/>
        </w:rPr>
      </w:pPr>
      <w:r>
        <w:rPr>
          <w:color w:val="010202"/>
          <w:sz w:val="22"/>
        </w:rPr>
        <w:t>Positive outcomes are dependent on the provider</w:t>
      </w:r>
      <w:r>
        <w:rPr>
          <w:color w:val="010202"/>
          <w:spacing w:val="-52"/>
          <w:sz w:val="22"/>
        </w:rPr>
        <w:t> </w:t>
      </w:r>
      <w:r>
        <w:rPr>
          <w:color w:val="010202"/>
          <w:sz w:val="22"/>
        </w:rPr>
        <w:t>and client having the necessary resources to</w:t>
      </w:r>
      <w:r>
        <w:rPr>
          <w:color w:val="010202"/>
          <w:spacing w:val="1"/>
          <w:sz w:val="22"/>
        </w:rPr>
        <w:t> </w:t>
      </w:r>
      <w:r>
        <w:rPr>
          <w:color w:val="010202"/>
          <w:sz w:val="22"/>
        </w:rPr>
        <w:t>conduct telehealth well, including training and</w:t>
      </w:r>
      <w:r>
        <w:rPr>
          <w:color w:val="010202"/>
          <w:spacing w:val="1"/>
          <w:sz w:val="22"/>
        </w:rPr>
        <w:t> </w:t>
      </w:r>
      <w:r>
        <w:rPr>
          <w:color w:val="010202"/>
          <w:sz w:val="22"/>
        </w:rPr>
        <w:t>technology (more information on supporting</w:t>
      </w:r>
      <w:r>
        <w:rPr>
          <w:color w:val="010202"/>
          <w:spacing w:val="1"/>
          <w:sz w:val="22"/>
        </w:rPr>
        <w:t> </w:t>
      </w:r>
      <w:r>
        <w:rPr>
          <w:color w:val="010202"/>
          <w:sz w:val="22"/>
        </w:rPr>
        <w:t>telehealth implementation can be found in</w:t>
      </w:r>
      <w:r>
        <w:rPr>
          <w:color w:val="010202"/>
          <w:spacing w:val="1"/>
          <w:sz w:val="22"/>
        </w:rPr>
        <w:t> </w:t>
      </w:r>
      <w:r>
        <w:rPr>
          <w:color w:val="010202"/>
          <w:sz w:val="22"/>
        </w:rPr>
        <w:t>Chapter 3).</w:t>
      </w:r>
    </w:p>
    <w:p>
      <w:pPr>
        <w:spacing w:line="266" w:lineRule="auto" w:before="173"/>
        <w:ind w:left="119" w:right="244" w:firstLine="0"/>
        <w:jc w:val="both"/>
        <w:rPr>
          <w:sz w:val="22"/>
        </w:rPr>
      </w:pPr>
      <w:r>
        <w:rPr>
          <w:color w:val="231F20"/>
          <w:sz w:val="22"/>
        </w:rPr>
        <w:t>Additionally, several conclusions related to </w:t>
      </w:r>
      <w:r>
        <w:rPr>
          <w:i/>
          <w:color w:val="231F20"/>
          <w:sz w:val="22"/>
        </w:rPr>
        <w:t>healthcare</w:t>
      </w:r>
      <w:r>
        <w:rPr>
          <w:i/>
          <w:color w:val="231F20"/>
          <w:spacing w:val="-52"/>
          <w:sz w:val="22"/>
        </w:rPr>
        <w:t> </w:t>
      </w:r>
      <w:r>
        <w:rPr>
          <w:i/>
          <w:color w:val="231F20"/>
          <w:sz w:val="22"/>
        </w:rPr>
        <w:t>access </w:t>
      </w:r>
      <w:r>
        <w:rPr>
          <w:color w:val="231F20"/>
          <w:sz w:val="22"/>
        </w:rPr>
        <w:t>and </w:t>
      </w:r>
      <w:r>
        <w:rPr>
          <w:i/>
          <w:color w:val="231F20"/>
          <w:sz w:val="22"/>
        </w:rPr>
        <w:t>utilization </w:t>
      </w:r>
      <w:r>
        <w:rPr>
          <w:color w:val="231F20"/>
          <w:sz w:val="22"/>
        </w:rPr>
        <w:t>can be made from this evidence-</w:t>
      </w:r>
      <w:r>
        <w:rPr>
          <w:color w:val="231F20"/>
          <w:spacing w:val="-52"/>
          <w:sz w:val="22"/>
        </w:rPr>
        <w:t> </w:t>
      </w:r>
      <w:r>
        <w:rPr>
          <w:color w:val="231F20"/>
          <w:sz w:val="22"/>
        </w:rPr>
        <w:t>review:</w:t>
      </w:r>
    </w:p>
    <w:p>
      <w:pPr>
        <w:pStyle w:val="ListParagraph"/>
        <w:numPr>
          <w:ilvl w:val="0"/>
          <w:numId w:val="13"/>
        </w:numPr>
        <w:tabs>
          <w:tab w:pos="839" w:val="left" w:leader="none"/>
          <w:tab w:pos="840" w:val="left" w:leader="none"/>
        </w:tabs>
        <w:spacing w:line="264" w:lineRule="auto" w:before="162" w:after="0"/>
        <w:ind w:left="839" w:right="68" w:hanging="360"/>
        <w:jc w:val="left"/>
        <w:rPr>
          <w:sz w:val="22"/>
        </w:rPr>
      </w:pPr>
      <w:r>
        <w:rPr>
          <w:color w:val="010202"/>
          <w:sz w:val="22"/>
        </w:rPr>
        <w:t>Use of telehealth modalities increases</w:t>
      </w:r>
      <w:r>
        <w:rPr>
          <w:color w:val="010202"/>
          <w:spacing w:val="1"/>
          <w:sz w:val="22"/>
        </w:rPr>
        <w:t> </w:t>
      </w:r>
      <w:r>
        <w:rPr>
          <w:color w:val="010202"/>
          <w:w w:val="95"/>
          <w:sz w:val="22"/>
        </w:rPr>
        <w:t>individuals’ and</w:t>
      </w:r>
      <w:r>
        <w:rPr>
          <w:color w:val="010202"/>
          <w:spacing w:val="1"/>
          <w:w w:val="95"/>
          <w:sz w:val="22"/>
        </w:rPr>
        <w:t> </w:t>
      </w:r>
      <w:r>
        <w:rPr>
          <w:color w:val="010202"/>
          <w:w w:val="95"/>
          <w:sz w:val="22"/>
        </w:rPr>
        <w:t>communities’ access</w:t>
      </w:r>
      <w:r>
        <w:rPr>
          <w:color w:val="010202"/>
          <w:spacing w:val="1"/>
          <w:w w:val="95"/>
          <w:sz w:val="22"/>
        </w:rPr>
        <w:t> </w:t>
      </w:r>
      <w:r>
        <w:rPr>
          <w:color w:val="010202"/>
          <w:w w:val="95"/>
          <w:sz w:val="22"/>
        </w:rPr>
        <w:t>to</w:t>
      </w:r>
      <w:r>
        <w:rPr>
          <w:color w:val="010202"/>
          <w:spacing w:val="1"/>
          <w:w w:val="95"/>
          <w:sz w:val="22"/>
        </w:rPr>
        <w:t> </w:t>
      </w:r>
      <w:r>
        <w:rPr>
          <w:color w:val="010202"/>
          <w:w w:val="95"/>
          <w:sz w:val="22"/>
        </w:rPr>
        <w:t>trained</w:t>
      </w:r>
      <w:r>
        <w:rPr>
          <w:color w:val="010202"/>
          <w:spacing w:val="1"/>
          <w:w w:val="95"/>
          <w:sz w:val="22"/>
        </w:rPr>
        <w:t> </w:t>
      </w:r>
      <w:r>
        <w:rPr>
          <w:color w:val="010202"/>
          <w:sz w:val="22"/>
        </w:rPr>
        <w:t>providers and evidence-based practices that may</w:t>
      </w:r>
      <w:r>
        <w:rPr>
          <w:color w:val="010202"/>
          <w:spacing w:val="-52"/>
          <w:sz w:val="22"/>
        </w:rPr>
        <w:t> </w:t>
      </w:r>
      <w:r>
        <w:rPr>
          <w:color w:val="010202"/>
          <w:sz w:val="22"/>
        </w:rPr>
        <w:t>otherwise be unavailable to them.</w:t>
      </w:r>
    </w:p>
    <w:p>
      <w:pPr>
        <w:pStyle w:val="ListParagraph"/>
        <w:numPr>
          <w:ilvl w:val="0"/>
          <w:numId w:val="13"/>
        </w:numPr>
        <w:tabs>
          <w:tab w:pos="839" w:val="left" w:leader="none"/>
          <w:tab w:pos="840" w:val="left" w:leader="none"/>
        </w:tabs>
        <w:spacing w:line="266" w:lineRule="auto" w:before="35" w:after="0"/>
        <w:ind w:left="839" w:right="57" w:hanging="360"/>
        <w:jc w:val="left"/>
        <w:rPr>
          <w:sz w:val="22"/>
        </w:rPr>
      </w:pPr>
      <w:r>
        <w:rPr>
          <w:color w:val="010202"/>
          <w:sz w:val="22"/>
        </w:rPr>
        <w:t>When geographic and other access barriers (e.g.,</w:t>
      </w:r>
      <w:r>
        <w:rPr>
          <w:color w:val="010202"/>
          <w:spacing w:val="-52"/>
          <w:sz w:val="22"/>
        </w:rPr>
        <w:t> </w:t>
      </w:r>
      <w:r>
        <w:rPr>
          <w:color w:val="010202"/>
          <w:sz w:val="22"/>
        </w:rPr>
        <w:t>transportation, mobility, and obligations like</w:t>
      </w:r>
      <w:r>
        <w:rPr>
          <w:color w:val="010202"/>
          <w:spacing w:val="1"/>
          <w:sz w:val="22"/>
        </w:rPr>
        <w:t> </w:t>
      </w:r>
      <w:r>
        <w:rPr>
          <w:color w:val="010202"/>
          <w:sz w:val="22"/>
        </w:rPr>
        <w:t>employment and caretaking responsibilities)</w:t>
      </w:r>
      <w:r>
        <w:rPr>
          <w:color w:val="010202"/>
          <w:spacing w:val="1"/>
          <w:sz w:val="22"/>
        </w:rPr>
        <w:t> </w:t>
      </w:r>
      <w:r>
        <w:rPr>
          <w:color w:val="010202"/>
          <w:sz w:val="22"/>
        </w:rPr>
        <w:t>prevent individuals from accessing services,</w:t>
      </w:r>
      <w:r>
        <w:rPr>
          <w:color w:val="010202"/>
          <w:spacing w:val="1"/>
          <w:sz w:val="22"/>
        </w:rPr>
        <w:t> </w:t>
      </w:r>
      <w:r>
        <w:rPr>
          <w:color w:val="010202"/>
          <w:sz w:val="22"/>
        </w:rPr>
        <w:t>telehealth fills a treatment gap and improves</w:t>
      </w:r>
      <w:r>
        <w:rPr>
          <w:color w:val="010202"/>
          <w:spacing w:val="1"/>
          <w:sz w:val="22"/>
        </w:rPr>
        <w:t> </w:t>
      </w:r>
      <w:r>
        <w:rPr>
          <w:color w:val="010202"/>
          <w:sz w:val="22"/>
        </w:rPr>
        <w:t>health outcomes.</w:t>
      </w:r>
    </w:p>
    <w:p>
      <w:pPr>
        <w:pStyle w:val="ListParagraph"/>
        <w:numPr>
          <w:ilvl w:val="0"/>
          <w:numId w:val="13"/>
        </w:numPr>
        <w:tabs>
          <w:tab w:pos="839" w:val="left" w:leader="none"/>
          <w:tab w:pos="840" w:val="left" w:leader="none"/>
        </w:tabs>
        <w:spacing w:line="264" w:lineRule="auto" w:before="24" w:after="0"/>
        <w:ind w:left="839" w:right="38" w:hanging="360"/>
        <w:jc w:val="left"/>
        <w:rPr>
          <w:sz w:val="22"/>
        </w:rPr>
      </w:pPr>
      <w:r>
        <w:rPr>
          <w:color w:val="010202"/>
          <w:sz w:val="22"/>
        </w:rPr>
        <w:t>Some clients may prefer to receive services</w:t>
      </w:r>
      <w:r>
        <w:rPr>
          <w:color w:val="010202"/>
          <w:spacing w:val="1"/>
          <w:sz w:val="22"/>
        </w:rPr>
        <w:t> </w:t>
      </w:r>
      <w:r>
        <w:rPr>
          <w:color w:val="010202"/>
          <w:sz w:val="22"/>
        </w:rPr>
        <w:t>wholly or partially by telehealth, and any of the</w:t>
      </w:r>
      <w:r>
        <w:rPr>
          <w:color w:val="010202"/>
          <w:spacing w:val="1"/>
          <w:sz w:val="22"/>
        </w:rPr>
        <w:t> </w:t>
      </w:r>
      <w:r>
        <w:rPr>
          <w:color w:val="010202"/>
          <w:sz w:val="22"/>
        </w:rPr>
        <w:t>treatment practices presented in this chapter may</w:t>
      </w:r>
      <w:r>
        <w:rPr>
          <w:color w:val="010202"/>
          <w:spacing w:val="-52"/>
          <w:sz w:val="22"/>
        </w:rPr>
        <w:t> </w:t>
      </w:r>
      <w:r>
        <w:rPr>
          <w:color w:val="010202"/>
          <w:sz w:val="22"/>
        </w:rPr>
        <w:t>be part of an overall treatment plan that includes</w:t>
      </w:r>
      <w:r>
        <w:rPr>
          <w:color w:val="010202"/>
          <w:spacing w:val="-52"/>
          <w:sz w:val="22"/>
        </w:rPr>
        <w:t> </w:t>
      </w:r>
      <w:r>
        <w:rPr>
          <w:color w:val="010202"/>
          <w:sz w:val="22"/>
        </w:rPr>
        <w:t>a hybrid of telehealth and in-person services.</w:t>
      </w:r>
    </w:p>
    <w:p>
      <w:pPr>
        <w:pStyle w:val="BodyText"/>
        <w:spacing w:line="266" w:lineRule="auto" w:before="187"/>
        <w:ind w:left="119" w:right="638"/>
      </w:pPr>
      <w:r>
        <w:rPr>
          <w:color w:val="231F20"/>
        </w:rPr>
        <w:t>However,</w:t>
      </w:r>
      <w:r>
        <w:rPr>
          <w:color w:val="231F20"/>
          <w:spacing w:val="-4"/>
        </w:rPr>
        <w:t> </w:t>
      </w:r>
      <w:r>
        <w:rPr>
          <w:color w:val="231F20"/>
        </w:rPr>
        <w:t>research</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telehealth</w:t>
      </w:r>
      <w:r>
        <w:rPr>
          <w:color w:val="231F20"/>
          <w:spacing w:val="-4"/>
        </w:rPr>
        <w:t> </w:t>
      </w:r>
      <w:r>
        <w:rPr>
          <w:color w:val="231F20"/>
        </w:rPr>
        <w:t>application</w:t>
      </w:r>
      <w:r>
        <w:rPr>
          <w:color w:val="231F20"/>
          <w:spacing w:val="-4"/>
        </w:rPr>
        <w:t> </w:t>
      </w:r>
      <w:r>
        <w:rPr>
          <w:color w:val="231F20"/>
        </w:rPr>
        <w:t>of</w:t>
      </w:r>
      <w:r>
        <w:rPr>
          <w:color w:val="231F20"/>
          <w:spacing w:val="-52"/>
        </w:rPr>
        <w:t> </w:t>
      </w:r>
      <w:r>
        <w:rPr>
          <w:color w:val="231F20"/>
        </w:rPr>
        <w:t>evidence-based practices has been limited for the</w:t>
      </w:r>
      <w:r>
        <w:rPr>
          <w:color w:val="231F20"/>
          <w:spacing w:val="1"/>
        </w:rPr>
        <w:t> </w:t>
      </w:r>
      <w:r>
        <w:rPr>
          <w:color w:val="231F20"/>
        </w:rPr>
        <w:t>following reasons:</w:t>
      </w:r>
    </w:p>
    <w:p>
      <w:pPr>
        <w:pStyle w:val="ListParagraph"/>
        <w:numPr>
          <w:ilvl w:val="0"/>
          <w:numId w:val="13"/>
        </w:numPr>
        <w:tabs>
          <w:tab w:pos="839" w:val="left" w:leader="none"/>
          <w:tab w:pos="840" w:val="left" w:leader="none"/>
        </w:tabs>
        <w:spacing w:line="264" w:lineRule="auto" w:before="162" w:after="0"/>
        <w:ind w:left="839" w:right="220" w:hanging="360"/>
        <w:jc w:val="left"/>
        <w:rPr>
          <w:sz w:val="22"/>
        </w:rPr>
      </w:pPr>
      <w:r>
        <w:rPr>
          <w:i/>
          <w:color w:val="010202"/>
          <w:sz w:val="22"/>
        </w:rPr>
        <w:t>Evidence review limitations. </w:t>
      </w:r>
      <w:r>
        <w:rPr>
          <w:color w:val="010202"/>
          <w:sz w:val="22"/>
        </w:rPr>
        <w:t>While there may</w:t>
      </w:r>
      <w:r>
        <w:rPr>
          <w:color w:val="010202"/>
          <w:spacing w:val="1"/>
          <w:sz w:val="22"/>
        </w:rPr>
        <w:t> </w:t>
      </w:r>
      <w:r>
        <w:rPr>
          <w:color w:val="010202"/>
          <w:sz w:val="22"/>
        </w:rPr>
        <w:t>be innovative behavioral therapies currently</w:t>
      </w:r>
      <w:r>
        <w:rPr>
          <w:color w:val="010202"/>
          <w:spacing w:val="1"/>
          <w:sz w:val="22"/>
        </w:rPr>
        <w:t> </w:t>
      </w:r>
      <w:r>
        <w:rPr>
          <w:color w:val="010202"/>
          <w:sz w:val="22"/>
        </w:rPr>
        <w:t>delivered</w:t>
      </w:r>
      <w:r>
        <w:rPr>
          <w:color w:val="010202"/>
          <w:spacing w:val="-4"/>
          <w:sz w:val="22"/>
        </w:rPr>
        <w:t> </w:t>
      </w:r>
      <w:r>
        <w:rPr>
          <w:color w:val="010202"/>
          <w:sz w:val="22"/>
        </w:rPr>
        <w:t>via</w:t>
      </w:r>
      <w:r>
        <w:rPr>
          <w:color w:val="010202"/>
          <w:spacing w:val="-4"/>
          <w:sz w:val="22"/>
        </w:rPr>
        <w:t> </w:t>
      </w:r>
      <w:r>
        <w:rPr>
          <w:color w:val="010202"/>
          <w:sz w:val="22"/>
        </w:rPr>
        <w:t>telehealth</w:t>
      </w:r>
      <w:r>
        <w:rPr>
          <w:color w:val="010202"/>
          <w:spacing w:val="-3"/>
          <w:sz w:val="22"/>
        </w:rPr>
        <w:t> </w:t>
      </w:r>
      <w:r>
        <w:rPr>
          <w:color w:val="010202"/>
          <w:sz w:val="22"/>
        </w:rPr>
        <w:t>for</w:t>
      </w:r>
      <w:r>
        <w:rPr>
          <w:color w:val="010202"/>
          <w:spacing w:val="-4"/>
          <w:sz w:val="22"/>
        </w:rPr>
        <w:t> </w:t>
      </w:r>
      <w:r>
        <w:rPr>
          <w:color w:val="010202"/>
          <w:sz w:val="22"/>
        </w:rPr>
        <w:t>specific</w:t>
      </w:r>
      <w:r>
        <w:rPr>
          <w:color w:val="010202"/>
          <w:spacing w:val="-5"/>
          <w:sz w:val="22"/>
        </w:rPr>
        <w:t> </w:t>
      </w:r>
      <w:r>
        <w:rPr>
          <w:color w:val="010202"/>
          <w:sz w:val="22"/>
        </w:rPr>
        <w:t>conditions,</w:t>
      </w:r>
      <w:r>
        <w:rPr>
          <w:color w:val="010202"/>
          <w:spacing w:val="-52"/>
          <w:sz w:val="22"/>
        </w:rPr>
        <w:t> </w:t>
      </w:r>
      <w:r>
        <w:rPr>
          <w:color w:val="010202"/>
          <w:sz w:val="22"/>
        </w:rPr>
        <w:t>this</w:t>
      </w:r>
      <w:r>
        <w:rPr>
          <w:color w:val="010202"/>
          <w:spacing w:val="-2"/>
          <w:sz w:val="22"/>
        </w:rPr>
        <w:t> </w:t>
      </w:r>
      <w:r>
        <w:rPr>
          <w:color w:val="010202"/>
          <w:sz w:val="22"/>
        </w:rPr>
        <w:t>evidence</w:t>
      </w:r>
      <w:r>
        <w:rPr>
          <w:color w:val="010202"/>
          <w:spacing w:val="-2"/>
          <w:sz w:val="22"/>
        </w:rPr>
        <w:t> </w:t>
      </w:r>
      <w:r>
        <w:rPr>
          <w:color w:val="010202"/>
          <w:sz w:val="22"/>
        </w:rPr>
        <w:t>review</w:t>
      </w:r>
      <w:r>
        <w:rPr>
          <w:color w:val="010202"/>
          <w:spacing w:val="-2"/>
          <w:sz w:val="22"/>
        </w:rPr>
        <w:t> </w:t>
      </w:r>
      <w:r>
        <w:rPr>
          <w:color w:val="010202"/>
          <w:sz w:val="22"/>
        </w:rPr>
        <w:t>relies</w:t>
      </w:r>
      <w:r>
        <w:rPr>
          <w:color w:val="010202"/>
          <w:spacing w:val="-1"/>
          <w:sz w:val="22"/>
        </w:rPr>
        <w:t> </w:t>
      </w:r>
      <w:r>
        <w:rPr>
          <w:color w:val="010202"/>
          <w:sz w:val="22"/>
        </w:rPr>
        <w:t>on</w:t>
      </w:r>
      <w:r>
        <w:rPr>
          <w:color w:val="010202"/>
          <w:spacing w:val="-2"/>
          <w:sz w:val="22"/>
        </w:rPr>
        <w:t> </w:t>
      </w:r>
      <w:r>
        <w:rPr>
          <w:color w:val="010202"/>
          <w:sz w:val="22"/>
        </w:rPr>
        <w:t>specific</w:t>
      </w:r>
      <w:r>
        <w:rPr>
          <w:color w:val="010202"/>
          <w:spacing w:val="-3"/>
          <w:sz w:val="22"/>
        </w:rPr>
        <w:t> </w:t>
      </w:r>
      <w:r>
        <w:rPr>
          <w:color w:val="010202"/>
          <w:sz w:val="22"/>
        </w:rPr>
        <w:t>types</w:t>
      </w:r>
    </w:p>
    <w:p>
      <w:pPr>
        <w:pStyle w:val="BodyText"/>
        <w:spacing w:line="266" w:lineRule="auto" w:before="4"/>
        <w:ind w:left="839" w:right="282"/>
      </w:pPr>
      <w:r>
        <w:rPr>
          <w:color w:val="010202"/>
        </w:rPr>
        <w:t>of published research to determine the</w:t>
      </w:r>
      <w:r>
        <w:rPr>
          <w:color w:val="010202"/>
          <w:spacing w:val="1"/>
        </w:rPr>
        <w:t> </w:t>
      </w:r>
      <w:r>
        <w:rPr>
          <w:color w:val="010202"/>
        </w:rPr>
        <w:t>strength</w:t>
      </w:r>
      <w:r>
        <w:rPr>
          <w:color w:val="010202"/>
          <w:spacing w:val="8"/>
        </w:rPr>
        <w:t> </w:t>
      </w:r>
      <w:r>
        <w:rPr>
          <w:color w:val="010202"/>
        </w:rPr>
        <w:t>of</w:t>
      </w:r>
      <w:r>
        <w:rPr>
          <w:color w:val="010202"/>
          <w:spacing w:val="7"/>
        </w:rPr>
        <w:t> </w:t>
      </w:r>
      <w:r>
        <w:rPr>
          <w:color w:val="010202"/>
        </w:rPr>
        <w:t>evidence.</w:t>
      </w:r>
      <w:r>
        <w:rPr>
          <w:color w:val="010202"/>
          <w:spacing w:val="8"/>
        </w:rPr>
        <w:t> </w:t>
      </w:r>
      <w:r>
        <w:rPr>
          <w:color w:val="010202"/>
        </w:rPr>
        <w:t>Included</w:t>
      </w:r>
      <w:r>
        <w:rPr>
          <w:color w:val="010202"/>
          <w:spacing w:val="8"/>
        </w:rPr>
        <w:t> </w:t>
      </w:r>
      <w:r>
        <w:rPr>
          <w:color w:val="010202"/>
        </w:rPr>
        <w:t>studies</w:t>
      </w:r>
      <w:r>
        <w:rPr>
          <w:color w:val="010202"/>
          <w:spacing w:val="8"/>
        </w:rPr>
        <w:t> </w:t>
      </w:r>
      <w:r>
        <w:rPr>
          <w:color w:val="010202"/>
        </w:rPr>
        <w:t>must</w:t>
      </w:r>
      <w:r>
        <w:rPr>
          <w:color w:val="010202"/>
          <w:spacing w:val="1"/>
        </w:rPr>
        <w:t> </w:t>
      </w:r>
      <w:r>
        <w:rPr>
          <w:color w:val="010202"/>
        </w:rPr>
        <w:t>be either randomized controlled trials, use a</w:t>
      </w:r>
      <w:r>
        <w:rPr>
          <w:color w:val="010202"/>
          <w:spacing w:val="1"/>
        </w:rPr>
        <w:t> </w:t>
      </w:r>
      <w:r>
        <w:rPr>
          <w:color w:val="010202"/>
        </w:rPr>
        <w:t>quasi-experimental design, or use a pre-post</w:t>
      </w:r>
      <w:r>
        <w:rPr>
          <w:color w:val="010202"/>
          <w:spacing w:val="1"/>
        </w:rPr>
        <w:t> </w:t>
      </w:r>
      <w:r>
        <w:rPr>
          <w:color w:val="010202"/>
        </w:rPr>
        <w:t>design with a strong counterfactual; therefore,</w:t>
      </w:r>
      <w:r>
        <w:rPr>
          <w:color w:val="010202"/>
          <w:spacing w:val="-52"/>
        </w:rPr>
        <w:t> </w:t>
      </w:r>
      <w:r>
        <w:rPr>
          <w:color w:val="010202"/>
        </w:rPr>
        <w:t>innovative treatments and interventions that</w:t>
      </w:r>
      <w:r>
        <w:rPr>
          <w:color w:val="010202"/>
          <w:spacing w:val="1"/>
        </w:rPr>
        <w:t> </w:t>
      </w:r>
      <w:r>
        <w:rPr>
          <w:color w:val="010202"/>
        </w:rPr>
        <w:t>have not been studied with such rigorous</w:t>
      </w:r>
      <w:r>
        <w:rPr>
          <w:color w:val="010202"/>
          <w:spacing w:val="1"/>
        </w:rPr>
        <w:t> </w:t>
      </w:r>
      <w:r>
        <w:rPr>
          <w:color w:val="010202"/>
        </w:rPr>
        <w:t>methods are excluded.</w:t>
      </w:r>
    </w:p>
    <w:p>
      <w:pPr>
        <w:pStyle w:val="ListParagraph"/>
        <w:numPr>
          <w:ilvl w:val="0"/>
          <w:numId w:val="13"/>
        </w:numPr>
        <w:tabs>
          <w:tab w:pos="838" w:val="left" w:leader="none"/>
          <w:tab w:pos="839" w:val="left" w:leader="none"/>
        </w:tabs>
        <w:spacing w:line="266" w:lineRule="auto" w:before="102" w:after="0"/>
        <w:ind w:left="838" w:right="743" w:hanging="360"/>
        <w:jc w:val="left"/>
        <w:rPr>
          <w:sz w:val="22"/>
        </w:rPr>
      </w:pPr>
      <w:r>
        <w:rPr>
          <w:i/>
          <w:color w:val="010202"/>
          <w:w w:val="99"/>
          <w:sz w:val="22"/>
        </w:rPr>
        <w:br w:type="column"/>
      </w:r>
      <w:r>
        <w:rPr>
          <w:i/>
          <w:color w:val="010202"/>
          <w:sz w:val="22"/>
        </w:rPr>
        <w:t>Limitations</w:t>
      </w:r>
      <w:r>
        <w:rPr>
          <w:i/>
          <w:color w:val="010202"/>
          <w:spacing w:val="1"/>
          <w:sz w:val="22"/>
        </w:rPr>
        <w:t> </w:t>
      </w:r>
      <w:r>
        <w:rPr>
          <w:i/>
          <w:color w:val="010202"/>
          <w:sz w:val="22"/>
        </w:rPr>
        <w:t>of</w:t>
      </w:r>
      <w:r>
        <w:rPr>
          <w:i/>
          <w:color w:val="010202"/>
          <w:spacing w:val="2"/>
          <w:sz w:val="22"/>
        </w:rPr>
        <w:t> </w:t>
      </w:r>
      <w:r>
        <w:rPr>
          <w:i/>
          <w:color w:val="010202"/>
          <w:sz w:val="22"/>
        </w:rPr>
        <w:t>the</w:t>
      </w:r>
      <w:r>
        <w:rPr>
          <w:i/>
          <w:color w:val="010202"/>
          <w:spacing w:val="2"/>
          <w:sz w:val="22"/>
        </w:rPr>
        <w:t> </w:t>
      </w:r>
      <w:r>
        <w:rPr>
          <w:i/>
          <w:color w:val="010202"/>
          <w:sz w:val="22"/>
        </w:rPr>
        <w:t>literature.</w:t>
      </w:r>
      <w:r>
        <w:rPr>
          <w:i/>
          <w:color w:val="010202"/>
          <w:spacing w:val="2"/>
          <w:sz w:val="22"/>
        </w:rPr>
        <w:t> </w:t>
      </w:r>
      <w:r>
        <w:rPr>
          <w:color w:val="010202"/>
          <w:sz w:val="22"/>
        </w:rPr>
        <w:t>While</w:t>
      </w:r>
      <w:r>
        <w:rPr>
          <w:color w:val="010202"/>
          <w:spacing w:val="2"/>
          <w:sz w:val="22"/>
        </w:rPr>
        <w:t> </w:t>
      </w:r>
      <w:r>
        <w:rPr>
          <w:color w:val="010202"/>
          <w:sz w:val="22"/>
        </w:rPr>
        <w:t>telehealth</w:t>
      </w:r>
      <w:r>
        <w:rPr>
          <w:color w:val="010202"/>
          <w:spacing w:val="1"/>
          <w:sz w:val="22"/>
        </w:rPr>
        <w:t> </w:t>
      </w:r>
      <w:r>
        <w:rPr>
          <w:color w:val="010202"/>
          <w:sz w:val="22"/>
        </w:rPr>
        <w:t>has been used for numerous other conditions,</w:t>
      </w:r>
      <w:r>
        <w:rPr>
          <w:color w:val="010202"/>
          <w:spacing w:val="1"/>
          <w:sz w:val="22"/>
        </w:rPr>
        <w:t> </w:t>
      </w:r>
      <w:r>
        <w:rPr>
          <w:color w:val="010202"/>
          <w:sz w:val="22"/>
        </w:rPr>
        <w:t>individuals experiencing SMI and SUD have</w:t>
      </w:r>
      <w:r>
        <w:rPr>
          <w:color w:val="010202"/>
          <w:spacing w:val="1"/>
          <w:sz w:val="22"/>
        </w:rPr>
        <w:t> </w:t>
      </w:r>
      <w:r>
        <w:rPr>
          <w:color w:val="010202"/>
          <w:sz w:val="22"/>
        </w:rPr>
        <w:t>traditionally been regarded as having complex</w:t>
      </w:r>
      <w:r>
        <w:rPr>
          <w:color w:val="010202"/>
          <w:spacing w:val="1"/>
          <w:sz w:val="22"/>
        </w:rPr>
        <w:t> </w:t>
      </w:r>
      <w:r>
        <w:rPr>
          <w:color w:val="010202"/>
          <w:sz w:val="22"/>
        </w:rPr>
        <w:t>conditions and therefore excluded from</w:t>
      </w:r>
      <w:r>
        <w:rPr>
          <w:color w:val="010202"/>
          <w:spacing w:val="1"/>
          <w:sz w:val="22"/>
        </w:rPr>
        <w:t> </w:t>
      </w:r>
      <w:r>
        <w:rPr>
          <w:color w:val="010202"/>
          <w:sz w:val="22"/>
        </w:rPr>
        <w:t>telehealth</w:t>
      </w:r>
      <w:r>
        <w:rPr>
          <w:color w:val="010202"/>
          <w:spacing w:val="-6"/>
          <w:sz w:val="22"/>
        </w:rPr>
        <w:t> </w:t>
      </w:r>
      <w:r>
        <w:rPr>
          <w:color w:val="010202"/>
          <w:sz w:val="22"/>
        </w:rPr>
        <w:t>research.</w:t>
      </w:r>
      <w:r>
        <w:rPr>
          <w:color w:val="010202"/>
          <w:spacing w:val="-10"/>
          <w:sz w:val="22"/>
        </w:rPr>
        <w:t> </w:t>
      </w:r>
      <w:r>
        <w:rPr>
          <w:color w:val="010202"/>
          <w:sz w:val="22"/>
        </w:rPr>
        <w:t>With</w:t>
      </w:r>
      <w:r>
        <w:rPr>
          <w:color w:val="010202"/>
          <w:spacing w:val="-5"/>
          <w:sz w:val="22"/>
        </w:rPr>
        <w:t> </w:t>
      </w:r>
      <w:r>
        <w:rPr>
          <w:color w:val="010202"/>
          <w:sz w:val="22"/>
        </w:rPr>
        <w:t>limited</w:t>
      </w:r>
      <w:r>
        <w:rPr>
          <w:color w:val="010202"/>
          <w:spacing w:val="-6"/>
          <w:sz w:val="22"/>
        </w:rPr>
        <w:t> </w:t>
      </w:r>
      <w:r>
        <w:rPr>
          <w:color w:val="010202"/>
          <w:sz w:val="22"/>
        </w:rPr>
        <w:t>implementation</w:t>
      </w:r>
      <w:r>
        <w:rPr>
          <w:color w:val="010202"/>
          <w:spacing w:val="-52"/>
          <w:sz w:val="22"/>
        </w:rPr>
        <w:t> </w:t>
      </w:r>
      <w:r>
        <w:rPr>
          <w:color w:val="010202"/>
          <w:sz w:val="22"/>
        </w:rPr>
        <w:t>of</w:t>
      </w:r>
      <w:r>
        <w:rPr>
          <w:color w:val="010202"/>
          <w:spacing w:val="-1"/>
          <w:sz w:val="22"/>
        </w:rPr>
        <w:t> </w:t>
      </w:r>
      <w:r>
        <w:rPr>
          <w:color w:val="010202"/>
          <w:sz w:val="22"/>
        </w:rPr>
        <w:t>telehealth for people with SMI and SUD,</w:t>
      </w:r>
    </w:p>
    <w:p>
      <w:pPr>
        <w:pStyle w:val="BodyText"/>
        <w:spacing w:line="266" w:lineRule="auto"/>
        <w:ind w:left="838" w:right="795"/>
      </w:pPr>
      <w:r>
        <w:rPr>
          <w:color w:val="010202"/>
        </w:rPr>
        <w:t>it offered fewer opportunities for researching</w:t>
      </w:r>
      <w:r>
        <w:rPr>
          <w:color w:val="010202"/>
          <w:spacing w:val="1"/>
        </w:rPr>
        <w:t> </w:t>
      </w:r>
      <w:r>
        <w:rPr>
          <w:color w:val="010202"/>
        </w:rPr>
        <w:t>treatment to treat those conditions. Some</w:t>
      </w:r>
      <w:r>
        <w:rPr>
          <w:color w:val="010202"/>
          <w:spacing w:val="1"/>
        </w:rPr>
        <w:t> </w:t>
      </w:r>
      <w:r>
        <w:rPr>
          <w:color w:val="010202"/>
        </w:rPr>
        <w:t>providers have been reluctant to offer telehealth</w:t>
      </w:r>
      <w:r>
        <w:rPr>
          <w:color w:val="010202"/>
          <w:spacing w:val="-52"/>
        </w:rPr>
        <w:t> </w:t>
      </w:r>
      <w:r>
        <w:rPr>
          <w:color w:val="010202"/>
        </w:rPr>
        <w:t>in the past, in part due to negative views</w:t>
      </w:r>
      <w:r>
        <w:rPr>
          <w:color w:val="010202"/>
          <w:spacing w:val="1"/>
        </w:rPr>
        <w:t> </w:t>
      </w:r>
      <w:r>
        <w:rPr>
          <w:color w:val="010202"/>
        </w:rPr>
        <w:t>towards the modality and perception of clients’</w:t>
      </w:r>
      <w:r>
        <w:rPr>
          <w:color w:val="010202"/>
          <w:spacing w:val="1"/>
        </w:rPr>
        <w:t> </w:t>
      </w:r>
      <w:r>
        <w:rPr>
          <w:color w:val="010202"/>
        </w:rPr>
        <w:t>experiences with telehealth,</w:t>
      </w:r>
      <w:r>
        <w:rPr>
          <w:color w:val="010202"/>
          <w:vertAlign w:val="superscript"/>
        </w:rPr>
        <w:t>92</w:t>
      </w:r>
      <w:r>
        <w:rPr>
          <w:color w:val="010202"/>
          <w:vertAlign w:val="baseline"/>
        </w:rPr>
        <w:t> which has slowed</w:t>
      </w:r>
      <w:r>
        <w:rPr>
          <w:color w:val="010202"/>
          <w:spacing w:val="-52"/>
          <w:vertAlign w:val="baseline"/>
        </w:rPr>
        <w:t> </w:t>
      </w:r>
      <w:r>
        <w:rPr>
          <w:color w:val="010202"/>
          <w:vertAlign w:val="baseline"/>
        </w:rPr>
        <w:t>access to telehealth for individuals experiencing</w:t>
      </w:r>
      <w:r>
        <w:rPr>
          <w:color w:val="010202"/>
          <w:spacing w:val="-52"/>
          <w:vertAlign w:val="baseline"/>
        </w:rPr>
        <w:t> </w:t>
      </w:r>
      <w:r>
        <w:rPr>
          <w:color w:val="010202"/>
          <w:vertAlign w:val="baseline"/>
        </w:rPr>
        <w:t>SMI or SUD.</w:t>
      </w:r>
    </w:p>
    <w:p>
      <w:pPr>
        <w:pStyle w:val="ListParagraph"/>
        <w:numPr>
          <w:ilvl w:val="0"/>
          <w:numId w:val="13"/>
        </w:numPr>
        <w:tabs>
          <w:tab w:pos="839" w:val="left" w:leader="none"/>
          <w:tab w:pos="840" w:val="left" w:leader="none"/>
        </w:tabs>
        <w:spacing w:line="266" w:lineRule="auto" w:before="15" w:after="0"/>
        <w:ind w:left="839" w:right="736" w:hanging="360"/>
        <w:jc w:val="left"/>
        <w:rPr>
          <w:sz w:val="22"/>
        </w:rPr>
      </w:pPr>
      <w:r>
        <w:rPr>
          <w:i/>
          <w:color w:val="010202"/>
          <w:sz w:val="22"/>
        </w:rPr>
        <w:t>Need examination of asynchronous forms of</w:t>
      </w:r>
      <w:r>
        <w:rPr>
          <w:i/>
          <w:color w:val="010202"/>
          <w:spacing w:val="1"/>
          <w:sz w:val="22"/>
        </w:rPr>
        <w:t> </w:t>
      </w:r>
      <w:r>
        <w:rPr>
          <w:i/>
          <w:color w:val="010202"/>
          <w:sz w:val="22"/>
        </w:rPr>
        <w:t>treatment. </w:t>
      </w:r>
      <w:r>
        <w:rPr>
          <w:color w:val="010202"/>
          <w:sz w:val="22"/>
        </w:rPr>
        <w:t>This evidence review demonstrated</w:t>
      </w:r>
      <w:r>
        <w:rPr>
          <w:color w:val="010202"/>
          <w:spacing w:val="1"/>
          <w:sz w:val="22"/>
        </w:rPr>
        <w:t> </w:t>
      </w:r>
      <w:r>
        <w:rPr>
          <w:color w:val="010202"/>
          <w:sz w:val="22"/>
        </w:rPr>
        <w:t>strong evidence to support synchronous</w:t>
      </w:r>
      <w:r>
        <w:rPr>
          <w:color w:val="010202"/>
          <w:spacing w:val="1"/>
          <w:sz w:val="22"/>
        </w:rPr>
        <w:t> </w:t>
      </w:r>
      <w:r>
        <w:rPr>
          <w:color w:val="010202"/>
          <w:sz w:val="22"/>
        </w:rPr>
        <w:t>interventions to support telehealth-delivered,</w:t>
      </w:r>
      <w:r>
        <w:rPr>
          <w:color w:val="010202"/>
          <w:spacing w:val="1"/>
          <w:sz w:val="22"/>
        </w:rPr>
        <w:t> </w:t>
      </w:r>
      <w:r>
        <w:rPr>
          <w:color w:val="010202"/>
          <w:sz w:val="22"/>
        </w:rPr>
        <w:t>evidence-based treatments. However, more</w:t>
      </w:r>
      <w:r>
        <w:rPr>
          <w:color w:val="010202"/>
          <w:spacing w:val="1"/>
          <w:sz w:val="22"/>
        </w:rPr>
        <w:t> </w:t>
      </w:r>
      <w:r>
        <w:rPr>
          <w:color w:val="010202"/>
          <w:sz w:val="22"/>
        </w:rPr>
        <w:t>research is needed to determine the effectiveness</w:t>
      </w:r>
      <w:r>
        <w:rPr>
          <w:color w:val="010202"/>
          <w:spacing w:val="-52"/>
          <w:sz w:val="22"/>
        </w:rPr>
        <w:t> </w:t>
      </w:r>
      <w:r>
        <w:rPr>
          <w:color w:val="010202"/>
          <w:sz w:val="22"/>
        </w:rPr>
        <w:t>of asynchronous treatments, which can be</w:t>
      </w:r>
      <w:r>
        <w:rPr>
          <w:color w:val="010202"/>
          <w:spacing w:val="1"/>
          <w:sz w:val="22"/>
        </w:rPr>
        <w:t> </w:t>
      </w:r>
      <w:r>
        <w:rPr>
          <w:color w:val="010202"/>
          <w:sz w:val="22"/>
        </w:rPr>
        <w:t>effective complementary tools to synchronous</w:t>
      </w:r>
      <w:r>
        <w:rPr>
          <w:color w:val="010202"/>
          <w:spacing w:val="1"/>
          <w:sz w:val="22"/>
        </w:rPr>
        <w:t> </w:t>
      </w:r>
      <w:r>
        <w:rPr>
          <w:color w:val="010202"/>
          <w:sz w:val="22"/>
        </w:rPr>
        <w:t>virtual or in-person treatment by increasing</w:t>
      </w:r>
      <w:r>
        <w:rPr>
          <w:color w:val="010202"/>
          <w:spacing w:val="1"/>
          <w:sz w:val="22"/>
        </w:rPr>
        <w:t> </w:t>
      </w:r>
      <w:r>
        <w:rPr>
          <w:color w:val="010202"/>
          <w:sz w:val="22"/>
        </w:rPr>
        <w:t>client engagement, promoting healthy behaviors,</w:t>
      </w:r>
      <w:r>
        <w:rPr>
          <w:color w:val="010202"/>
          <w:spacing w:val="-52"/>
          <w:sz w:val="22"/>
        </w:rPr>
        <w:t> </w:t>
      </w:r>
      <w:r>
        <w:rPr>
          <w:color w:val="010202"/>
          <w:sz w:val="22"/>
        </w:rPr>
        <w:t>reducing feelings of stigma, and increasing</w:t>
      </w:r>
      <w:r>
        <w:rPr>
          <w:color w:val="010202"/>
          <w:spacing w:val="1"/>
          <w:sz w:val="22"/>
        </w:rPr>
        <w:t> </w:t>
      </w:r>
      <w:r>
        <w:rPr>
          <w:color w:val="010202"/>
          <w:w w:val="95"/>
          <w:sz w:val="22"/>
        </w:rPr>
        <w:t>access</w:t>
      </w:r>
      <w:r>
        <w:rPr>
          <w:color w:val="010202"/>
          <w:spacing w:val="1"/>
          <w:w w:val="95"/>
          <w:sz w:val="22"/>
        </w:rPr>
        <w:t> </w:t>
      </w:r>
      <w:r>
        <w:rPr>
          <w:color w:val="010202"/>
          <w:w w:val="95"/>
          <w:sz w:val="22"/>
        </w:rPr>
        <w:t>to</w:t>
      </w:r>
      <w:r>
        <w:rPr>
          <w:color w:val="010202"/>
          <w:spacing w:val="1"/>
          <w:w w:val="95"/>
          <w:sz w:val="22"/>
        </w:rPr>
        <w:t> </w:t>
      </w:r>
      <w:r>
        <w:rPr>
          <w:color w:val="010202"/>
          <w:w w:val="95"/>
          <w:sz w:val="22"/>
        </w:rPr>
        <w:t>treatment.</w:t>
      </w:r>
      <w:r>
        <w:rPr>
          <w:color w:val="010202"/>
          <w:w w:val="95"/>
          <w:sz w:val="22"/>
          <w:vertAlign w:val="superscript"/>
        </w:rPr>
        <w:t>93,</w:t>
      </w:r>
      <w:r>
        <w:rPr>
          <w:color w:val="010202"/>
          <w:w w:val="95"/>
          <w:sz w:val="22"/>
          <w:vertAlign w:val="baseline"/>
        </w:rPr>
        <w:t> </w:t>
      </w:r>
      <w:r>
        <w:rPr>
          <w:color w:val="010202"/>
          <w:w w:val="95"/>
          <w:sz w:val="22"/>
          <w:vertAlign w:val="superscript"/>
        </w:rPr>
        <w:t>94</w:t>
      </w:r>
      <w:r>
        <w:rPr>
          <w:color w:val="010202"/>
          <w:w w:val="95"/>
          <w:sz w:val="22"/>
          <w:vertAlign w:val="baseline"/>
        </w:rPr>
        <w:t> Text</w:t>
      </w:r>
      <w:r>
        <w:rPr>
          <w:color w:val="010202"/>
          <w:spacing w:val="1"/>
          <w:w w:val="95"/>
          <w:sz w:val="22"/>
          <w:vertAlign w:val="baseline"/>
        </w:rPr>
        <w:t> </w:t>
      </w:r>
      <w:r>
        <w:rPr>
          <w:color w:val="010202"/>
          <w:w w:val="95"/>
          <w:sz w:val="22"/>
          <w:vertAlign w:val="baseline"/>
        </w:rPr>
        <w:t>messages,</w:t>
      </w:r>
      <w:r>
        <w:rPr>
          <w:color w:val="010202"/>
          <w:spacing w:val="49"/>
          <w:sz w:val="22"/>
          <w:vertAlign w:val="baseline"/>
        </w:rPr>
        <w:t> </w:t>
      </w:r>
      <w:r>
        <w:rPr>
          <w:color w:val="010202"/>
          <w:w w:val="95"/>
          <w:sz w:val="22"/>
          <w:vertAlign w:val="baseline"/>
        </w:rPr>
        <w:t>online</w:t>
      </w:r>
      <w:r>
        <w:rPr>
          <w:color w:val="010202"/>
          <w:spacing w:val="1"/>
          <w:w w:val="95"/>
          <w:sz w:val="22"/>
          <w:vertAlign w:val="baseline"/>
        </w:rPr>
        <w:t> </w:t>
      </w:r>
      <w:r>
        <w:rPr>
          <w:color w:val="010202"/>
          <w:sz w:val="22"/>
          <w:vertAlign w:val="baseline"/>
        </w:rPr>
        <w:t>chat features, email, and social networking</w:t>
      </w:r>
    </w:p>
    <w:p>
      <w:pPr>
        <w:pStyle w:val="BodyText"/>
        <w:spacing w:line="266" w:lineRule="auto"/>
        <w:ind w:left="839" w:right="738"/>
      </w:pPr>
      <w:r>
        <w:rPr>
          <w:color w:val="010202"/>
        </w:rPr>
        <w:t>sites can also be used to facilitate ongoing</w:t>
      </w:r>
      <w:r>
        <w:rPr>
          <w:color w:val="010202"/>
          <w:spacing w:val="1"/>
        </w:rPr>
        <w:t> </w:t>
      </w:r>
      <w:r>
        <w:rPr>
          <w:color w:val="010202"/>
        </w:rPr>
        <w:t>communication</w:t>
      </w:r>
      <w:r>
        <w:rPr>
          <w:color w:val="010202"/>
          <w:spacing w:val="-6"/>
        </w:rPr>
        <w:t> </w:t>
      </w:r>
      <w:r>
        <w:rPr>
          <w:color w:val="010202"/>
        </w:rPr>
        <w:t>outside</w:t>
      </w:r>
      <w:r>
        <w:rPr>
          <w:color w:val="010202"/>
          <w:spacing w:val="-5"/>
        </w:rPr>
        <w:t> </w:t>
      </w:r>
      <w:r>
        <w:rPr>
          <w:color w:val="010202"/>
        </w:rPr>
        <w:t>of</w:t>
      </w:r>
      <w:r>
        <w:rPr>
          <w:color w:val="010202"/>
          <w:spacing w:val="-5"/>
        </w:rPr>
        <w:t> </w:t>
      </w:r>
      <w:r>
        <w:rPr>
          <w:color w:val="010202"/>
        </w:rPr>
        <w:t>face-to-face</w:t>
      </w:r>
      <w:r>
        <w:rPr>
          <w:color w:val="010202"/>
          <w:spacing w:val="-5"/>
        </w:rPr>
        <w:t> </w:t>
      </w:r>
      <w:r>
        <w:rPr>
          <w:color w:val="010202"/>
        </w:rPr>
        <w:t>sessions.</w:t>
      </w:r>
      <w:r>
        <w:rPr>
          <w:color w:val="010202"/>
          <w:vertAlign w:val="superscript"/>
        </w:rPr>
        <w:t>6</w:t>
      </w:r>
    </w:p>
    <w:p>
      <w:pPr>
        <w:pStyle w:val="BodyText"/>
        <w:spacing w:line="266" w:lineRule="auto" w:before="165"/>
        <w:ind w:left="119" w:right="725"/>
      </w:pPr>
      <w:r>
        <w:rPr>
          <w:color w:val="231F20"/>
        </w:rPr>
        <w:t>While there are limitations to the research, telehealth is a</w:t>
      </w:r>
      <w:r>
        <w:rPr>
          <w:color w:val="231F20"/>
          <w:spacing w:val="-52"/>
        </w:rPr>
        <w:t> </w:t>
      </w:r>
      <w:r>
        <w:rPr>
          <w:color w:val="231F20"/>
        </w:rPr>
        <w:t>key strategy to increasing and ensuring access to care for</w:t>
      </w:r>
      <w:r>
        <w:rPr>
          <w:color w:val="231F20"/>
          <w:spacing w:val="-52"/>
        </w:rPr>
        <w:t> </w:t>
      </w:r>
      <w:r>
        <w:rPr>
          <w:color w:val="231F20"/>
        </w:rPr>
        <w:t>people living with SMI, SUD, or COD. Future research</w:t>
      </w:r>
      <w:r>
        <w:rPr>
          <w:color w:val="231F20"/>
          <w:spacing w:val="1"/>
        </w:rPr>
        <w:t> </w:t>
      </w:r>
      <w:r>
        <w:rPr>
          <w:color w:val="231F20"/>
        </w:rPr>
        <w:t>could expand beyond telehealth efficacy and focus on</w:t>
      </w:r>
      <w:r>
        <w:rPr>
          <w:color w:val="231F20"/>
          <w:spacing w:val="1"/>
        </w:rPr>
        <w:t> </w:t>
      </w:r>
      <w:r>
        <w:rPr>
          <w:color w:val="231F20"/>
        </w:rPr>
        <w:t>implementation and evaluation considerations, including</w:t>
      </w:r>
      <w:r>
        <w:rPr>
          <w:color w:val="231F20"/>
          <w:spacing w:val="-52"/>
        </w:rPr>
        <w:t> </w:t>
      </w:r>
      <w:r>
        <w:rPr>
          <w:color w:val="231F20"/>
        </w:rPr>
        <w:t>provider/patient buy-in, necessary technological</w:t>
      </w:r>
      <w:r>
        <w:rPr>
          <w:color w:val="231F20"/>
          <w:spacing w:val="1"/>
        </w:rPr>
        <w:t> </w:t>
      </w:r>
      <w:r>
        <w:rPr>
          <w:color w:val="231F20"/>
        </w:rPr>
        <w:t>infrastructure, and methods of quality improvement.</w:t>
      </w:r>
    </w:p>
    <w:p>
      <w:pPr>
        <w:pStyle w:val="BodyText"/>
        <w:spacing w:line="266" w:lineRule="auto"/>
        <w:ind w:left="119" w:right="761"/>
      </w:pPr>
      <w:r>
        <w:rPr>
          <w:color w:val="231F20"/>
        </w:rPr>
        <w:t>Considerations related to implementation and evaluation</w:t>
      </w:r>
      <w:r>
        <w:rPr>
          <w:color w:val="231F20"/>
          <w:spacing w:val="-52"/>
        </w:rPr>
        <w:t> </w:t>
      </w:r>
      <w:r>
        <w:rPr>
          <w:color w:val="231F20"/>
        </w:rPr>
        <w:t>will</w:t>
      </w:r>
      <w:r>
        <w:rPr>
          <w:color w:val="231F20"/>
          <w:spacing w:val="-1"/>
        </w:rPr>
        <w:t> </w:t>
      </w:r>
      <w:r>
        <w:rPr>
          <w:color w:val="231F20"/>
        </w:rPr>
        <w:t>be</w:t>
      </w:r>
      <w:r>
        <w:rPr>
          <w:color w:val="231F20"/>
          <w:spacing w:val="-1"/>
        </w:rPr>
        <w:t> </w:t>
      </w:r>
      <w:r>
        <w:rPr>
          <w:color w:val="231F20"/>
        </w:rPr>
        <w:t>discussed</w:t>
      </w:r>
      <w:r>
        <w:rPr>
          <w:color w:val="231F20"/>
          <w:spacing w:val="-1"/>
        </w:rPr>
        <w:t> </w:t>
      </w:r>
      <w:r>
        <w:rPr>
          <w:color w:val="231F20"/>
        </w:rPr>
        <w:t>in</w:t>
      </w:r>
      <w:r>
        <w:rPr>
          <w:color w:val="231F20"/>
          <w:spacing w:val="-1"/>
        </w:rPr>
        <w:t> </w:t>
      </w:r>
      <w:r>
        <w:rPr>
          <w:color w:val="231F20"/>
        </w:rPr>
        <w:t>Chapters</w:t>
      </w:r>
      <w:r>
        <w:rPr>
          <w:color w:val="231F20"/>
          <w:spacing w:val="-1"/>
        </w:rPr>
        <w:t> </w:t>
      </w:r>
      <w:r>
        <w:rPr>
          <w:color w:val="231F20"/>
        </w:rPr>
        <w:t>3</w:t>
      </w:r>
      <w:r>
        <w:rPr>
          <w:color w:val="231F20"/>
          <w:spacing w:val="-1"/>
        </w:rPr>
        <w:t> </w:t>
      </w:r>
      <w:r>
        <w:rPr>
          <w:color w:val="231F20"/>
        </w:rPr>
        <w:t>and</w:t>
      </w:r>
      <w:r>
        <w:rPr>
          <w:color w:val="231F20"/>
          <w:spacing w:val="-1"/>
        </w:rPr>
        <w:t> </w:t>
      </w:r>
      <w:r>
        <w:rPr>
          <w:color w:val="231F20"/>
        </w:rPr>
        <w:t>5,</w:t>
      </w:r>
      <w:r>
        <w:rPr>
          <w:color w:val="231F20"/>
          <w:spacing w:val="-1"/>
        </w:rPr>
        <w:t> </w:t>
      </w:r>
      <w:r>
        <w:rPr>
          <w:color w:val="231F20"/>
        </w:rPr>
        <w:t>respectively.</w:t>
      </w:r>
    </w:p>
    <w:p>
      <w:pPr>
        <w:spacing w:after="0" w:line="266" w:lineRule="auto"/>
        <w:sectPr>
          <w:type w:val="continuous"/>
          <w:pgSz w:w="12240" w:h="15840"/>
          <w:pgMar w:header="0" w:footer="666" w:top="1500" w:bottom="0" w:left="600" w:right="0"/>
          <w:cols w:num="2" w:equalWidth="0">
            <w:col w:w="5181" w:space="579"/>
            <w:col w:w="5880"/>
          </w:cols>
        </w:sectPr>
      </w:pPr>
    </w:p>
    <w:p>
      <w:pPr>
        <w:pStyle w:val="BodyText"/>
        <w:rPr>
          <w:sz w:val="20"/>
        </w:rPr>
      </w:pPr>
    </w:p>
    <w:p>
      <w:pPr>
        <w:pStyle w:val="BodyText"/>
        <w:rPr>
          <w:sz w:val="20"/>
        </w:rPr>
      </w:pPr>
    </w:p>
    <w:p>
      <w:pPr>
        <w:pStyle w:val="BodyText"/>
        <w:rPr>
          <w:sz w:val="20"/>
        </w:rPr>
      </w:pPr>
    </w:p>
    <w:p>
      <w:pPr>
        <w:pStyle w:val="Heading2"/>
      </w:pPr>
      <w:r>
        <w:rPr>
          <w:color w:val="231F20"/>
        </w:rPr>
        <w:t>Reference</w:t>
      </w:r>
      <w:r>
        <w:rPr>
          <w:color w:val="231F20"/>
          <w:spacing w:val="-6"/>
        </w:rPr>
        <w:t> </w:t>
      </w:r>
      <w:r>
        <w:rPr>
          <w:color w:val="231F20"/>
        </w:rPr>
        <w:t>List</w:t>
      </w:r>
    </w:p>
    <w:p>
      <w:pPr>
        <w:pStyle w:val="BodyText"/>
        <w:rPr>
          <w:rFonts w:ascii="Arial Black"/>
          <w:sz w:val="20"/>
        </w:rPr>
      </w:pPr>
    </w:p>
    <w:p>
      <w:pPr>
        <w:pStyle w:val="BodyText"/>
        <w:spacing w:before="11"/>
        <w:rPr>
          <w:rFonts w:ascii="Arial Black"/>
          <w:sz w:val="28"/>
        </w:rPr>
      </w:pPr>
    </w:p>
    <w:p>
      <w:pPr>
        <w:spacing w:after="0"/>
        <w:rPr>
          <w:rFonts w:ascii="Arial Black"/>
          <w:sz w:val="28"/>
        </w:rPr>
        <w:sectPr>
          <w:pgSz w:w="12240" w:h="15840"/>
          <w:pgMar w:header="0" w:footer="666" w:top="380" w:bottom="860" w:left="600" w:right="0"/>
        </w:sectPr>
      </w:pPr>
    </w:p>
    <w:p>
      <w:pPr>
        <w:pStyle w:val="BodyText"/>
        <w:tabs>
          <w:tab w:pos="479" w:val="left" w:leader="none"/>
        </w:tabs>
        <w:spacing w:line="246" w:lineRule="exact" w:before="90"/>
        <w:ind w:left="120"/>
      </w:pPr>
      <w:r>
        <w:rPr/>
        <w:pict>
          <v:rect style="position:absolute;margin-left:0pt;margin-top:116.330101pt;width:612pt;height:1pt;mso-position-horizontal-relative:page;mso-position-vertical-relative:page;z-index:-17875456" id="docshape97" filled="true" fillcolor="#ce372e" stroked="false">
            <v:fill type="solid"/>
            <w10:wrap type="none"/>
          </v:rect>
        </w:pict>
      </w:r>
      <w:r>
        <w:rPr>
          <w:color w:val="231F20"/>
          <w:vertAlign w:val="superscript"/>
        </w:rPr>
        <w:t>1</w:t>
      </w:r>
      <w:r>
        <w:rPr>
          <w:color w:val="231F20"/>
          <w:vertAlign w:val="baseline"/>
        </w:rPr>
        <w:tab/>
        <w:t>Hyler,</w:t>
      </w:r>
      <w:r>
        <w:rPr>
          <w:color w:val="231F20"/>
          <w:spacing w:val="-5"/>
          <w:vertAlign w:val="baseline"/>
        </w:rPr>
        <w:t> </w:t>
      </w:r>
      <w:r>
        <w:rPr>
          <w:color w:val="231F20"/>
          <w:vertAlign w:val="baseline"/>
        </w:rPr>
        <w:t>S.</w:t>
      </w:r>
      <w:r>
        <w:rPr>
          <w:color w:val="231F20"/>
          <w:spacing w:val="-5"/>
          <w:vertAlign w:val="baseline"/>
        </w:rPr>
        <w:t> </w:t>
      </w:r>
      <w:r>
        <w:rPr>
          <w:color w:val="231F20"/>
          <w:vertAlign w:val="baseline"/>
        </w:rPr>
        <w:t>E.,</w:t>
      </w:r>
      <w:r>
        <w:rPr>
          <w:color w:val="231F20"/>
          <w:spacing w:val="-5"/>
          <w:vertAlign w:val="baseline"/>
        </w:rPr>
        <w:t> </w:t>
      </w:r>
      <w:r>
        <w:rPr>
          <w:color w:val="231F20"/>
          <w:vertAlign w:val="baseline"/>
        </w:rPr>
        <w:t>Gangure,</w:t>
      </w:r>
      <w:r>
        <w:rPr>
          <w:color w:val="231F20"/>
          <w:spacing w:val="-4"/>
          <w:vertAlign w:val="baseline"/>
        </w:rPr>
        <w:t> </w:t>
      </w:r>
      <w:r>
        <w:rPr>
          <w:color w:val="231F20"/>
          <w:vertAlign w:val="baseline"/>
        </w:rPr>
        <w:t>D.</w:t>
      </w:r>
      <w:r>
        <w:rPr>
          <w:color w:val="231F20"/>
          <w:spacing w:val="-5"/>
          <w:vertAlign w:val="baseline"/>
        </w:rPr>
        <w:t> </w:t>
      </w:r>
      <w:r>
        <w:rPr>
          <w:color w:val="231F20"/>
          <w:vertAlign w:val="baseline"/>
        </w:rPr>
        <w:t>P.,</w:t>
      </w:r>
      <w:r>
        <w:rPr>
          <w:color w:val="231F20"/>
          <w:spacing w:val="-5"/>
          <w:vertAlign w:val="baseline"/>
        </w:rPr>
        <w:t> </w:t>
      </w:r>
      <w:r>
        <w:rPr>
          <w:color w:val="231F20"/>
          <w:vertAlign w:val="baseline"/>
        </w:rPr>
        <w:t>&amp;</w:t>
      </w:r>
      <w:r>
        <w:rPr>
          <w:color w:val="231F20"/>
          <w:spacing w:val="-5"/>
          <w:vertAlign w:val="baseline"/>
        </w:rPr>
        <w:t> </w:t>
      </w:r>
      <w:r>
        <w:rPr>
          <w:color w:val="231F20"/>
          <w:vertAlign w:val="baseline"/>
        </w:rPr>
        <w:t>Batchelder,</w:t>
      </w:r>
      <w:r>
        <w:rPr>
          <w:color w:val="231F20"/>
          <w:spacing w:val="-4"/>
          <w:vertAlign w:val="baseline"/>
        </w:rPr>
        <w:t> </w:t>
      </w:r>
      <w:r>
        <w:rPr>
          <w:color w:val="231F20"/>
          <w:vertAlign w:val="baseline"/>
        </w:rPr>
        <w:t>S.</w:t>
      </w:r>
    </w:p>
    <w:p>
      <w:pPr>
        <w:pStyle w:val="BodyText"/>
        <w:spacing w:line="228" w:lineRule="auto" w:before="4"/>
        <w:ind w:left="480" w:right="21"/>
      </w:pPr>
      <w:r>
        <w:rPr>
          <w:color w:val="231F20"/>
        </w:rPr>
        <w:t>T. (2005). Can telepsychiatry replace in-person</w:t>
      </w:r>
      <w:r>
        <w:rPr>
          <w:color w:val="231F20"/>
          <w:spacing w:val="1"/>
        </w:rPr>
        <w:t> </w:t>
      </w:r>
      <w:r>
        <w:rPr>
          <w:color w:val="231F20"/>
          <w:spacing w:val="-1"/>
        </w:rPr>
        <w:t>psychiatric assessments? </w:t>
      </w:r>
      <w:r>
        <w:rPr>
          <w:color w:val="231F20"/>
        </w:rPr>
        <w:t>A review and meta-analysis</w:t>
      </w:r>
      <w:r>
        <w:rPr>
          <w:color w:val="231F20"/>
          <w:spacing w:val="-52"/>
        </w:rPr>
        <w:t> </w:t>
      </w:r>
      <w:r>
        <w:rPr>
          <w:color w:val="231F20"/>
        </w:rPr>
        <w:t>of comparison studies. </w:t>
      </w:r>
      <w:r>
        <w:rPr>
          <w:i/>
          <w:color w:val="231F20"/>
        </w:rPr>
        <w:t>CNS Spectrums, 10</w:t>
      </w:r>
      <w:r>
        <w:rPr>
          <w:color w:val="231F20"/>
        </w:rPr>
        <w:t>(5), 403-</w:t>
      </w:r>
      <w:r>
        <w:rPr>
          <w:color w:val="231F20"/>
          <w:spacing w:val="1"/>
        </w:rPr>
        <w:t> </w:t>
      </w:r>
      <w:r>
        <w:rPr>
          <w:color w:val="231F20"/>
        </w:rPr>
        <w:t>415.</w:t>
      </w:r>
      <w:r>
        <w:rPr>
          <w:color w:val="3953A4"/>
          <w:spacing w:val="-1"/>
        </w:rPr>
        <w:t> </w:t>
      </w:r>
      <w:hyperlink r:id="rId135">
        <w:r>
          <w:rPr>
            <w:color w:val="3953A4"/>
            <w:u w:val="single" w:color="3953A4"/>
          </w:rPr>
          <w:t>https://doi.org/10.1017/S109285290002277X</w:t>
        </w:r>
      </w:hyperlink>
    </w:p>
    <w:p>
      <w:pPr>
        <w:pStyle w:val="BodyText"/>
        <w:tabs>
          <w:tab w:pos="479" w:val="left" w:leader="none"/>
        </w:tabs>
        <w:spacing w:line="228" w:lineRule="auto" w:before="89"/>
        <w:ind w:left="480" w:right="52" w:hanging="360"/>
      </w:pPr>
      <w:r>
        <w:rPr>
          <w:color w:val="231F20"/>
          <w:vertAlign w:val="superscript"/>
        </w:rPr>
        <w:t>2</w:t>
      </w:r>
      <w:r>
        <w:rPr>
          <w:color w:val="231F20"/>
          <w:vertAlign w:val="baseline"/>
        </w:rPr>
        <w:tab/>
      </w:r>
      <w:r>
        <w:rPr>
          <w:color w:val="231F20"/>
          <w:spacing w:val="-1"/>
          <w:vertAlign w:val="baseline"/>
        </w:rPr>
        <w:t>Ogilvie, C. B., Jotwani, </w:t>
      </w:r>
      <w:r>
        <w:rPr>
          <w:color w:val="231F20"/>
          <w:vertAlign w:val="baseline"/>
        </w:rPr>
        <w:t>R., Joshi, J., Gulati, A., &amp;</w:t>
      </w:r>
      <w:r>
        <w:rPr>
          <w:color w:val="231F20"/>
          <w:spacing w:val="1"/>
          <w:vertAlign w:val="baseline"/>
        </w:rPr>
        <w:t> </w:t>
      </w:r>
      <w:r>
        <w:rPr>
          <w:color w:val="231F20"/>
          <w:vertAlign w:val="baseline"/>
        </w:rPr>
        <w:t>Mehta, N. (2020). Review of opioid risk assessment</w:t>
      </w:r>
      <w:r>
        <w:rPr>
          <w:color w:val="231F20"/>
          <w:spacing w:val="1"/>
          <w:vertAlign w:val="baseline"/>
        </w:rPr>
        <w:t> </w:t>
      </w:r>
      <w:r>
        <w:rPr>
          <w:color w:val="231F20"/>
          <w:vertAlign w:val="baseline"/>
        </w:rPr>
        <w:t>tools</w:t>
      </w:r>
      <w:r>
        <w:rPr>
          <w:color w:val="231F20"/>
          <w:spacing w:val="-4"/>
          <w:vertAlign w:val="baseline"/>
        </w:rPr>
        <w:t> </w:t>
      </w:r>
      <w:r>
        <w:rPr>
          <w:color w:val="231F20"/>
          <w:vertAlign w:val="baseline"/>
        </w:rPr>
        <w:t>with</w:t>
      </w:r>
      <w:r>
        <w:rPr>
          <w:color w:val="231F20"/>
          <w:spacing w:val="-3"/>
          <w:vertAlign w:val="baseline"/>
        </w:rPr>
        <w:t> </w:t>
      </w:r>
      <w:r>
        <w:rPr>
          <w:color w:val="231F20"/>
          <w:vertAlign w:val="baseline"/>
        </w:rPr>
        <w:t>the</w:t>
      </w:r>
      <w:r>
        <w:rPr>
          <w:color w:val="231F20"/>
          <w:spacing w:val="-4"/>
          <w:vertAlign w:val="baseline"/>
        </w:rPr>
        <w:t> </w:t>
      </w:r>
      <w:r>
        <w:rPr>
          <w:color w:val="231F20"/>
          <w:vertAlign w:val="baseline"/>
        </w:rPr>
        <w:t>growing</w:t>
      </w:r>
      <w:r>
        <w:rPr>
          <w:color w:val="231F20"/>
          <w:spacing w:val="-3"/>
          <w:vertAlign w:val="baseline"/>
        </w:rPr>
        <w:t> </w:t>
      </w:r>
      <w:r>
        <w:rPr>
          <w:color w:val="231F20"/>
          <w:vertAlign w:val="baseline"/>
        </w:rPr>
        <w:t>need</w:t>
      </w:r>
      <w:r>
        <w:rPr>
          <w:color w:val="231F20"/>
          <w:spacing w:val="-3"/>
          <w:vertAlign w:val="baseline"/>
        </w:rPr>
        <w:t> </w:t>
      </w:r>
      <w:r>
        <w:rPr>
          <w:color w:val="231F20"/>
          <w:vertAlign w:val="baseline"/>
        </w:rPr>
        <w:t>for</w:t>
      </w:r>
      <w:r>
        <w:rPr>
          <w:color w:val="231F20"/>
          <w:spacing w:val="-4"/>
          <w:vertAlign w:val="baseline"/>
        </w:rPr>
        <w:t> </w:t>
      </w:r>
      <w:r>
        <w:rPr>
          <w:color w:val="231F20"/>
          <w:vertAlign w:val="baseline"/>
        </w:rPr>
        <w:t>telemedicine.</w:t>
      </w:r>
      <w:r>
        <w:rPr>
          <w:color w:val="231F20"/>
          <w:spacing w:val="-4"/>
          <w:vertAlign w:val="baseline"/>
        </w:rPr>
        <w:t> </w:t>
      </w:r>
      <w:r>
        <w:rPr>
          <w:i/>
          <w:color w:val="231F20"/>
          <w:vertAlign w:val="baseline"/>
        </w:rPr>
        <w:t>Future</w:t>
      </w:r>
      <w:r>
        <w:rPr>
          <w:i/>
          <w:color w:val="231F20"/>
          <w:spacing w:val="-52"/>
          <w:vertAlign w:val="baseline"/>
        </w:rPr>
        <w:t> </w:t>
      </w:r>
      <w:r>
        <w:rPr>
          <w:i/>
          <w:color w:val="231F20"/>
          <w:vertAlign w:val="baseline"/>
        </w:rPr>
        <w:t>Medicine</w:t>
      </w:r>
      <w:r>
        <w:rPr>
          <w:color w:val="231F20"/>
          <w:vertAlign w:val="baseline"/>
        </w:rPr>
        <w:t>.</w:t>
      </w:r>
      <w:r>
        <w:rPr>
          <w:color w:val="231F20"/>
          <w:spacing w:val="-1"/>
          <w:vertAlign w:val="baseline"/>
        </w:rPr>
        <w:t> </w:t>
      </w:r>
      <w:hyperlink r:id="rId136">
        <w:r>
          <w:rPr>
            <w:color w:val="3953A4"/>
            <w:u w:val="single" w:color="3953A4"/>
            <w:vertAlign w:val="baseline"/>
          </w:rPr>
          <w:t>https://doi.org/10.2217/pmt-2020-0064</w:t>
        </w:r>
      </w:hyperlink>
    </w:p>
    <w:p>
      <w:pPr>
        <w:pStyle w:val="BodyText"/>
        <w:tabs>
          <w:tab w:pos="479" w:val="left" w:leader="none"/>
        </w:tabs>
        <w:spacing w:line="228" w:lineRule="auto" w:before="89"/>
        <w:ind w:left="480" w:right="76" w:hanging="360"/>
      </w:pPr>
      <w:r>
        <w:rPr>
          <w:color w:val="231F20"/>
          <w:vertAlign w:val="superscript"/>
        </w:rPr>
        <w:t>3</w:t>
      </w:r>
      <w:r>
        <w:rPr>
          <w:color w:val="231F20"/>
          <w:vertAlign w:val="baseline"/>
        </w:rPr>
        <w:tab/>
        <w:t>Hester, R. K., &amp; Miller, J. H. (2006). Computer-</w:t>
      </w:r>
      <w:r>
        <w:rPr>
          <w:color w:val="231F20"/>
          <w:spacing w:val="1"/>
          <w:vertAlign w:val="baseline"/>
        </w:rPr>
        <w:t> </w:t>
      </w:r>
      <w:r>
        <w:rPr>
          <w:color w:val="231F20"/>
          <w:vertAlign w:val="baseline"/>
        </w:rPr>
        <w:t>based tools for diagnosis and treatment of alcohol</w:t>
      </w:r>
      <w:r>
        <w:rPr>
          <w:color w:val="231F20"/>
          <w:spacing w:val="1"/>
          <w:vertAlign w:val="baseline"/>
        </w:rPr>
        <w:t> </w:t>
      </w:r>
      <w:r>
        <w:rPr>
          <w:color w:val="231F20"/>
          <w:vertAlign w:val="baseline"/>
        </w:rPr>
        <w:t>problems.</w:t>
      </w:r>
      <w:r>
        <w:rPr>
          <w:color w:val="231F20"/>
          <w:spacing w:val="-4"/>
          <w:vertAlign w:val="baseline"/>
        </w:rPr>
        <w:t> </w:t>
      </w:r>
      <w:r>
        <w:rPr>
          <w:i/>
          <w:color w:val="231F20"/>
          <w:vertAlign w:val="baseline"/>
        </w:rPr>
        <w:t>Alcohol</w:t>
      </w:r>
      <w:r>
        <w:rPr>
          <w:i/>
          <w:color w:val="231F20"/>
          <w:spacing w:val="-4"/>
          <w:vertAlign w:val="baseline"/>
        </w:rPr>
        <w:t> </w:t>
      </w:r>
      <w:r>
        <w:rPr>
          <w:i/>
          <w:color w:val="231F20"/>
          <w:vertAlign w:val="baseline"/>
        </w:rPr>
        <w:t>Research</w:t>
      </w:r>
      <w:r>
        <w:rPr>
          <w:i/>
          <w:color w:val="231F20"/>
          <w:spacing w:val="-4"/>
          <w:vertAlign w:val="baseline"/>
        </w:rPr>
        <w:t> </w:t>
      </w:r>
      <w:r>
        <w:rPr>
          <w:i/>
          <w:color w:val="231F20"/>
          <w:vertAlign w:val="baseline"/>
        </w:rPr>
        <w:t>&amp;</w:t>
      </w:r>
      <w:r>
        <w:rPr>
          <w:i/>
          <w:color w:val="231F20"/>
          <w:spacing w:val="-4"/>
          <w:vertAlign w:val="baseline"/>
        </w:rPr>
        <w:t> </w:t>
      </w:r>
      <w:r>
        <w:rPr>
          <w:i/>
          <w:color w:val="231F20"/>
          <w:vertAlign w:val="baseline"/>
        </w:rPr>
        <w:t>Health,</w:t>
      </w:r>
      <w:r>
        <w:rPr>
          <w:i/>
          <w:color w:val="231F20"/>
          <w:spacing w:val="-4"/>
          <w:vertAlign w:val="baseline"/>
        </w:rPr>
        <w:t> </w:t>
      </w:r>
      <w:r>
        <w:rPr>
          <w:i/>
          <w:color w:val="231F20"/>
          <w:vertAlign w:val="baseline"/>
        </w:rPr>
        <w:t>29</w:t>
      </w:r>
      <w:r>
        <w:rPr>
          <w:color w:val="231F20"/>
          <w:vertAlign w:val="baseline"/>
        </w:rPr>
        <w:t>(1),</w:t>
      </w:r>
      <w:r>
        <w:rPr>
          <w:color w:val="231F20"/>
          <w:spacing w:val="-4"/>
          <w:vertAlign w:val="baseline"/>
        </w:rPr>
        <w:t> </w:t>
      </w:r>
      <w:r>
        <w:rPr>
          <w:color w:val="231F20"/>
          <w:vertAlign w:val="baseline"/>
        </w:rPr>
        <w:t>36-40.</w:t>
      </w:r>
      <w:r>
        <w:rPr>
          <w:color w:val="231F20"/>
          <w:spacing w:val="-52"/>
          <w:vertAlign w:val="baseline"/>
        </w:rPr>
        <w:t> </w:t>
      </w:r>
      <w:hyperlink r:id="rId137">
        <w:r>
          <w:rPr>
            <w:color w:val="3953A4"/>
            <w:u w:val="single" w:color="3953A4"/>
            <w:vertAlign w:val="baseline"/>
          </w:rPr>
          <w:t>https://pubmed.ncbi.nlm.nih.gov/16767852/</w:t>
        </w:r>
      </w:hyperlink>
    </w:p>
    <w:p>
      <w:pPr>
        <w:pStyle w:val="BodyText"/>
        <w:tabs>
          <w:tab w:pos="479" w:val="left" w:leader="none"/>
        </w:tabs>
        <w:spacing w:line="228" w:lineRule="auto" w:before="88"/>
        <w:ind w:left="480" w:right="53" w:hanging="360"/>
      </w:pPr>
      <w:r>
        <w:rPr>
          <w:color w:val="231F20"/>
          <w:vertAlign w:val="superscript"/>
        </w:rPr>
        <w:t>4</w:t>
      </w:r>
      <w:r>
        <w:rPr>
          <w:color w:val="231F20"/>
          <w:vertAlign w:val="baseline"/>
        </w:rPr>
        <w:tab/>
        <w:t>Drug Enforcement Administration. (2009).</w:t>
      </w:r>
      <w:r>
        <w:rPr>
          <w:color w:val="231F20"/>
          <w:spacing w:val="1"/>
          <w:vertAlign w:val="baseline"/>
        </w:rPr>
        <w:t> </w:t>
      </w:r>
      <w:r>
        <w:rPr>
          <w:color w:val="231F20"/>
          <w:vertAlign w:val="baseline"/>
        </w:rPr>
        <w:t>Implementation</w:t>
      </w:r>
      <w:r>
        <w:rPr>
          <w:color w:val="231F20"/>
          <w:spacing w:val="-5"/>
          <w:vertAlign w:val="baseline"/>
        </w:rPr>
        <w:t> </w:t>
      </w:r>
      <w:r>
        <w:rPr>
          <w:color w:val="231F20"/>
          <w:vertAlign w:val="baseline"/>
        </w:rPr>
        <w:t>of</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Ryan</w:t>
      </w:r>
      <w:r>
        <w:rPr>
          <w:color w:val="231F20"/>
          <w:spacing w:val="-4"/>
          <w:vertAlign w:val="baseline"/>
        </w:rPr>
        <w:t> </w:t>
      </w:r>
      <w:r>
        <w:rPr>
          <w:color w:val="231F20"/>
          <w:vertAlign w:val="baseline"/>
        </w:rPr>
        <w:t>Haight</w:t>
      </w:r>
      <w:r>
        <w:rPr>
          <w:color w:val="231F20"/>
          <w:spacing w:val="-4"/>
          <w:vertAlign w:val="baseline"/>
        </w:rPr>
        <w:t> </w:t>
      </w:r>
      <w:r>
        <w:rPr>
          <w:color w:val="231F20"/>
          <w:vertAlign w:val="baseline"/>
        </w:rPr>
        <w:t>online</w:t>
      </w:r>
      <w:r>
        <w:rPr>
          <w:color w:val="231F20"/>
          <w:spacing w:val="-4"/>
          <w:vertAlign w:val="baseline"/>
        </w:rPr>
        <w:t> </w:t>
      </w:r>
      <w:r>
        <w:rPr>
          <w:color w:val="231F20"/>
          <w:vertAlign w:val="baseline"/>
        </w:rPr>
        <w:t>pharmacy</w:t>
      </w:r>
      <w:r>
        <w:rPr>
          <w:color w:val="231F20"/>
          <w:spacing w:val="-52"/>
          <w:vertAlign w:val="baseline"/>
        </w:rPr>
        <w:t> </w:t>
      </w:r>
      <w:r>
        <w:rPr>
          <w:color w:val="231F20"/>
          <w:vertAlign w:val="baseline"/>
        </w:rPr>
        <w:t>consumer protection act of 2008. Final rule. </w:t>
      </w:r>
      <w:r>
        <w:rPr>
          <w:i/>
          <w:color w:val="231F20"/>
          <w:vertAlign w:val="baseline"/>
        </w:rPr>
        <w:t>Federal</w:t>
      </w:r>
      <w:r>
        <w:rPr>
          <w:i/>
          <w:color w:val="231F20"/>
          <w:spacing w:val="-52"/>
          <w:vertAlign w:val="baseline"/>
        </w:rPr>
        <w:t> </w:t>
      </w:r>
      <w:r>
        <w:rPr>
          <w:i/>
          <w:color w:val="231F20"/>
          <w:vertAlign w:val="baseline"/>
        </w:rPr>
        <w:t>Register, 74 FR 15595</w:t>
      </w:r>
      <w:r>
        <w:rPr>
          <w:color w:val="231F20"/>
          <w:vertAlign w:val="baseline"/>
        </w:rPr>
        <w:t>, 15595-15625. </w:t>
      </w:r>
      <w:hyperlink r:id="rId138">
        <w:r>
          <w:rPr>
            <w:color w:val="3953A4"/>
            <w:u w:val="single" w:color="3953A4"/>
            <w:vertAlign w:val="baseline"/>
          </w:rPr>
          <w:t>https://</w:t>
        </w:r>
      </w:hyperlink>
      <w:r>
        <w:rPr>
          <w:color w:val="3953A4"/>
          <w:spacing w:val="1"/>
          <w:vertAlign w:val="baseline"/>
        </w:rPr>
        <w:t> </w:t>
      </w:r>
      <w:hyperlink r:id="rId138">
        <w:r>
          <w:rPr>
            <w:color w:val="3953A4"/>
            <w:u w:val="single" w:color="3953A4"/>
            <w:vertAlign w:val="baseline"/>
          </w:rPr>
          <w:t>www.federalregister.gov/documents/2009/04/06/</w:t>
        </w:r>
      </w:hyperlink>
    </w:p>
    <w:p>
      <w:pPr>
        <w:pStyle w:val="BodyText"/>
        <w:spacing w:line="228" w:lineRule="auto"/>
        <w:ind w:left="480" w:right="117"/>
      </w:pPr>
      <w:hyperlink r:id="rId138">
        <w:r>
          <w:rPr>
            <w:color w:val="3953A4"/>
            <w:u w:val="single" w:color="3953A4"/>
          </w:rPr>
          <w:t>E9-7698/implementation-of-the-ryan-haight-online-</w:t>
        </w:r>
      </w:hyperlink>
      <w:r>
        <w:rPr>
          <w:color w:val="3953A4"/>
          <w:spacing w:val="-52"/>
        </w:rPr>
        <w:t> </w:t>
      </w:r>
      <w:hyperlink r:id="rId138">
        <w:r>
          <w:rPr>
            <w:color w:val="3953A4"/>
            <w:u w:val="single" w:color="3953A4"/>
          </w:rPr>
          <w:t>pharmacy-consumer-protection-act-of-2008</w:t>
        </w:r>
      </w:hyperlink>
    </w:p>
    <w:p>
      <w:pPr>
        <w:pStyle w:val="BodyText"/>
        <w:tabs>
          <w:tab w:pos="479" w:val="left" w:leader="none"/>
        </w:tabs>
        <w:spacing w:line="228" w:lineRule="auto" w:before="88"/>
        <w:ind w:left="480" w:right="202" w:hanging="360"/>
      </w:pPr>
      <w:r>
        <w:rPr>
          <w:color w:val="231F20"/>
          <w:vertAlign w:val="superscript"/>
        </w:rPr>
        <w:t>5</w:t>
      </w:r>
      <w:r>
        <w:rPr>
          <w:color w:val="231F20"/>
          <w:vertAlign w:val="baseline"/>
        </w:rPr>
        <w:tab/>
      </w:r>
      <w:r>
        <w:rPr>
          <w:color w:val="231F20"/>
          <w:spacing w:val="-2"/>
          <w:vertAlign w:val="baseline"/>
        </w:rPr>
        <w:t>Gregory,</w:t>
      </w:r>
      <w:r>
        <w:rPr>
          <w:color w:val="231F20"/>
          <w:vertAlign w:val="baseline"/>
        </w:rPr>
        <w:t> </w:t>
      </w:r>
      <w:r>
        <w:rPr>
          <w:color w:val="231F20"/>
          <w:spacing w:val="-2"/>
          <w:vertAlign w:val="baseline"/>
        </w:rPr>
        <w:t>P.,</w:t>
      </w:r>
      <w:r>
        <w:rPr>
          <w:color w:val="231F20"/>
          <w:spacing w:val="-13"/>
          <w:vertAlign w:val="baseline"/>
        </w:rPr>
        <w:t> </w:t>
      </w:r>
      <w:r>
        <w:rPr>
          <w:color w:val="231F20"/>
          <w:spacing w:val="-2"/>
          <w:vertAlign w:val="baseline"/>
        </w:rPr>
        <w:t>Alexander,</w:t>
      </w:r>
      <w:r>
        <w:rPr>
          <w:color w:val="231F20"/>
          <w:vertAlign w:val="baseline"/>
        </w:rPr>
        <w:t> </w:t>
      </w:r>
      <w:r>
        <w:rPr>
          <w:color w:val="231F20"/>
          <w:spacing w:val="-2"/>
          <w:vertAlign w:val="baseline"/>
        </w:rPr>
        <w:t>J.,</w:t>
      </w:r>
      <w:r>
        <w:rPr>
          <w:color w:val="231F20"/>
          <w:spacing w:val="1"/>
          <w:vertAlign w:val="baseline"/>
        </w:rPr>
        <w:t> </w:t>
      </w:r>
      <w:r>
        <w:rPr>
          <w:color w:val="231F20"/>
          <w:spacing w:val="-2"/>
          <w:vertAlign w:val="baseline"/>
        </w:rPr>
        <w:t>&amp;</w:t>
      </w:r>
      <w:r>
        <w:rPr>
          <w:color w:val="231F20"/>
          <w:vertAlign w:val="baseline"/>
        </w:rPr>
        <w:t> </w:t>
      </w:r>
      <w:r>
        <w:rPr>
          <w:color w:val="231F20"/>
          <w:spacing w:val="-2"/>
          <w:vertAlign w:val="baseline"/>
        </w:rPr>
        <w:t>Satinsky,</w:t>
      </w:r>
      <w:r>
        <w:rPr>
          <w:color w:val="231F20"/>
          <w:vertAlign w:val="baseline"/>
        </w:rPr>
        <w:t> </w:t>
      </w:r>
      <w:r>
        <w:rPr>
          <w:color w:val="231F20"/>
          <w:spacing w:val="-1"/>
          <w:vertAlign w:val="baseline"/>
        </w:rPr>
        <w:t>J.</w:t>
      </w:r>
      <w:r>
        <w:rPr>
          <w:color w:val="231F20"/>
          <w:spacing w:val="1"/>
          <w:vertAlign w:val="baseline"/>
        </w:rPr>
        <w:t> </w:t>
      </w:r>
      <w:r>
        <w:rPr>
          <w:color w:val="231F20"/>
          <w:spacing w:val="-1"/>
          <w:vertAlign w:val="baseline"/>
        </w:rPr>
        <w:t>(2011).</w:t>
      </w:r>
      <w:r>
        <w:rPr>
          <w:color w:val="231F20"/>
          <w:vertAlign w:val="baseline"/>
        </w:rPr>
        <w:t> Clinical telerehabilitation: Applications for</w:t>
      </w:r>
      <w:r>
        <w:rPr>
          <w:color w:val="231F20"/>
          <w:spacing w:val="1"/>
          <w:vertAlign w:val="baseline"/>
        </w:rPr>
        <w:t> </w:t>
      </w:r>
      <w:r>
        <w:rPr>
          <w:color w:val="231F20"/>
          <w:vertAlign w:val="baseline"/>
        </w:rPr>
        <w:t>physiatrists. </w:t>
      </w:r>
      <w:r>
        <w:rPr>
          <w:i/>
          <w:color w:val="231F20"/>
          <w:vertAlign w:val="baseline"/>
        </w:rPr>
        <w:t>Physical Medicine and Rehabilitation,</w:t>
      </w:r>
      <w:r>
        <w:rPr>
          <w:i/>
          <w:color w:val="231F20"/>
          <w:spacing w:val="-53"/>
          <w:vertAlign w:val="baseline"/>
        </w:rPr>
        <w:t> </w:t>
      </w:r>
      <w:r>
        <w:rPr>
          <w:i/>
          <w:color w:val="231F20"/>
          <w:vertAlign w:val="baseline"/>
        </w:rPr>
        <w:t>3</w:t>
      </w:r>
      <w:r>
        <w:rPr>
          <w:color w:val="231F20"/>
          <w:vertAlign w:val="baseline"/>
        </w:rPr>
        <w:t>(7), 647-656. </w:t>
      </w:r>
      <w:hyperlink r:id="rId139">
        <w:r>
          <w:rPr>
            <w:color w:val="3953A4"/>
            <w:u w:val="single" w:color="3953A4"/>
            <w:vertAlign w:val="baseline"/>
          </w:rPr>
          <w:t>https://doi.org/10.1016/j.</w:t>
        </w:r>
      </w:hyperlink>
      <w:r>
        <w:rPr>
          <w:color w:val="3953A4"/>
          <w:spacing w:val="1"/>
          <w:vertAlign w:val="baseline"/>
        </w:rPr>
        <w:t> </w:t>
      </w:r>
      <w:hyperlink r:id="rId139">
        <w:r>
          <w:rPr>
            <w:color w:val="3953A4"/>
            <w:u w:val="single" w:color="3953A4"/>
            <w:vertAlign w:val="baseline"/>
          </w:rPr>
          <w:t>pmrj.2011.02.024</w:t>
        </w:r>
      </w:hyperlink>
    </w:p>
    <w:p>
      <w:pPr>
        <w:pStyle w:val="BodyText"/>
        <w:tabs>
          <w:tab w:pos="479" w:val="left" w:leader="none"/>
        </w:tabs>
        <w:spacing w:line="228" w:lineRule="auto" w:before="88"/>
        <w:ind w:left="480" w:right="536" w:hanging="360"/>
      </w:pPr>
      <w:r>
        <w:rPr>
          <w:color w:val="231F20"/>
          <w:vertAlign w:val="superscript"/>
        </w:rPr>
        <w:t>6</w:t>
      </w:r>
      <w:r>
        <w:rPr>
          <w:color w:val="231F20"/>
          <w:vertAlign w:val="baseline"/>
        </w:rPr>
        <w:tab/>
      </w:r>
      <w:r>
        <w:rPr>
          <w:color w:val="231F20"/>
          <w:spacing w:val="-6"/>
          <w:vertAlign w:val="baseline"/>
        </w:rPr>
        <w:t>Shore, </w:t>
      </w:r>
      <w:r>
        <w:rPr>
          <w:color w:val="231F20"/>
          <w:spacing w:val="-5"/>
          <w:vertAlign w:val="baseline"/>
        </w:rPr>
        <w:t>J. H. (2020). Managing virtual hybrid</w:t>
      </w:r>
      <w:r>
        <w:rPr>
          <w:color w:val="231F20"/>
          <w:spacing w:val="-4"/>
          <w:vertAlign w:val="baseline"/>
        </w:rPr>
        <w:t> </w:t>
      </w:r>
      <w:r>
        <w:rPr>
          <w:color w:val="231F20"/>
          <w:spacing w:val="-6"/>
          <w:vertAlign w:val="baseline"/>
        </w:rPr>
        <w:t>psychiatrist-patient</w:t>
      </w:r>
      <w:r>
        <w:rPr>
          <w:color w:val="231F20"/>
          <w:spacing w:val="-12"/>
          <w:vertAlign w:val="baseline"/>
        </w:rPr>
        <w:t> </w:t>
      </w:r>
      <w:r>
        <w:rPr>
          <w:color w:val="231F20"/>
          <w:spacing w:val="-6"/>
          <w:vertAlign w:val="baseline"/>
        </w:rPr>
        <w:t>relationships</w:t>
      </w:r>
      <w:r>
        <w:rPr>
          <w:color w:val="231F20"/>
          <w:spacing w:val="-12"/>
          <w:vertAlign w:val="baseline"/>
        </w:rPr>
        <w:t> </w:t>
      </w:r>
      <w:r>
        <w:rPr>
          <w:color w:val="231F20"/>
          <w:spacing w:val="-6"/>
          <w:vertAlign w:val="baseline"/>
        </w:rPr>
        <w:t>in</w:t>
      </w:r>
      <w:r>
        <w:rPr>
          <w:color w:val="231F20"/>
          <w:spacing w:val="-12"/>
          <w:vertAlign w:val="baseline"/>
        </w:rPr>
        <w:t> </w:t>
      </w:r>
      <w:r>
        <w:rPr>
          <w:color w:val="231F20"/>
          <w:spacing w:val="-5"/>
          <w:vertAlign w:val="baseline"/>
        </w:rPr>
        <w:t>a</w:t>
      </w:r>
      <w:r>
        <w:rPr>
          <w:color w:val="231F20"/>
          <w:spacing w:val="-12"/>
          <w:vertAlign w:val="baseline"/>
        </w:rPr>
        <w:t> </w:t>
      </w:r>
      <w:r>
        <w:rPr>
          <w:color w:val="231F20"/>
          <w:spacing w:val="-5"/>
          <w:vertAlign w:val="baseline"/>
        </w:rPr>
        <w:t>digital</w:t>
      </w:r>
      <w:r>
        <w:rPr>
          <w:color w:val="231F20"/>
          <w:spacing w:val="-11"/>
          <w:vertAlign w:val="baseline"/>
        </w:rPr>
        <w:t> </w:t>
      </w:r>
      <w:r>
        <w:rPr>
          <w:color w:val="231F20"/>
          <w:spacing w:val="-5"/>
          <w:vertAlign w:val="baseline"/>
        </w:rPr>
        <w:t>world.</w:t>
      </w:r>
      <w:r>
        <w:rPr>
          <w:color w:val="231F20"/>
          <w:spacing w:val="-52"/>
          <w:vertAlign w:val="baseline"/>
        </w:rPr>
        <w:t> </w:t>
      </w:r>
      <w:r>
        <w:rPr>
          <w:i/>
          <w:color w:val="231F20"/>
          <w:spacing w:val="-6"/>
          <w:vertAlign w:val="baseline"/>
        </w:rPr>
        <w:t>JAMA Psychiatry, 77</w:t>
      </w:r>
      <w:r>
        <w:rPr>
          <w:color w:val="231F20"/>
          <w:spacing w:val="-6"/>
          <w:vertAlign w:val="baseline"/>
        </w:rPr>
        <w:t>(5), 541-542. </w:t>
      </w:r>
      <w:hyperlink r:id="rId140">
        <w:r>
          <w:rPr>
            <w:color w:val="3953A4"/>
            <w:spacing w:val="-6"/>
            <w:u w:val="single" w:color="3953A4"/>
            <w:vertAlign w:val="baseline"/>
          </w:rPr>
          <w:t>https://doi.</w:t>
        </w:r>
      </w:hyperlink>
      <w:r>
        <w:rPr>
          <w:color w:val="3953A4"/>
          <w:spacing w:val="-5"/>
          <w:vertAlign w:val="baseline"/>
        </w:rPr>
        <w:t> </w:t>
      </w:r>
      <w:hyperlink r:id="rId140">
        <w:r>
          <w:rPr>
            <w:color w:val="3953A4"/>
            <w:u w:val="single" w:color="3953A4"/>
            <w:vertAlign w:val="baseline"/>
          </w:rPr>
          <w:t>org/10.1001/jamapsychiatry.2020.0139</w:t>
        </w:r>
      </w:hyperlink>
    </w:p>
    <w:p>
      <w:pPr>
        <w:pStyle w:val="BodyText"/>
        <w:tabs>
          <w:tab w:pos="479" w:val="left" w:leader="none"/>
        </w:tabs>
        <w:spacing w:line="228" w:lineRule="auto" w:before="89"/>
        <w:ind w:left="480" w:right="172" w:hanging="360"/>
      </w:pPr>
      <w:r>
        <w:rPr>
          <w:color w:val="231F20"/>
          <w:vertAlign w:val="superscript"/>
        </w:rPr>
        <w:t>7</w:t>
      </w:r>
      <w:r>
        <w:rPr>
          <w:color w:val="231F20"/>
          <w:vertAlign w:val="baseline"/>
        </w:rPr>
        <w:tab/>
        <w:t>Basit, S. A., Mathews, N., &amp; Kunik, M. E. (2020).</w:t>
      </w:r>
      <w:r>
        <w:rPr>
          <w:color w:val="231F20"/>
          <w:spacing w:val="1"/>
          <w:vertAlign w:val="baseline"/>
        </w:rPr>
        <w:t> </w:t>
      </w:r>
      <w:r>
        <w:rPr>
          <w:color w:val="231F20"/>
          <w:vertAlign w:val="baseline"/>
        </w:rPr>
        <w:t>Telemedicine interventions for medication</w:t>
      </w:r>
      <w:r>
        <w:rPr>
          <w:color w:val="231F20"/>
          <w:spacing w:val="1"/>
          <w:vertAlign w:val="baseline"/>
        </w:rPr>
        <w:t> </w:t>
      </w:r>
      <w:r>
        <w:rPr>
          <w:color w:val="231F20"/>
          <w:spacing w:val="-1"/>
          <w:vertAlign w:val="baseline"/>
        </w:rPr>
        <w:t>adherence </w:t>
      </w:r>
      <w:r>
        <w:rPr>
          <w:color w:val="231F20"/>
          <w:vertAlign w:val="baseline"/>
        </w:rPr>
        <w:t>in mental illness: A systematic review.</w:t>
      </w:r>
      <w:r>
        <w:rPr>
          <w:color w:val="231F20"/>
          <w:spacing w:val="1"/>
          <w:vertAlign w:val="baseline"/>
        </w:rPr>
        <w:t> </w:t>
      </w:r>
      <w:r>
        <w:rPr>
          <w:i/>
          <w:color w:val="231F20"/>
          <w:vertAlign w:val="baseline"/>
        </w:rPr>
        <w:t>General</w:t>
      </w:r>
      <w:r>
        <w:rPr>
          <w:i/>
          <w:color w:val="231F20"/>
          <w:spacing w:val="-6"/>
          <w:vertAlign w:val="baseline"/>
        </w:rPr>
        <w:t> </w:t>
      </w:r>
      <w:r>
        <w:rPr>
          <w:i/>
          <w:color w:val="231F20"/>
          <w:vertAlign w:val="baseline"/>
        </w:rPr>
        <w:t>Hospital</w:t>
      </w:r>
      <w:r>
        <w:rPr>
          <w:i/>
          <w:color w:val="231F20"/>
          <w:spacing w:val="-6"/>
          <w:vertAlign w:val="baseline"/>
        </w:rPr>
        <w:t> </w:t>
      </w:r>
      <w:r>
        <w:rPr>
          <w:i/>
          <w:color w:val="231F20"/>
          <w:vertAlign w:val="baseline"/>
        </w:rPr>
        <w:t>Psychiatry,</w:t>
      </w:r>
      <w:r>
        <w:rPr>
          <w:i/>
          <w:color w:val="231F20"/>
          <w:spacing w:val="-5"/>
          <w:vertAlign w:val="baseline"/>
        </w:rPr>
        <w:t> </w:t>
      </w:r>
      <w:r>
        <w:rPr>
          <w:i/>
          <w:color w:val="231F20"/>
          <w:vertAlign w:val="baseline"/>
        </w:rPr>
        <w:t>62</w:t>
      </w:r>
      <w:r>
        <w:rPr>
          <w:color w:val="231F20"/>
          <w:vertAlign w:val="baseline"/>
        </w:rPr>
        <w:t>,</w:t>
      </w:r>
      <w:r>
        <w:rPr>
          <w:color w:val="231F20"/>
          <w:spacing w:val="-6"/>
          <w:vertAlign w:val="baseline"/>
        </w:rPr>
        <w:t> </w:t>
      </w:r>
      <w:r>
        <w:rPr>
          <w:color w:val="231F20"/>
          <w:vertAlign w:val="baseline"/>
        </w:rPr>
        <w:t>28-36.</w:t>
      </w:r>
      <w:r>
        <w:rPr>
          <w:color w:val="231F20"/>
          <w:spacing w:val="-6"/>
          <w:vertAlign w:val="baseline"/>
        </w:rPr>
        <w:t> </w:t>
      </w:r>
      <w:hyperlink r:id="rId141">
        <w:r>
          <w:rPr>
            <w:color w:val="3953A4"/>
            <w:u w:val="single" w:color="3953A4"/>
            <w:vertAlign w:val="baseline"/>
          </w:rPr>
          <w:t>https://doi.</w:t>
        </w:r>
      </w:hyperlink>
      <w:r>
        <w:rPr>
          <w:color w:val="3953A4"/>
          <w:spacing w:val="-52"/>
          <w:vertAlign w:val="baseline"/>
        </w:rPr>
        <w:t> </w:t>
      </w:r>
      <w:hyperlink r:id="rId141">
        <w:r>
          <w:rPr>
            <w:color w:val="3953A4"/>
            <w:u w:val="single" w:color="3953A4"/>
            <w:vertAlign w:val="baseline"/>
          </w:rPr>
          <w:t>org/10.1016/j.genhosppsych.2019.11.004</w:t>
        </w:r>
      </w:hyperlink>
    </w:p>
    <w:p>
      <w:pPr>
        <w:pStyle w:val="BodyText"/>
        <w:tabs>
          <w:tab w:pos="479" w:val="left" w:leader="none"/>
        </w:tabs>
        <w:spacing w:line="228" w:lineRule="auto" w:before="88"/>
        <w:ind w:left="480" w:right="113" w:hanging="360"/>
      </w:pPr>
      <w:r>
        <w:rPr>
          <w:color w:val="231F20"/>
          <w:vertAlign w:val="superscript"/>
        </w:rPr>
        <w:t>8</w:t>
      </w:r>
      <w:r>
        <w:rPr>
          <w:color w:val="231F20"/>
          <w:vertAlign w:val="baseline"/>
        </w:rPr>
        <w:tab/>
        <w:t>Hilty, D. M., Ferrer, D. C., Parish, M. B., Johnston,</w:t>
      </w:r>
      <w:r>
        <w:rPr>
          <w:color w:val="231F20"/>
          <w:spacing w:val="1"/>
          <w:vertAlign w:val="baseline"/>
        </w:rPr>
        <w:t> </w:t>
      </w:r>
      <w:r>
        <w:rPr>
          <w:color w:val="231F20"/>
          <w:vertAlign w:val="baseline"/>
        </w:rPr>
        <w:t>B.,</w:t>
      </w:r>
      <w:r>
        <w:rPr>
          <w:color w:val="231F20"/>
          <w:spacing w:val="-5"/>
          <w:vertAlign w:val="baseline"/>
        </w:rPr>
        <w:t> </w:t>
      </w:r>
      <w:r>
        <w:rPr>
          <w:color w:val="231F20"/>
          <w:vertAlign w:val="baseline"/>
        </w:rPr>
        <w:t>Callahan,</w:t>
      </w:r>
      <w:r>
        <w:rPr>
          <w:color w:val="231F20"/>
          <w:spacing w:val="-5"/>
          <w:vertAlign w:val="baseline"/>
        </w:rPr>
        <w:t> </w:t>
      </w:r>
      <w:r>
        <w:rPr>
          <w:color w:val="231F20"/>
          <w:vertAlign w:val="baseline"/>
        </w:rPr>
        <w:t>E.</w:t>
      </w:r>
      <w:r>
        <w:rPr>
          <w:color w:val="231F20"/>
          <w:spacing w:val="-5"/>
          <w:vertAlign w:val="baseline"/>
        </w:rPr>
        <w:t> </w:t>
      </w:r>
      <w:r>
        <w:rPr>
          <w:color w:val="231F20"/>
          <w:vertAlign w:val="baseline"/>
        </w:rPr>
        <w:t>J.,</w:t>
      </w:r>
      <w:r>
        <w:rPr>
          <w:color w:val="231F20"/>
          <w:spacing w:val="-5"/>
          <w:vertAlign w:val="baseline"/>
        </w:rPr>
        <w:t> </w:t>
      </w:r>
      <w:r>
        <w:rPr>
          <w:color w:val="231F20"/>
          <w:vertAlign w:val="baseline"/>
        </w:rPr>
        <w:t>&amp;</w:t>
      </w:r>
      <w:r>
        <w:rPr>
          <w:color w:val="231F20"/>
          <w:spacing w:val="-13"/>
          <w:vertAlign w:val="baseline"/>
        </w:rPr>
        <w:t> </w:t>
      </w:r>
      <w:r>
        <w:rPr>
          <w:color w:val="231F20"/>
          <w:vertAlign w:val="baseline"/>
        </w:rPr>
        <w:t>Yellowlees,</w:t>
      </w:r>
      <w:r>
        <w:rPr>
          <w:color w:val="231F20"/>
          <w:spacing w:val="-5"/>
          <w:vertAlign w:val="baseline"/>
        </w:rPr>
        <w:t> </w:t>
      </w:r>
      <w:r>
        <w:rPr>
          <w:color w:val="231F20"/>
          <w:vertAlign w:val="baseline"/>
        </w:rPr>
        <w:t>P.</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(2013).</w:t>
      </w:r>
      <w:r>
        <w:rPr>
          <w:color w:val="231F20"/>
          <w:spacing w:val="-8"/>
          <w:vertAlign w:val="baseline"/>
        </w:rPr>
        <w:t> </w:t>
      </w:r>
      <w:r>
        <w:rPr>
          <w:color w:val="231F20"/>
          <w:vertAlign w:val="baseline"/>
        </w:rPr>
        <w:t>The</w:t>
      </w:r>
      <w:r>
        <w:rPr>
          <w:color w:val="231F20"/>
          <w:spacing w:val="-52"/>
          <w:vertAlign w:val="baseline"/>
        </w:rPr>
        <w:t> </w:t>
      </w:r>
      <w:r>
        <w:rPr>
          <w:color w:val="231F20"/>
          <w:spacing w:val="-1"/>
          <w:vertAlign w:val="baseline"/>
        </w:rPr>
        <w:t>effectiveness of telemental </w:t>
      </w:r>
      <w:r>
        <w:rPr>
          <w:color w:val="231F20"/>
          <w:vertAlign w:val="baseline"/>
        </w:rPr>
        <w:t>health: A 2013 review.</w:t>
      </w:r>
      <w:r>
        <w:rPr>
          <w:color w:val="231F20"/>
          <w:spacing w:val="1"/>
          <w:vertAlign w:val="baseline"/>
        </w:rPr>
        <w:t> </w:t>
      </w:r>
      <w:r>
        <w:rPr>
          <w:i/>
          <w:color w:val="231F20"/>
          <w:vertAlign w:val="baseline"/>
        </w:rPr>
        <w:t>Telemedicine</w:t>
      </w:r>
      <w:r>
        <w:rPr>
          <w:i/>
          <w:color w:val="231F20"/>
          <w:spacing w:val="-8"/>
          <w:vertAlign w:val="baseline"/>
        </w:rPr>
        <w:t> </w:t>
      </w:r>
      <w:r>
        <w:rPr>
          <w:i/>
          <w:color w:val="231F20"/>
          <w:vertAlign w:val="baseline"/>
        </w:rPr>
        <w:t>Journal</w:t>
      </w:r>
      <w:r>
        <w:rPr>
          <w:i/>
          <w:color w:val="231F20"/>
          <w:spacing w:val="-7"/>
          <w:vertAlign w:val="baseline"/>
        </w:rPr>
        <w:t> </w:t>
      </w:r>
      <w:r>
        <w:rPr>
          <w:i/>
          <w:color w:val="231F20"/>
          <w:vertAlign w:val="baseline"/>
        </w:rPr>
        <w:t>and</w:t>
      </w:r>
      <w:r>
        <w:rPr>
          <w:i/>
          <w:color w:val="231F20"/>
          <w:spacing w:val="-7"/>
          <w:vertAlign w:val="baseline"/>
        </w:rPr>
        <w:t> </w:t>
      </w:r>
      <w:r>
        <w:rPr>
          <w:i/>
          <w:color w:val="231F20"/>
          <w:vertAlign w:val="baseline"/>
        </w:rPr>
        <w:t>e-Health,</w:t>
      </w:r>
      <w:r>
        <w:rPr>
          <w:i/>
          <w:color w:val="231F20"/>
          <w:spacing w:val="-7"/>
          <w:vertAlign w:val="baseline"/>
        </w:rPr>
        <w:t> </w:t>
      </w:r>
      <w:r>
        <w:rPr>
          <w:i/>
          <w:color w:val="231F20"/>
          <w:vertAlign w:val="baseline"/>
        </w:rPr>
        <w:t>19</w:t>
      </w:r>
      <w:r>
        <w:rPr>
          <w:color w:val="231F20"/>
          <w:vertAlign w:val="baseline"/>
        </w:rPr>
        <w:t>(6),</w:t>
      </w:r>
      <w:r>
        <w:rPr>
          <w:color w:val="231F20"/>
          <w:spacing w:val="-7"/>
          <w:vertAlign w:val="baseline"/>
        </w:rPr>
        <w:t> </w:t>
      </w:r>
      <w:r>
        <w:rPr>
          <w:color w:val="231F20"/>
          <w:vertAlign w:val="baseline"/>
        </w:rPr>
        <w:t>444-454.</w:t>
      </w:r>
      <w:r>
        <w:rPr>
          <w:color w:val="231F20"/>
          <w:spacing w:val="-52"/>
          <w:vertAlign w:val="baseline"/>
        </w:rPr>
        <w:t> </w:t>
      </w:r>
      <w:hyperlink r:id="rId98">
        <w:r>
          <w:rPr>
            <w:color w:val="3953A4"/>
            <w:u w:val="single" w:color="3953A4"/>
            <w:vertAlign w:val="baseline"/>
          </w:rPr>
          <w:t>https://doi.org/10.1089/tmj.2013.0075</w:t>
        </w:r>
      </w:hyperlink>
    </w:p>
    <w:p>
      <w:pPr>
        <w:pStyle w:val="BodyText"/>
        <w:tabs>
          <w:tab w:pos="511" w:val="left" w:leader="none"/>
        </w:tabs>
        <w:spacing w:line="228" w:lineRule="auto" w:before="89"/>
        <w:ind w:left="479" w:right="214" w:hanging="360"/>
      </w:pPr>
      <w:r>
        <w:rPr>
          <w:color w:val="231F20"/>
          <w:vertAlign w:val="superscript"/>
        </w:rPr>
        <w:t>9</w:t>
      </w:r>
      <w:r>
        <w:rPr>
          <w:color w:val="231F20"/>
          <w:vertAlign w:val="baseline"/>
        </w:rPr>
        <w:tab/>
        <w:tab/>
        <w:t>Substance Abuse and Mental Health Services</w:t>
      </w:r>
      <w:r>
        <w:rPr>
          <w:color w:val="231F20"/>
          <w:spacing w:val="1"/>
          <w:vertAlign w:val="baseline"/>
        </w:rPr>
        <w:t> </w:t>
      </w:r>
      <w:r>
        <w:rPr>
          <w:color w:val="231F20"/>
          <w:vertAlign w:val="baseline"/>
        </w:rPr>
        <w:t>Administration. (2021, January 4). </w:t>
      </w:r>
      <w:r>
        <w:rPr>
          <w:i/>
          <w:color w:val="231F20"/>
          <w:vertAlign w:val="baseline"/>
        </w:rPr>
        <w:t>Medication-</w:t>
      </w:r>
      <w:r>
        <w:rPr>
          <w:i/>
          <w:color w:val="231F20"/>
          <w:spacing w:val="1"/>
          <w:vertAlign w:val="baseline"/>
        </w:rPr>
        <w:t> </w:t>
      </w:r>
      <w:r>
        <w:rPr>
          <w:i/>
          <w:color w:val="231F20"/>
          <w:vertAlign w:val="baseline"/>
        </w:rPr>
        <w:t>assisted</w:t>
      </w:r>
      <w:r>
        <w:rPr>
          <w:i/>
          <w:color w:val="231F20"/>
          <w:spacing w:val="-11"/>
          <w:vertAlign w:val="baseline"/>
        </w:rPr>
        <w:t> </w:t>
      </w:r>
      <w:r>
        <w:rPr>
          <w:i/>
          <w:color w:val="231F20"/>
          <w:vertAlign w:val="baseline"/>
        </w:rPr>
        <w:t>treatment</w:t>
      </w:r>
      <w:r>
        <w:rPr>
          <w:i/>
          <w:color w:val="231F20"/>
          <w:spacing w:val="-11"/>
          <w:vertAlign w:val="baseline"/>
        </w:rPr>
        <w:t> </w:t>
      </w:r>
      <w:r>
        <w:rPr>
          <w:i/>
          <w:color w:val="231F20"/>
          <w:vertAlign w:val="baseline"/>
        </w:rPr>
        <w:t>(MAT)</w:t>
      </w:r>
      <w:r>
        <w:rPr>
          <w:color w:val="231F20"/>
          <w:vertAlign w:val="baseline"/>
        </w:rPr>
        <w:t>.</w:t>
      </w:r>
      <w:r>
        <w:rPr>
          <w:color w:val="231F20"/>
          <w:spacing w:val="-11"/>
          <w:vertAlign w:val="baseline"/>
        </w:rPr>
        <w:t> </w:t>
      </w:r>
      <w:r>
        <w:rPr>
          <w:color w:val="231F20"/>
          <w:vertAlign w:val="baseline"/>
        </w:rPr>
        <w:t>SAMHSA.</w:t>
      </w:r>
      <w:r>
        <w:rPr>
          <w:color w:val="231F20"/>
          <w:spacing w:val="-11"/>
          <w:vertAlign w:val="baseline"/>
        </w:rPr>
        <w:t> </w:t>
      </w:r>
      <w:hyperlink r:id="rId142">
        <w:r>
          <w:rPr>
            <w:color w:val="3953A4"/>
            <w:u w:val="single" w:color="3953A4"/>
            <w:vertAlign w:val="baseline"/>
          </w:rPr>
          <w:t>https://www.</w:t>
        </w:r>
      </w:hyperlink>
      <w:r>
        <w:rPr>
          <w:color w:val="3953A4"/>
          <w:spacing w:val="-52"/>
          <w:vertAlign w:val="baseline"/>
        </w:rPr>
        <w:t> </w:t>
      </w:r>
      <w:hyperlink r:id="rId142">
        <w:r>
          <w:rPr>
            <w:color w:val="3953A4"/>
            <w:u w:val="single" w:color="3953A4"/>
            <w:vertAlign w:val="baseline"/>
          </w:rPr>
          <w:t>samhsa.gov/medication-assisted-treatment</w:t>
        </w:r>
      </w:hyperlink>
    </w:p>
    <w:p>
      <w:pPr>
        <w:spacing w:line="228" w:lineRule="auto" w:before="101"/>
        <w:ind w:left="480" w:right="852" w:hanging="360"/>
        <w:jc w:val="both"/>
        <w:rPr>
          <w:i/>
          <w:sz w:val="22"/>
        </w:rPr>
      </w:pPr>
      <w:r>
        <w:rPr/>
        <w:br w:type="column"/>
      </w:r>
      <w:r>
        <w:rPr>
          <w:color w:val="231F20"/>
          <w:sz w:val="22"/>
          <w:vertAlign w:val="superscript"/>
        </w:rPr>
        <w:t>10</w:t>
      </w:r>
      <w:r>
        <w:rPr>
          <w:color w:val="231F20"/>
          <w:spacing w:val="1"/>
          <w:sz w:val="22"/>
          <w:vertAlign w:val="baseline"/>
        </w:rPr>
        <w:t> </w:t>
      </w:r>
      <w:r>
        <w:rPr>
          <w:color w:val="231F20"/>
          <w:sz w:val="22"/>
          <w:vertAlign w:val="baseline"/>
        </w:rPr>
        <w:t>Dissemination of Evidence-Informed Interventions.</w:t>
      </w:r>
      <w:r>
        <w:rPr>
          <w:color w:val="231F20"/>
          <w:spacing w:val="1"/>
          <w:sz w:val="22"/>
          <w:vertAlign w:val="baseline"/>
        </w:rPr>
        <w:t> </w:t>
      </w:r>
      <w:r>
        <w:rPr>
          <w:color w:val="231F20"/>
          <w:sz w:val="22"/>
          <w:vertAlign w:val="baseline"/>
        </w:rPr>
        <w:t>(2020).</w:t>
      </w:r>
      <w:r>
        <w:rPr>
          <w:color w:val="231F20"/>
          <w:spacing w:val="-2"/>
          <w:sz w:val="22"/>
          <w:vertAlign w:val="baseline"/>
        </w:rPr>
        <w:t> </w:t>
      </w:r>
      <w:r>
        <w:rPr>
          <w:i/>
          <w:color w:val="231F20"/>
          <w:sz w:val="22"/>
          <w:vertAlign w:val="baseline"/>
        </w:rPr>
        <w:t>Integrating</w:t>
      </w:r>
      <w:r>
        <w:rPr>
          <w:i/>
          <w:color w:val="231F20"/>
          <w:spacing w:val="-1"/>
          <w:sz w:val="22"/>
          <w:vertAlign w:val="baseline"/>
        </w:rPr>
        <w:t> </w:t>
      </w:r>
      <w:r>
        <w:rPr>
          <w:i/>
          <w:color w:val="231F20"/>
          <w:sz w:val="22"/>
          <w:vertAlign w:val="baseline"/>
        </w:rPr>
        <w:t>buprenorphine</w:t>
      </w:r>
      <w:r>
        <w:rPr>
          <w:i/>
          <w:color w:val="231F20"/>
          <w:spacing w:val="-1"/>
          <w:sz w:val="22"/>
          <w:vertAlign w:val="baseline"/>
        </w:rPr>
        <w:t> </w:t>
      </w:r>
      <w:r>
        <w:rPr>
          <w:i/>
          <w:color w:val="231F20"/>
          <w:sz w:val="22"/>
          <w:vertAlign w:val="baseline"/>
        </w:rPr>
        <w:t>treatment</w:t>
      </w:r>
    </w:p>
    <w:p>
      <w:pPr>
        <w:spacing w:line="228" w:lineRule="auto" w:before="0"/>
        <w:ind w:left="480" w:right="1467" w:firstLine="0"/>
        <w:jc w:val="both"/>
        <w:rPr>
          <w:sz w:val="22"/>
        </w:rPr>
      </w:pPr>
      <w:r>
        <w:rPr>
          <w:i/>
          <w:color w:val="231F20"/>
          <w:sz w:val="22"/>
        </w:rPr>
        <w:t>for</w:t>
      </w:r>
      <w:r>
        <w:rPr>
          <w:i/>
          <w:color w:val="231F20"/>
          <w:spacing w:val="-3"/>
          <w:sz w:val="22"/>
        </w:rPr>
        <w:t> </w:t>
      </w:r>
      <w:r>
        <w:rPr>
          <w:i/>
          <w:color w:val="231F20"/>
          <w:sz w:val="22"/>
        </w:rPr>
        <w:t>opioid</w:t>
      </w:r>
      <w:r>
        <w:rPr>
          <w:i/>
          <w:color w:val="231F20"/>
          <w:spacing w:val="-3"/>
          <w:sz w:val="22"/>
        </w:rPr>
        <w:t> </w:t>
      </w:r>
      <w:r>
        <w:rPr>
          <w:i/>
          <w:color w:val="231F20"/>
          <w:sz w:val="22"/>
        </w:rPr>
        <w:t>use</w:t>
      </w:r>
      <w:r>
        <w:rPr>
          <w:i/>
          <w:color w:val="231F20"/>
          <w:spacing w:val="-2"/>
          <w:sz w:val="22"/>
        </w:rPr>
        <w:t> </w:t>
      </w:r>
      <w:r>
        <w:rPr>
          <w:i/>
          <w:color w:val="231F20"/>
          <w:sz w:val="22"/>
        </w:rPr>
        <w:t>disorder</w:t>
      </w:r>
      <w:r>
        <w:rPr>
          <w:i/>
          <w:color w:val="231F20"/>
          <w:spacing w:val="-3"/>
          <w:sz w:val="22"/>
        </w:rPr>
        <w:t> </w:t>
      </w:r>
      <w:r>
        <w:rPr>
          <w:i/>
          <w:color w:val="231F20"/>
          <w:sz w:val="22"/>
        </w:rPr>
        <w:t>in</w:t>
      </w:r>
      <w:r>
        <w:rPr>
          <w:i/>
          <w:color w:val="231F20"/>
          <w:spacing w:val="-2"/>
          <w:sz w:val="22"/>
        </w:rPr>
        <w:t> </w:t>
      </w:r>
      <w:r>
        <w:rPr>
          <w:i/>
          <w:color w:val="231F20"/>
          <w:sz w:val="22"/>
        </w:rPr>
        <w:t>HIV</w:t>
      </w:r>
      <w:r>
        <w:rPr>
          <w:i/>
          <w:color w:val="231F20"/>
          <w:spacing w:val="-6"/>
          <w:sz w:val="22"/>
        </w:rPr>
        <w:t> </w:t>
      </w:r>
      <w:r>
        <w:rPr>
          <w:i/>
          <w:color w:val="231F20"/>
          <w:sz w:val="22"/>
        </w:rPr>
        <w:t>primary</w:t>
      </w:r>
      <w:r>
        <w:rPr>
          <w:i/>
          <w:color w:val="231F20"/>
          <w:spacing w:val="-3"/>
          <w:sz w:val="22"/>
        </w:rPr>
        <w:t> </w:t>
      </w:r>
      <w:r>
        <w:rPr>
          <w:i/>
          <w:color w:val="231F20"/>
          <w:sz w:val="22"/>
        </w:rPr>
        <w:t>care</w:t>
      </w:r>
      <w:r>
        <w:rPr>
          <w:color w:val="231F20"/>
          <w:sz w:val="22"/>
        </w:rPr>
        <w:t>.</w:t>
      </w:r>
      <w:r>
        <w:rPr>
          <w:color w:val="231F20"/>
          <w:spacing w:val="-53"/>
          <w:sz w:val="22"/>
        </w:rPr>
        <w:t> </w:t>
      </w:r>
      <w:hyperlink r:id="rId143">
        <w:r>
          <w:rPr>
            <w:color w:val="3953A4"/>
            <w:spacing w:val="-1"/>
            <w:sz w:val="22"/>
            <w:u w:val="single" w:color="3953A4"/>
          </w:rPr>
          <w:t>https://targethiv.org/sites/default/files/media/</w:t>
        </w:r>
      </w:hyperlink>
      <w:r>
        <w:rPr>
          <w:color w:val="3953A4"/>
          <w:spacing w:val="-53"/>
          <w:sz w:val="22"/>
        </w:rPr>
        <w:t> </w:t>
      </w:r>
      <w:hyperlink r:id="rId143">
        <w:r>
          <w:rPr>
            <w:color w:val="3953A4"/>
            <w:sz w:val="22"/>
            <w:u w:val="single" w:color="3953A4"/>
          </w:rPr>
          <w:t>documents/2020-12/deii-bup-cati.pdf</w:t>
        </w:r>
      </w:hyperlink>
    </w:p>
    <w:p>
      <w:pPr>
        <w:tabs>
          <w:tab w:pos="479" w:val="left" w:leader="none"/>
        </w:tabs>
        <w:spacing w:line="228" w:lineRule="auto" w:before="88"/>
        <w:ind w:left="480" w:right="739" w:hanging="360"/>
        <w:jc w:val="left"/>
        <w:rPr>
          <w:sz w:val="22"/>
        </w:rPr>
      </w:pPr>
      <w:r>
        <w:rPr>
          <w:color w:val="231F20"/>
          <w:sz w:val="22"/>
          <w:vertAlign w:val="superscript"/>
        </w:rPr>
        <w:t>11</w:t>
      </w:r>
      <w:r>
        <w:rPr>
          <w:color w:val="231F20"/>
          <w:sz w:val="22"/>
          <w:vertAlign w:val="baseline"/>
        </w:rPr>
        <w:tab/>
        <w:t>Moran, G., &amp; Snyder, C. (2019). </w:t>
      </w:r>
      <w:r>
        <w:rPr>
          <w:i/>
          <w:color w:val="231F20"/>
          <w:sz w:val="22"/>
          <w:vertAlign w:val="baseline"/>
        </w:rPr>
        <w:t>Medication-</w:t>
      </w:r>
      <w:r>
        <w:rPr>
          <w:i/>
          <w:color w:val="231F20"/>
          <w:spacing w:val="1"/>
          <w:sz w:val="22"/>
          <w:vertAlign w:val="baseline"/>
        </w:rPr>
        <w:t> </w:t>
      </w:r>
      <w:r>
        <w:rPr>
          <w:color w:val="231F20"/>
          <w:sz w:val="22"/>
          <w:vertAlign w:val="baseline"/>
        </w:rPr>
        <w:t>assisted </w:t>
      </w:r>
      <w:r>
        <w:rPr>
          <w:i/>
          <w:color w:val="231F20"/>
          <w:sz w:val="22"/>
          <w:vertAlign w:val="baseline"/>
        </w:rPr>
        <w:t>treatment for opioid use disorder playbook</w:t>
      </w:r>
      <w:r>
        <w:rPr>
          <w:color w:val="231F20"/>
          <w:sz w:val="22"/>
          <w:vertAlign w:val="baseline"/>
        </w:rPr>
        <w:t>.</w:t>
      </w:r>
      <w:r>
        <w:rPr>
          <w:color w:val="231F20"/>
          <w:spacing w:val="1"/>
          <w:sz w:val="22"/>
          <w:vertAlign w:val="baseline"/>
        </w:rPr>
        <w:t> </w:t>
      </w:r>
      <w:r>
        <w:rPr>
          <w:color w:val="231F20"/>
          <w:sz w:val="22"/>
          <w:vertAlign w:val="baseline"/>
        </w:rPr>
        <w:t>Agency</w:t>
      </w:r>
      <w:r>
        <w:rPr>
          <w:color w:val="231F20"/>
          <w:spacing w:val="-6"/>
          <w:sz w:val="22"/>
          <w:vertAlign w:val="baseline"/>
        </w:rPr>
        <w:t> </w:t>
      </w:r>
      <w:r>
        <w:rPr>
          <w:color w:val="231F20"/>
          <w:sz w:val="22"/>
          <w:vertAlign w:val="baseline"/>
        </w:rPr>
        <w:t>for</w:t>
      </w:r>
      <w:r>
        <w:rPr>
          <w:color w:val="231F20"/>
          <w:spacing w:val="-5"/>
          <w:sz w:val="22"/>
          <w:vertAlign w:val="baseline"/>
        </w:rPr>
        <w:t> </w:t>
      </w:r>
      <w:r>
        <w:rPr>
          <w:color w:val="231F20"/>
          <w:sz w:val="22"/>
          <w:vertAlign w:val="baseline"/>
        </w:rPr>
        <w:t>Healthcare</w:t>
      </w:r>
      <w:r>
        <w:rPr>
          <w:color w:val="231F20"/>
          <w:spacing w:val="-5"/>
          <w:sz w:val="22"/>
          <w:vertAlign w:val="baseline"/>
        </w:rPr>
        <w:t> </w:t>
      </w:r>
      <w:r>
        <w:rPr>
          <w:color w:val="231F20"/>
          <w:sz w:val="22"/>
          <w:vertAlign w:val="baseline"/>
        </w:rPr>
        <w:t>Research</w:t>
      </w:r>
      <w:r>
        <w:rPr>
          <w:color w:val="231F20"/>
          <w:spacing w:val="-5"/>
          <w:sz w:val="22"/>
          <w:vertAlign w:val="baseline"/>
        </w:rPr>
        <w:t> </w:t>
      </w:r>
      <w:r>
        <w:rPr>
          <w:color w:val="231F20"/>
          <w:sz w:val="22"/>
          <w:vertAlign w:val="baseline"/>
        </w:rPr>
        <w:t>and</w:t>
      </w:r>
      <w:r>
        <w:rPr>
          <w:color w:val="231F20"/>
          <w:spacing w:val="-5"/>
          <w:sz w:val="22"/>
          <w:vertAlign w:val="baseline"/>
        </w:rPr>
        <w:t> </w:t>
      </w:r>
      <w:r>
        <w:rPr>
          <w:color w:val="231F20"/>
          <w:sz w:val="22"/>
          <w:vertAlign w:val="baseline"/>
        </w:rPr>
        <w:t>Quality.</w:t>
      </w:r>
      <w:r>
        <w:rPr>
          <w:color w:val="231F20"/>
          <w:spacing w:val="-5"/>
          <w:sz w:val="22"/>
          <w:vertAlign w:val="baseline"/>
        </w:rPr>
        <w:t> </w:t>
      </w:r>
      <w:hyperlink r:id="rId144">
        <w:r>
          <w:rPr>
            <w:color w:val="3953A4"/>
            <w:sz w:val="22"/>
            <w:u w:val="single" w:color="3953A4"/>
            <w:vertAlign w:val="baseline"/>
          </w:rPr>
          <w:t>https://</w:t>
        </w:r>
      </w:hyperlink>
      <w:r>
        <w:rPr>
          <w:color w:val="3953A4"/>
          <w:spacing w:val="-52"/>
          <w:sz w:val="22"/>
          <w:vertAlign w:val="baseline"/>
        </w:rPr>
        <w:t> </w:t>
      </w:r>
      <w:hyperlink r:id="rId144">
        <w:r>
          <w:rPr>
            <w:color w:val="3953A4"/>
            <w:sz w:val="22"/>
            <w:u w:val="single" w:color="3953A4"/>
            <w:vertAlign w:val="baseline"/>
          </w:rPr>
          <w:t>integrationacademy.ahrq.gov/products/playbooks/</w:t>
        </w:r>
      </w:hyperlink>
      <w:r>
        <w:rPr>
          <w:color w:val="3953A4"/>
          <w:spacing w:val="1"/>
          <w:sz w:val="22"/>
          <w:vertAlign w:val="baseline"/>
        </w:rPr>
        <w:t> </w:t>
      </w:r>
      <w:hyperlink r:id="rId144">
        <w:r>
          <w:rPr>
            <w:color w:val="3953A4"/>
            <w:sz w:val="22"/>
            <w:u w:val="single" w:color="3953A4"/>
            <w:vertAlign w:val="baseline"/>
          </w:rPr>
          <w:t>opioid-use-disorder</w:t>
        </w:r>
      </w:hyperlink>
    </w:p>
    <w:p>
      <w:pPr>
        <w:pStyle w:val="BodyText"/>
        <w:tabs>
          <w:tab w:pos="479" w:val="left" w:leader="none"/>
        </w:tabs>
        <w:spacing w:line="228" w:lineRule="auto" w:before="88"/>
        <w:ind w:left="480" w:right="781" w:hanging="360"/>
      </w:pPr>
      <w:r>
        <w:rPr>
          <w:color w:val="231F20"/>
          <w:vertAlign w:val="superscript"/>
        </w:rPr>
        <w:t>12</w:t>
      </w:r>
      <w:r>
        <w:rPr>
          <w:color w:val="231F20"/>
          <w:vertAlign w:val="baseline"/>
        </w:rPr>
        <w:tab/>
      </w:r>
      <w:r>
        <w:rPr>
          <w:color w:val="231F20"/>
          <w:spacing w:val="-2"/>
          <w:vertAlign w:val="baseline"/>
        </w:rPr>
        <w:t>Fullerton, </w:t>
      </w:r>
      <w:r>
        <w:rPr>
          <w:color w:val="231F20"/>
          <w:spacing w:val="-1"/>
          <w:vertAlign w:val="baseline"/>
        </w:rPr>
        <w:t>C. A., Kim, M., Thomas, C. P., Lyman, D.</w:t>
      </w:r>
      <w:r>
        <w:rPr>
          <w:color w:val="231F20"/>
          <w:spacing w:val="-52"/>
          <w:vertAlign w:val="baseline"/>
        </w:rPr>
        <w:t> </w:t>
      </w:r>
      <w:r>
        <w:rPr>
          <w:color w:val="231F20"/>
          <w:spacing w:val="-1"/>
          <w:vertAlign w:val="baseline"/>
        </w:rPr>
        <w:t>R., Montejano,</w:t>
      </w:r>
      <w:r>
        <w:rPr>
          <w:color w:val="231F20"/>
          <w:vertAlign w:val="baseline"/>
        </w:rPr>
        <w:t> L. B., Dougherty,</w:t>
      </w:r>
      <w:r>
        <w:rPr>
          <w:color w:val="231F20"/>
          <w:spacing w:val="-1"/>
          <w:vertAlign w:val="baseline"/>
        </w:rPr>
        <w:t> </w:t>
      </w:r>
      <w:r>
        <w:rPr>
          <w:color w:val="231F20"/>
          <w:vertAlign w:val="baseline"/>
        </w:rPr>
        <w:t>R. H., Daniels,</w:t>
      </w:r>
      <w:r>
        <w:rPr>
          <w:color w:val="231F20"/>
          <w:spacing w:val="-13"/>
          <w:vertAlign w:val="baseline"/>
        </w:rPr>
        <w:t> </w:t>
      </w:r>
      <w:r>
        <w:rPr>
          <w:color w:val="231F20"/>
          <w:vertAlign w:val="baseline"/>
        </w:rPr>
        <w:t>A.</w:t>
      </w:r>
    </w:p>
    <w:p>
      <w:pPr>
        <w:pStyle w:val="BodyText"/>
        <w:spacing w:line="228" w:lineRule="auto"/>
        <w:ind w:left="479" w:right="814"/>
      </w:pPr>
      <w:r>
        <w:rPr>
          <w:color w:val="231F20"/>
        </w:rPr>
        <w:t>S., Ghose, S. S., &amp; Delphin-Rittmon, M. E. (2014).</w:t>
      </w:r>
      <w:r>
        <w:rPr>
          <w:color w:val="231F20"/>
          <w:spacing w:val="1"/>
        </w:rPr>
        <w:t> </w:t>
      </w:r>
      <w:r>
        <w:rPr>
          <w:color w:val="231F20"/>
        </w:rPr>
        <w:t>Medication-assisted treatment with methadone:</w:t>
      </w:r>
      <w:r>
        <w:rPr>
          <w:color w:val="231F20"/>
          <w:spacing w:val="1"/>
        </w:rPr>
        <w:t> </w:t>
      </w:r>
      <w:r>
        <w:rPr>
          <w:color w:val="231F20"/>
        </w:rPr>
        <w:t>Assessing the evidence. </w:t>
      </w:r>
      <w:r>
        <w:rPr>
          <w:i/>
          <w:color w:val="231F20"/>
        </w:rPr>
        <w:t>Psychiatric Services, 65</w:t>
      </w:r>
      <w:r>
        <w:rPr>
          <w:color w:val="231F20"/>
        </w:rPr>
        <w:t>(2),</w:t>
      </w:r>
      <w:r>
        <w:rPr>
          <w:color w:val="231F20"/>
          <w:spacing w:val="-52"/>
        </w:rPr>
        <w:t> </w:t>
      </w:r>
      <w:r>
        <w:rPr>
          <w:color w:val="231F20"/>
          <w:spacing w:val="-1"/>
        </w:rPr>
        <w:t>146-157.</w:t>
      </w:r>
      <w:r>
        <w:rPr>
          <w:color w:val="3953A4"/>
          <w:spacing w:val="20"/>
        </w:rPr>
        <w:t> </w:t>
      </w:r>
      <w:hyperlink r:id="rId145">
        <w:r>
          <w:rPr>
            <w:color w:val="3953A4"/>
            <w:spacing w:val="-1"/>
            <w:u w:val="single" w:color="3953A4"/>
          </w:rPr>
          <w:t>https://doi.org/10.1176/appi.ps.201300235</w:t>
        </w:r>
      </w:hyperlink>
    </w:p>
    <w:p>
      <w:pPr>
        <w:pStyle w:val="BodyText"/>
        <w:tabs>
          <w:tab w:pos="479" w:val="left" w:leader="none"/>
        </w:tabs>
        <w:spacing w:line="228" w:lineRule="auto" w:before="88"/>
        <w:ind w:left="480" w:right="803" w:hanging="360"/>
      </w:pPr>
      <w:r>
        <w:rPr>
          <w:color w:val="231F20"/>
          <w:vertAlign w:val="superscript"/>
        </w:rPr>
        <w:t>13</w:t>
      </w:r>
      <w:r>
        <w:rPr>
          <w:color w:val="231F20"/>
          <w:vertAlign w:val="baseline"/>
        </w:rPr>
        <w:tab/>
        <w:t>National Academies of Sciences, Engineering, and</w:t>
      </w:r>
      <w:r>
        <w:rPr>
          <w:color w:val="231F20"/>
          <w:spacing w:val="1"/>
          <w:vertAlign w:val="baseline"/>
        </w:rPr>
        <w:t> </w:t>
      </w:r>
      <w:r>
        <w:rPr>
          <w:color w:val="231F20"/>
          <w:vertAlign w:val="baseline"/>
        </w:rPr>
        <w:t>Medicine. (2018). Medication-assisted treatment for</w:t>
      </w:r>
      <w:r>
        <w:rPr>
          <w:color w:val="231F20"/>
          <w:spacing w:val="-53"/>
          <w:vertAlign w:val="baseline"/>
        </w:rPr>
        <w:t> </w:t>
      </w:r>
      <w:r>
        <w:rPr>
          <w:color w:val="231F20"/>
          <w:vertAlign w:val="baseline"/>
        </w:rPr>
        <w:t>opioid use disorder. </w:t>
      </w:r>
      <w:hyperlink r:id="rId146">
        <w:r>
          <w:rPr>
            <w:color w:val="3953A4"/>
            <w:u w:val="single" w:color="3953A4"/>
            <w:vertAlign w:val="baseline"/>
          </w:rPr>
          <w:t>https://www.ncbi.nlm.nih.gov/</w:t>
        </w:r>
      </w:hyperlink>
      <w:r>
        <w:rPr>
          <w:color w:val="3953A4"/>
          <w:spacing w:val="1"/>
          <w:vertAlign w:val="baseline"/>
        </w:rPr>
        <w:t> </w:t>
      </w:r>
      <w:hyperlink r:id="rId146">
        <w:r>
          <w:rPr>
            <w:color w:val="3953A4"/>
            <w:u w:val="single" w:color="3953A4"/>
            <w:vertAlign w:val="baseline"/>
          </w:rPr>
          <w:t>books/NBK534504/</w:t>
        </w:r>
      </w:hyperlink>
    </w:p>
    <w:p>
      <w:pPr>
        <w:tabs>
          <w:tab w:pos="479" w:val="left" w:leader="none"/>
        </w:tabs>
        <w:spacing w:line="228" w:lineRule="auto" w:before="89"/>
        <w:ind w:left="480" w:right="950" w:hanging="360"/>
        <w:jc w:val="left"/>
        <w:rPr>
          <w:sz w:val="22"/>
        </w:rPr>
      </w:pPr>
      <w:r>
        <w:rPr>
          <w:color w:val="231F20"/>
          <w:sz w:val="22"/>
          <w:vertAlign w:val="superscript"/>
        </w:rPr>
        <w:t>14</w:t>
      </w:r>
      <w:r>
        <w:rPr>
          <w:color w:val="231F20"/>
          <w:sz w:val="22"/>
          <w:vertAlign w:val="baseline"/>
        </w:rPr>
        <w:tab/>
        <w:t>U.S. Food and Drug Administration. (2019).</w:t>
      </w:r>
      <w:r>
        <w:rPr>
          <w:color w:val="231F20"/>
          <w:spacing w:val="1"/>
          <w:sz w:val="22"/>
          <w:vertAlign w:val="baseline"/>
        </w:rPr>
        <w:t> </w:t>
      </w:r>
      <w:r>
        <w:rPr>
          <w:i/>
          <w:color w:val="231F20"/>
          <w:sz w:val="22"/>
          <w:vertAlign w:val="baseline"/>
        </w:rPr>
        <w:t>Information about medication-assisted treatment</w:t>
      </w:r>
      <w:r>
        <w:rPr>
          <w:i/>
          <w:color w:val="231F20"/>
          <w:spacing w:val="1"/>
          <w:sz w:val="22"/>
          <w:vertAlign w:val="baseline"/>
        </w:rPr>
        <w:t> </w:t>
      </w:r>
      <w:r>
        <w:rPr>
          <w:i/>
          <w:color w:val="231F20"/>
          <w:sz w:val="22"/>
          <w:vertAlign w:val="baseline"/>
        </w:rPr>
        <w:t>(MAT)</w:t>
      </w:r>
      <w:r>
        <w:rPr>
          <w:color w:val="231F20"/>
          <w:sz w:val="22"/>
          <w:vertAlign w:val="baseline"/>
        </w:rPr>
        <w:t>. </w:t>
      </w:r>
      <w:hyperlink r:id="rId147">
        <w:r>
          <w:rPr>
            <w:color w:val="3953A4"/>
            <w:sz w:val="22"/>
            <w:u w:val="single" w:color="3953A4"/>
            <w:vertAlign w:val="baseline"/>
          </w:rPr>
          <w:t>https://www.fda.gov/drugs/information-</w:t>
        </w:r>
      </w:hyperlink>
      <w:r>
        <w:rPr>
          <w:color w:val="3953A4"/>
          <w:spacing w:val="1"/>
          <w:sz w:val="22"/>
          <w:vertAlign w:val="baseline"/>
        </w:rPr>
        <w:t> </w:t>
      </w:r>
      <w:hyperlink r:id="rId147">
        <w:r>
          <w:rPr>
            <w:color w:val="3953A4"/>
            <w:sz w:val="22"/>
            <w:u w:val="single" w:color="3953A4"/>
            <w:vertAlign w:val="baseline"/>
          </w:rPr>
          <w:t>drug-class/information-about-medication-assisted-</w:t>
        </w:r>
      </w:hyperlink>
      <w:r>
        <w:rPr>
          <w:color w:val="3953A4"/>
          <w:spacing w:val="-53"/>
          <w:sz w:val="22"/>
          <w:vertAlign w:val="baseline"/>
        </w:rPr>
        <w:t> </w:t>
      </w:r>
      <w:hyperlink r:id="rId147">
        <w:r>
          <w:rPr>
            <w:color w:val="3953A4"/>
            <w:sz w:val="22"/>
            <w:u w:val="single" w:color="3953A4"/>
            <w:vertAlign w:val="baseline"/>
          </w:rPr>
          <w:t>treatment-mat</w:t>
        </w:r>
      </w:hyperlink>
    </w:p>
    <w:p>
      <w:pPr>
        <w:tabs>
          <w:tab w:pos="479" w:val="left" w:leader="none"/>
        </w:tabs>
        <w:spacing w:line="228" w:lineRule="auto" w:before="89"/>
        <w:ind w:left="480" w:right="949" w:hanging="360"/>
        <w:jc w:val="left"/>
        <w:rPr>
          <w:sz w:val="22"/>
        </w:rPr>
      </w:pPr>
      <w:r>
        <w:rPr>
          <w:color w:val="231F20"/>
          <w:sz w:val="22"/>
          <w:vertAlign w:val="superscript"/>
        </w:rPr>
        <w:t>15</w:t>
      </w:r>
      <w:r>
        <w:rPr>
          <w:color w:val="231F20"/>
          <w:sz w:val="22"/>
          <w:vertAlign w:val="baseline"/>
        </w:rPr>
        <w:tab/>
        <w:t>Substance Abuse and Mental Health Services</w:t>
      </w:r>
      <w:r>
        <w:rPr>
          <w:color w:val="231F20"/>
          <w:spacing w:val="1"/>
          <w:sz w:val="22"/>
          <w:vertAlign w:val="baseline"/>
        </w:rPr>
        <w:t> </w:t>
      </w:r>
      <w:r>
        <w:rPr>
          <w:color w:val="231F20"/>
          <w:sz w:val="22"/>
          <w:vertAlign w:val="baseline"/>
        </w:rPr>
        <w:t>Administration, &amp; National Institute on Alcohol</w:t>
      </w:r>
      <w:r>
        <w:rPr>
          <w:color w:val="231F20"/>
          <w:spacing w:val="1"/>
          <w:sz w:val="22"/>
          <w:vertAlign w:val="baseline"/>
        </w:rPr>
        <w:t> </w:t>
      </w:r>
      <w:r>
        <w:rPr>
          <w:color w:val="231F20"/>
          <w:spacing w:val="-1"/>
          <w:sz w:val="22"/>
          <w:vertAlign w:val="baseline"/>
        </w:rPr>
        <w:t>Abuse and Alcoholism. </w:t>
      </w:r>
      <w:r>
        <w:rPr>
          <w:color w:val="231F20"/>
          <w:sz w:val="22"/>
          <w:vertAlign w:val="baseline"/>
        </w:rPr>
        <w:t>(2015). </w:t>
      </w:r>
      <w:r>
        <w:rPr>
          <w:i/>
          <w:color w:val="231F20"/>
          <w:sz w:val="22"/>
          <w:vertAlign w:val="baseline"/>
        </w:rPr>
        <w:t>Medication for the</w:t>
      </w:r>
      <w:r>
        <w:rPr>
          <w:i/>
          <w:color w:val="231F20"/>
          <w:spacing w:val="-52"/>
          <w:sz w:val="22"/>
          <w:vertAlign w:val="baseline"/>
        </w:rPr>
        <w:t> </w:t>
      </w:r>
      <w:r>
        <w:rPr>
          <w:i/>
          <w:color w:val="231F20"/>
          <w:sz w:val="22"/>
          <w:vertAlign w:val="baseline"/>
        </w:rPr>
        <w:t>treatment of alcohol use disorder: A brief guide</w:t>
      </w:r>
      <w:r>
        <w:rPr>
          <w:i/>
          <w:color w:val="231F20"/>
          <w:spacing w:val="1"/>
          <w:sz w:val="22"/>
          <w:vertAlign w:val="baseline"/>
        </w:rPr>
        <w:t> </w:t>
      </w:r>
      <w:r>
        <w:rPr>
          <w:color w:val="231F20"/>
          <w:sz w:val="22"/>
          <w:vertAlign w:val="baseline"/>
        </w:rPr>
        <w:t>((SMA) 15-4907). </w:t>
      </w:r>
      <w:hyperlink r:id="rId148">
        <w:r>
          <w:rPr>
            <w:color w:val="3953A4"/>
            <w:sz w:val="22"/>
            <w:u w:val="single" w:color="3953A4"/>
            <w:vertAlign w:val="baseline"/>
          </w:rPr>
          <w:t>https://store.samhsa.gov/sites/</w:t>
        </w:r>
      </w:hyperlink>
      <w:r>
        <w:rPr>
          <w:color w:val="3953A4"/>
          <w:spacing w:val="1"/>
          <w:sz w:val="22"/>
          <w:vertAlign w:val="baseline"/>
        </w:rPr>
        <w:t> </w:t>
      </w:r>
      <w:hyperlink r:id="rId148">
        <w:r>
          <w:rPr>
            <w:color w:val="3953A4"/>
            <w:sz w:val="22"/>
            <w:u w:val="single" w:color="3953A4"/>
            <w:vertAlign w:val="baseline"/>
          </w:rPr>
          <w:t>default/files/d7/priv/sma15-4907.pdf</w:t>
        </w:r>
      </w:hyperlink>
    </w:p>
    <w:p>
      <w:pPr>
        <w:tabs>
          <w:tab w:pos="479" w:val="left" w:leader="none"/>
        </w:tabs>
        <w:spacing w:line="228" w:lineRule="auto" w:before="88"/>
        <w:ind w:left="480" w:right="1124" w:hanging="360"/>
        <w:jc w:val="left"/>
        <w:rPr>
          <w:sz w:val="22"/>
        </w:rPr>
      </w:pPr>
      <w:r>
        <w:rPr>
          <w:color w:val="231F20"/>
          <w:sz w:val="22"/>
          <w:vertAlign w:val="superscript"/>
        </w:rPr>
        <w:t>16</w:t>
      </w:r>
      <w:r>
        <w:rPr>
          <w:color w:val="231F20"/>
          <w:sz w:val="22"/>
          <w:vertAlign w:val="baseline"/>
        </w:rPr>
        <w:tab/>
        <w:t>Substance Abuse and Mental Health Services</w:t>
      </w:r>
      <w:r>
        <w:rPr>
          <w:color w:val="231F20"/>
          <w:spacing w:val="1"/>
          <w:sz w:val="22"/>
          <w:vertAlign w:val="baseline"/>
        </w:rPr>
        <w:t> </w:t>
      </w:r>
      <w:r>
        <w:rPr>
          <w:color w:val="231F20"/>
          <w:sz w:val="22"/>
          <w:vertAlign w:val="baseline"/>
        </w:rPr>
        <w:t>Administration. (2020). </w:t>
      </w:r>
      <w:r>
        <w:rPr>
          <w:i/>
          <w:color w:val="231F20"/>
          <w:sz w:val="22"/>
          <w:vertAlign w:val="baseline"/>
        </w:rPr>
        <w:t>MAT medications,</w:t>
      </w:r>
      <w:r>
        <w:rPr>
          <w:i/>
          <w:color w:val="231F20"/>
          <w:spacing w:val="1"/>
          <w:sz w:val="22"/>
          <w:vertAlign w:val="baseline"/>
        </w:rPr>
        <w:t> </w:t>
      </w:r>
      <w:r>
        <w:rPr>
          <w:i/>
          <w:color w:val="231F20"/>
          <w:sz w:val="22"/>
          <w:vertAlign w:val="baseline"/>
        </w:rPr>
        <w:t>counseling,</w:t>
      </w:r>
      <w:r>
        <w:rPr>
          <w:i/>
          <w:color w:val="231F20"/>
          <w:spacing w:val="-10"/>
          <w:sz w:val="22"/>
          <w:vertAlign w:val="baseline"/>
        </w:rPr>
        <w:t> </w:t>
      </w:r>
      <w:r>
        <w:rPr>
          <w:i/>
          <w:color w:val="231F20"/>
          <w:sz w:val="22"/>
          <w:vertAlign w:val="baseline"/>
        </w:rPr>
        <w:t>and</w:t>
      </w:r>
      <w:r>
        <w:rPr>
          <w:i/>
          <w:color w:val="231F20"/>
          <w:spacing w:val="-9"/>
          <w:sz w:val="22"/>
          <w:vertAlign w:val="baseline"/>
        </w:rPr>
        <w:t> </w:t>
      </w:r>
      <w:r>
        <w:rPr>
          <w:i/>
          <w:color w:val="231F20"/>
          <w:sz w:val="22"/>
          <w:vertAlign w:val="baseline"/>
        </w:rPr>
        <w:t>related</w:t>
      </w:r>
      <w:r>
        <w:rPr>
          <w:i/>
          <w:color w:val="231F20"/>
          <w:spacing w:val="-9"/>
          <w:sz w:val="22"/>
          <w:vertAlign w:val="baseline"/>
        </w:rPr>
        <w:t> </w:t>
      </w:r>
      <w:r>
        <w:rPr>
          <w:i/>
          <w:color w:val="231F20"/>
          <w:sz w:val="22"/>
          <w:vertAlign w:val="baseline"/>
        </w:rPr>
        <w:t>conditions</w:t>
      </w:r>
      <w:r>
        <w:rPr>
          <w:color w:val="231F20"/>
          <w:sz w:val="22"/>
          <w:vertAlign w:val="baseline"/>
        </w:rPr>
        <w:t>.</w:t>
      </w:r>
      <w:r>
        <w:rPr>
          <w:color w:val="231F20"/>
          <w:spacing w:val="-9"/>
          <w:sz w:val="22"/>
          <w:vertAlign w:val="baseline"/>
        </w:rPr>
        <w:t> </w:t>
      </w:r>
      <w:hyperlink r:id="rId149">
        <w:r>
          <w:rPr>
            <w:color w:val="3953A4"/>
            <w:sz w:val="22"/>
            <w:u w:val="single" w:color="3953A4"/>
            <w:vertAlign w:val="baseline"/>
          </w:rPr>
          <w:t>https://www.</w:t>
        </w:r>
      </w:hyperlink>
      <w:r>
        <w:rPr>
          <w:color w:val="3953A4"/>
          <w:spacing w:val="-52"/>
          <w:sz w:val="22"/>
          <w:vertAlign w:val="baseline"/>
        </w:rPr>
        <w:t> </w:t>
      </w:r>
      <w:hyperlink r:id="rId149">
        <w:r>
          <w:rPr>
            <w:color w:val="3953A4"/>
            <w:sz w:val="22"/>
            <w:u w:val="single" w:color="3953A4"/>
            <w:vertAlign w:val="baseline"/>
          </w:rPr>
          <w:t>samhsa.gov/medication-assisted-treatment/</w:t>
        </w:r>
      </w:hyperlink>
      <w:r>
        <w:rPr>
          <w:color w:val="3953A4"/>
          <w:spacing w:val="1"/>
          <w:sz w:val="22"/>
          <w:vertAlign w:val="baseline"/>
        </w:rPr>
        <w:t> </w:t>
      </w:r>
      <w:hyperlink r:id="rId149">
        <w:r>
          <w:rPr>
            <w:color w:val="3953A4"/>
            <w:sz w:val="22"/>
            <w:u w:val="single" w:color="3953A4"/>
            <w:vertAlign w:val="baseline"/>
          </w:rPr>
          <w:t>medications-counseling-related-conditions</w:t>
        </w:r>
      </w:hyperlink>
    </w:p>
    <w:p>
      <w:pPr>
        <w:tabs>
          <w:tab w:pos="479" w:val="left" w:leader="none"/>
        </w:tabs>
        <w:spacing w:line="228" w:lineRule="auto" w:before="88"/>
        <w:ind w:left="480" w:right="846" w:hanging="360"/>
        <w:jc w:val="left"/>
        <w:rPr>
          <w:sz w:val="22"/>
        </w:rPr>
      </w:pPr>
      <w:r>
        <w:rPr>
          <w:color w:val="231F20"/>
          <w:sz w:val="22"/>
          <w:vertAlign w:val="superscript"/>
        </w:rPr>
        <w:t>17</w:t>
      </w:r>
      <w:r>
        <w:rPr>
          <w:color w:val="231F20"/>
          <w:sz w:val="22"/>
          <w:vertAlign w:val="baseline"/>
        </w:rPr>
        <w:tab/>
        <w:t>Rural Health Information Hub. (2020). </w:t>
      </w:r>
      <w:r>
        <w:rPr>
          <w:i/>
          <w:color w:val="231F20"/>
          <w:sz w:val="22"/>
          <w:vertAlign w:val="baseline"/>
        </w:rPr>
        <w:t>Medication-</w:t>
      </w:r>
      <w:r>
        <w:rPr>
          <w:i/>
          <w:color w:val="231F20"/>
          <w:spacing w:val="-52"/>
          <w:sz w:val="22"/>
          <w:vertAlign w:val="baseline"/>
        </w:rPr>
        <w:t> </w:t>
      </w:r>
      <w:r>
        <w:rPr>
          <w:i/>
          <w:color w:val="231F20"/>
          <w:sz w:val="22"/>
          <w:vertAlign w:val="baseline"/>
        </w:rPr>
        <w:t>assisted treatment models</w:t>
      </w:r>
      <w:r>
        <w:rPr>
          <w:color w:val="231F20"/>
          <w:sz w:val="22"/>
          <w:vertAlign w:val="baseline"/>
        </w:rPr>
        <w:t>. </w:t>
      </w:r>
      <w:hyperlink r:id="rId150">
        <w:r>
          <w:rPr>
            <w:color w:val="3953A4"/>
            <w:sz w:val="22"/>
            <w:u w:val="single" w:color="3953A4"/>
            <w:vertAlign w:val="baseline"/>
          </w:rPr>
          <w:t>https://www.</w:t>
        </w:r>
      </w:hyperlink>
      <w:r>
        <w:rPr>
          <w:color w:val="3953A4"/>
          <w:spacing w:val="1"/>
          <w:sz w:val="22"/>
          <w:vertAlign w:val="baseline"/>
        </w:rPr>
        <w:t> </w:t>
      </w:r>
      <w:hyperlink r:id="rId150">
        <w:r>
          <w:rPr>
            <w:color w:val="3953A4"/>
            <w:sz w:val="22"/>
            <w:u w:val="single" w:color="3953A4"/>
            <w:vertAlign w:val="baseline"/>
          </w:rPr>
          <w:t>ruralhealthinfo.org/toolkits/substance-abuse/2/</w:t>
        </w:r>
      </w:hyperlink>
      <w:r>
        <w:rPr>
          <w:color w:val="3953A4"/>
          <w:spacing w:val="1"/>
          <w:sz w:val="22"/>
          <w:vertAlign w:val="baseline"/>
        </w:rPr>
        <w:t> </w:t>
      </w:r>
      <w:hyperlink r:id="rId150">
        <w:r>
          <w:rPr>
            <w:color w:val="3953A4"/>
            <w:sz w:val="22"/>
            <w:u w:val="single" w:color="3953A4"/>
            <w:vertAlign w:val="baseline"/>
          </w:rPr>
          <w:t>treatment/medication-assisted-treatment</w:t>
        </w:r>
      </w:hyperlink>
    </w:p>
    <w:p>
      <w:pPr>
        <w:pStyle w:val="BodyText"/>
        <w:tabs>
          <w:tab w:pos="479" w:val="left" w:leader="none"/>
        </w:tabs>
        <w:spacing w:line="228" w:lineRule="auto" w:before="89"/>
        <w:ind w:left="480" w:right="1018" w:hanging="360"/>
      </w:pPr>
      <w:r>
        <w:rPr>
          <w:color w:val="231F20"/>
          <w:vertAlign w:val="superscript"/>
        </w:rPr>
        <w:t>18</w:t>
      </w:r>
      <w:r>
        <w:rPr>
          <w:color w:val="231F20"/>
          <w:vertAlign w:val="baseline"/>
        </w:rPr>
        <w:tab/>
        <w:t>Substance Abuse and Mental Health Services</w:t>
      </w:r>
      <w:r>
        <w:rPr>
          <w:color w:val="231F20"/>
          <w:spacing w:val="1"/>
          <w:vertAlign w:val="baseline"/>
        </w:rPr>
        <w:t> </w:t>
      </w:r>
      <w:r>
        <w:rPr>
          <w:color w:val="231F20"/>
          <w:vertAlign w:val="baseline"/>
        </w:rPr>
        <w:t>Administration.</w:t>
      </w:r>
      <w:r>
        <w:rPr>
          <w:color w:val="231F20"/>
          <w:spacing w:val="-6"/>
          <w:vertAlign w:val="baseline"/>
        </w:rPr>
        <w:t> </w:t>
      </w:r>
      <w:r>
        <w:rPr>
          <w:color w:val="231F20"/>
          <w:vertAlign w:val="baseline"/>
        </w:rPr>
        <w:t>(2020).</w:t>
      </w:r>
      <w:r>
        <w:rPr>
          <w:color w:val="231F20"/>
          <w:spacing w:val="-6"/>
          <w:vertAlign w:val="baseline"/>
        </w:rPr>
        <w:t> </w:t>
      </w:r>
      <w:r>
        <w:rPr>
          <w:i/>
          <w:color w:val="231F20"/>
          <w:vertAlign w:val="baseline"/>
        </w:rPr>
        <w:t>Statutes,</w:t>
      </w:r>
      <w:r>
        <w:rPr>
          <w:i/>
          <w:color w:val="231F20"/>
          <w:spacing w:val="-6"/>
          <w:vertAlign w:val="baseline"/>
        </w:rPr>
        <w:t> </w:t>
      </w:r>
      <w:r>
        <w:rPr>
          <w:i/>
          <w:color w:val="231F20"/>
          <w:vertAlign w:val="baseline"/>
        </w:rPr>
        <w:t>regulations,</w:t>
      </w:r>
      <w:r>
        <w:rPr>
          <w:i/>
          <w:color w:val="231F20"/>
          <w:spacing w:val="-6"/>
          <w:vertAlign w:val="baseline"/>
        </w:rPr>
        <w:t> </w:t>
      </w:r>
      <w:r>
        <w:rPr>
          <w:i/>
          <w:color w:val="231F20"/>
          <w:vertAlign w:val="baseline"/>
        </w:rPr>
        <w:t>and</w:t>
      </w:r>
      <w:r>
        <w:rPr>
          <w:i/>
          <w:color w:val="231F20"/>
          <w:spacing w:val="-52"/>
          <w:vertAlign w:val="baseline"/>
        </w:rPr>
        <w:t> </w:t>
      </w:r>
      <w:r>
        <w:rPr>
          <w:i/>
          <w:color w:val="231F20"/>
          <w:vertAlign w:val="baseline"/>
        </w:rPr>
        <w:t>guidelines</w:t>
      </w:r>
      <w:r>
        <w:rPr>
          <w:color w:val="231F20"/>
          <w:vertAlign w:val="baseline"/>
        </w:rPr>
        <w:t>. </w:t>
      </w:r>
      <w:hyperlink r:id="rId151">
        <w:r>
          <w:rPr>
            <w:color w:val="3953A4"/>
            <w:u w:val="single" w:color="3953A4"/>
            <w:vertAlign w:val="baseline"/>
          </w:rPr>
          <w:t>https://www.samhsa.gov/medication-</w:t>
        </w:r>
      </w:hyperlink>
      <w:r>
        <w:rPr>
          <w:color w:val="3953A4"/>
          <w:spacing w:val="1"/>
          <w:vertAlign w:val="baseline"/>
        </w:rPr>
        <w:t> </w:t>
      </w:r>
      <w:hyperlink r:id="rId151">
        <w:r>
          <w:rPr>
            <w:color w:val="3953A4"/>
            <w:u w:val="single" w:color="3953A4"/>
            <w:vertAlign w:val="baseline"/>
          </w:rPr>
          <w:t>assisted-treatment/statutes-regulations-guidelines</w:t>
        </w:r>
      </w:hyperlink>
    </w:p>
    <w:p>
      <w:pPr>
        <w:spacing w:after="0" w:line="228" w:lineRule="auto"/>
        <w:sectPr>
          <w:type w:val="continuous"/>
          <w:pgSz w:w="12240" w:h="15840"/>
          <w:pgMar w:header="0" w:footer="666" w:top="1500" w:bottom="0" w:left="600" w:right="0"/>
          <w:cols w:num="2" w:equalWidth="0">
            <w:col w:w="5182" w:space="578"/>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tabs>
          <w:tab w:pos="479" w:val="left" w:leader="none"/>
        </w:tabs>
        <w:spacing w:line="228" w:lineRule="auto" w:before="101"/>
        <w:ind w:left="479" w:right="140" w:hanging="360"/>
        <w:jc w:val="left"/>
        <w:rPr>
          <w:sz w:val="22"/>
        </w:rPr>
      </w:pPr>
      <w:r>
        <w:rPr>
          <w:color w:val="231F20"/>
          <w:sz w:val="22"/>
          <w:vertAlign w:val="superscript"/>
        </w:rPr>
        <w:t>19</w:t>
      </w:r>
      <w:r>
        <w:rPr>
          <w:color w:val="231F20"/>
          <w:sz w:val="22"/>
          <w:vertAlign w:val="baseline"/>
        </w:rPr>
        <w:tab/>
        <w:t>Duff, J. (2019). </w:t>
      </w:r>
      <w:r>
        <w:rPr>
          <w:i/>
          <w:color w:val="231F20"/>
          <w:sz w:val="22"/>
          <w:vertAlign w:val="baseline"/>
        </w:rPr>
        <w:t>Opioid treatment programs and</w:t>
      </w:r>
      <w:r>
        <w:rPr>
          <w:i/>
          <w:color w:val="231F20"/>
          <w:spacing w:val="1"/>
          <w:sz w:val="22"/>
          <w:vertAlign w:val="baseline"/>
        </w:rPr>
        <w:t> </w:t>
      </w:r>
      <w:r>
        <w:rPr>
          <w:i/>
          <w:color w:val="231F20"/>
          <w:sz w:val="22"/>
          <w:vertAlign w:val="baseline"/>
        </w:rPr>
        <w:t>related</w:t>
      </w:r>
      <w:r>
        <w:rPr>
          <w:i/>
          <w:color w:val="231F20"/>
          <w:spacing w:val="-8"/>
          <w:sz w:val="22"/>
          <w:vertAlign w:val="baseline"/>
        </w:rPr>
        <w:t> </w:t>
      </w:r>
      <w:r>
        <w:rPr>
          <w:i/>
          <w:color w:val="231F20"/>
          <w:sz w:val="22"/>
          <w:vertAlign w:val="baseline"/>
        </w:rPr>
        <w:t>federal</w:t>
      </w:r>
      <w:r>
        <w:rPr>
          <w:i/>
          <w:color w:val="231F20"/>
          <w:spacing w:val="-8"/>
          <w:sz w:val="22"/>
          <w:vertAlign w:val="baseline"/>
        </w:rPr>
        <w:t> </w:t>
      </w:r>
      <w:r>
        <w:rPr>
          <w:i/>
          <w:color w:val="231F20"/>
          <w:sz w:val="22"/>
          <w:vertAlign w:val="baseline"/>
        </w:rPr>
        <w:t>regulations</w:t>
      </w:r>
      <w:r>
        <w:rPr>
          <w:color w:val="231F20"/>
          <w:sz w:val="22"/>
          <w:vertAlign w:val="baseline"/>
        </w:rPr>
        <w:t>.</w:t>
      </w:r>
      <w:r>
        <w:rPr>
          <w:color w:val="231F20"/>
          <w:spacing w:val="-7"/>
          <w:sz w:val="22"/>
          <w:vertAlign w:val="baseline"/>
        </w:rPr>
        <w:t> </w:t>
      </w:r>
      <w:r>
        <w:rPr>
          <w:color w:val="231F20"/>
          <w:sz w:val="22"/>
          <w:vertAlign w:val="baseline"/>
        </w:rPr>
        <w:t>Congressional</w:t>
      </w:r>
      <w:r>
        <w:rPr>
          <w:color w:val="231F20"/>
          <w:spacing w:val="-8"/>
          <w:sz w:val="22"/>
          <w:vertAlign w:val="baseline"/>
        </w:rPr>
        <w:t> </w:t>
      </w:r>
      <w:r>
        <w:rPr>
          <w:color w:val="231F20"/>
          <w:sz w:val="22"/>
          <w:vertAlign w:val="baseline"/>
        </w:rPr>
        <w:t>Research</w:t>
      </w:r>
      <w:r>
        <w:rPr>
          <w:color w:val="231F20"/>
          <w:spacing w:val="-52"/>
          <w:sz w:val="22"/>
          <w:vertAlign w:val="baseline"/>
        </w:rPr>
        <w:t> </w:t>
      </w:r>
      <w:r>
        <w:rPr>
          <w:color w:val="231F20"/>
          <w:sz w:val="22"/>
          <w:vertAlign w:val="baseline"/>
        </w:rPr>
        <w:t>Service.</w:t>
      </w:r>
      <w:r>
        <w:rPr>
          <w:color w:val="231F20"/>
          <w:spacing w:val="-1"/>
          <w:sz w:val="22"/>
          <w:vertAlign w:val="baseline"/>
        </w:rPr>
        <w:t> </w:t>
      </w:r>
      <w:hyperlink r:id="rId152">
        <w:r>
          <w:rPr>
            <w:color w:val="3953A4"/>
            <w:sz w:val="22"/>
            <w:u w:val="single" w:color="3953A4"/>
            <w:vertAlign w:val="baseline"/>
          </w:rPr>
          <w:t>https://fas.org/sgp/crs/misc/IF10219.pdf</w:t>
        </w:r>
      </w:hyperlink>
    </w:p>
    <w:p>
      <w:pPr>
        <w:pStyle w:val="BodyText"/>
        <w:tabs>
          <w:tab w:pos="479" w:val="left" w:leader="none"/>
        </w:tabs>
        <w:spacing w:line="228" w:lineRule="auto" w:before="89"/>
        <w:ind w:left="480" w:right="38" w:hanging="360"/>
      </w:pPr>
      <w:r>
        <w:rPr>
          <w:color w:val="231F20"/>
          <w:vertAlign w:val="superscript"/>
        </w:rPr>
        <w:t>20</w:t>
      </w:r>
      <w:r>
        <w:rPr>
          <w:color w:val="231F20"/>
          <w:vertAlign w:val="baseline"/>
        </w:rPr>
        <w:tab/>
      </w:r>
      <w:r>
        <w:rPr>
          <w:color w:val="231F20"/>
          <w:spacing w:val="-1"/>
          <w:vertAlign w:val="baseline"/>
        </w:rPr>
        <w:t>Uscher-Pines, L., Sousa, </w:t>
      </w:r>
      <w:r>
        <w:rPr>
          <w:color w:val="231F20"/>
          <w:vertAlign w:val="baseline"/>
        </w:rPr>
        <w:t>J., Raja, P., Mehrotra, A.,</w:t>
      </w:r>
      <w:r>
        <w:rPr>
          <w:color w:val="231F20"/>
          <w:spacing w:val="1"/>
          <w:vertAlign w:val="baseline"/>
        </w:rPr>
        <w:t> </w:t>
      </w:r>
      <w:r>
        <w:rPr>
          <w:color w:val="231F20"/>
          <w:spacing w:val="-1"/>
          <w:vertAlign w:val="baseline"/>
        </w:rPr>
        <w:t>Barnett, </w:t>
      </w:r>
      <w:r>
        <w:rPr>
          <w:color w:val="231F20"/>
          <w:vertAlign w:val="baseline"/>
        </w:rPr>
        <w:t>M., &amp; Huskamp, H. A. (2020). Treatment of</w:t>
      </w:r>
      <w:r>
        <w:rPr>
          <w:color w:val="231F20"/>
          <w:spacing w:val="-52"/>
          <w:vertAlign w:val="baseline"/>
        </w:rPr>
        <w:t> </w:t>
      </w:r>
      <w:r>
        <w:rPr>
          <w:color w:val="231F20"/>
          <w:vertAlign w:val="baseline"/>
        </w:rPr>
        <w:t>opioid use disorder during COVID-19: Experiences</w:t>
      </w:r>
      <w:r>
        <w:rPr>
          <w:color w:val="231F20"/>
          <w:spacing w:val="1"/>
          <w:vertAlign w:val="baseline"/>
        </w:rPr>
        <w:t> </w:t>
      </w:r>
      <w:r>
        <w:rPr>
          <w:color w:val="231F20"/>
          <w:vertAlign w:val="baseline"/>
        </w:rPr>
        <w:t>of clinicians transitioning to telemedicine. </w:t>
      </w:r>
      <w:r>
        <w:rPr>
          <w:i/>
          <w:color w:val="231F20"/>
          <w:vertAlign w:val="baseline"/>
        </w:rPr>
        <w:t>Journal of</w:t>
      </w:r>
      <w:r>
        <w:rPr>
          <w:i/>
          <w:color w:val="231F20"/>
          <w:spacing w:val="-52"/>
          <w:vertAlign w:val="baseline"/>
        </w:rPr>
        <w:t> </w:t>
      </w:r>
      <w:r>
        <w:rPr>
          <w:i/>
          <w:color w:val="231F20"/>
          <w:vertAlign w:val="baseline"/>
        </w:rPr>
        <w:t>Substance</w:t>
      </w:r>
      <w:r>
        <w:rPr>
          <w:i/>
          <w:color w:val="231F20"/>
          <w:spacing w:val="-14"/>
          <w:vertAlign w:val="baseline"/>
        </w:rPr>
        <w:t> </w:t>
      </w:r>
      <w:r>
        <w:rPr>
          <w:i/>
          <w:color w:val="231F20"/>
          <w:vertAlign w:val="baseline"/>
        </w:rPr>
        <w:t>Abuse</w:t>
      </w:r>
      <w:r>
        <w:rPr>
          <w:i/>
          <w:color w:val="231F20"/>
          <w:spacing w:val="-10"/>
          <w:vertAlign w:val="baseline"/>
        </w:rPr>
        <w:t> </w:t>
      </w:r>
      <w:r>
        <w:rPr>
          <w:i/>
          <w:color w:val="231F20"/>
          <w:vertAlign w:val="baseline"/>
        </w:rPr>
        <w:t>Treatment,</w:t>
      </w:r>
      <w:r>
        <w:rPr>
          <w:i/>
          <w:color w:val="231F20"/>
          <w:spacing w:val="-9"/>
          <w:vertAlign w:val="baseline"/>
        </w:rPr>
        <w:t> </w:t>
      </w:r>
      <w:r>
        <w:rPr>
          <w:i/>
          <w:color w:val="231F20"/>
          <w:vertAlign w:val="baseline"/>
        </w:rPr>
        <w:t>118</w:t>
      </w:r>
      <w:r>
        <w:rPr>
          <w:color w:val="231F20"/>
          <w:vertAlign w:val="baseline"/>
        </w:rPr>
        <w:t>,</w:t>
      </w:r>
      <w:r>
        <w:rPr>
          <w:color w:val="231F20"/>
          <w:spacing w:val="-10"/>
          <w:vertAlign w:val="baseline"/>
        </w:rPr>
        <w:t> </w:t>
      </w:r>
      <w:r>
        <w:rPr>
          <w:color w:val="231F20"/>
          <w:vertAlign w:val="baseline"/>
        </w:rPr>
        <w:t>108124.</w:t>
      </w:r>
      <w:r>
        <w:rPr>
          <w:color w:val="231F20"/>
          <w:spacing w:val="-9"/>
          <w:vertAlign w:val="baseline"/>
        </w:rPr>
        <w:t> </w:t>
      </w:r>
      <w:hyperlink r:id="rId153">
        <w:r>
          <w:rPr>
            <w:color w:val="3953A4"/>
            <w:u w:val="single" w:color="3953A4"/>
            <w:vertAlign w:val="baseline"/>
          </w:rPr>
          <w:t>https://doi.</w:t>
        </w:r>
      </w:hyperlink>
      <w:r>
        <w:rPr>
          <w:color w:val="3953A4"/>
          <w:spacing w:val="-52"/>
          <w:vertAlign w:val="baseline"/>
        </w:rPr>
        <w:t> </w:t>
      </w:r>
      <w:hyperlink r:id="rId153">
        <w:r>
          <w:rPr>
            <w:color w:val="3953A4"/>
            <w:u w:val="single" w:color="3953A4"/>
            <w:vertAlign w:val="baseline"/>
          </w:rPr>
          <w:t>org/10.1016/j.jsat.2020.108124</w:t>
        </w:r>
      </w:hyperlink>
    </w:p>
    <w:p>
      <w:pPr>
        <w:pStyle w:val="BodyText"/>
        <w:tabs>
          <w:tab w:pos="479" w:val="left" w:leader="none"/>
        </w:tabs>
        <w:spacing w:line="228" w:lineRule="auto" w:before="88"/>
        <w:ind w:left="479" w:right="324" w:hanging="360"/>
      </w:pPr>
      <w:r>
        <w:rPr>
          <w:color w:val="231F20"/>
          <w:vertAlign w:val="superscript"/>
        </w:rPr>
        <w:t>21</w:t>
      </w:r>
      <w:r>
        <w:rPr>
          <w:color w:val="231F20"/>
          <w:vertAlign w:val="baseline"/>
        </w:rPr>
        <w:tab/>
      </w:r>
      <w:r>
        <w:rPr>
          <w:color w:val="231F20"/>
          <w:spacing w:val="-1"/>
          <w:vertAlign w:val="baseline"/>
        </w:rPr>
        <w:t>Huskamp, H. A., Busch, A. B., Souza, </w:t>
      </w:r>
      <w:r>
        <w:rPr>
          <w:color w:val="231F20"/>
          <w:vertAlign w:val="baseline"/>
        </w:rPr>
        <w:t>J., Uscher-</w:t>
      </w:r>
      <w:r>
        <w:rPr>
          <w:color w:val="231F20"/>
          <w:spacing w:val="-52"/>
          <w:vertAlign w:val="baseline"/>
        </w:rPr>
        <w:t> </w:t>
      </w:r>
      <w:r>
        <w:rPr>
          <w:color w:val="231F20"/>
          <w:spacing w:val="-1"/>
          <w:vertAlign w:val="baseline"/>
        </w:rPr>
        <w:t>Pines, L., Rose, S.,</w:t>
      </w:r>
      <w:r>
        <w:rPr>
          <w:color w:val="231F20"/>
          <w:spacing w:val="-4"/>
          <w:vertAlign w:val="baseline"/>
        </w:rPr>
        <w:t> </w:t>
      </w:r>
      <w:r>
        <w:rPr>
          <w:color w:val="231F20"/>
          <w:vertAlign w:val="baseline"/>
        </w:rPr>
        <w:t>Wilcock,</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Landon, B.</w:t>
      </w:r>
      <w:r>
        <w:rPr>
          <w:color w:val="231F20"/>
          <w:spacing w:val="-1"/>
          <w:vertAlign w:val="baseline"/>
        </w:rPr>
        <w:t> </w:t>
      </w:r>
      <w:r>
        <w:rPr>
          <w:color w:val="231F20"/>
          <w:vertAlign w:val="baseline"/>
        </w:rPr>
        <w:t>E.,</w:t>
      </w:r>
      <w:r>
        <w:rPr>
          <w:color w:val="231F20"/>
          <w:spacing w:val="-1"/>
          <w:vertAlign w:val="baseline"/>
        </w:rPr>
        <w:t> </w:t>
      </w:r>
      <w:r>
        <w:rPr>
          <w:color w:val="231F20"/>
          <w:vertAlign w:val="baseline"/>
        </w:rPr>
        <w:t>&amp;</w:t>
      </w:r>
      <w:r>
        <w:rPr>
          <w:color w:val="231F20"/>
          <w:spacing w:val="-52"/>
          <w:vertAlign w:val="baseline"/>
        </w:rPr>
        <w:t> </w:t>
      </w:r>
      <w:r>
        <w:rPr>
          <w:color w:val="231F20"/>
          <w:vertAlign w:val="baseline"/>
        </w:rPr>
        <w:t>Mehrotra, A. (2018). How is telemedicine being</w:t>
      </w:r>
      <w:r>
        <w:rPr>
          <w:color w:val="231F20"/>
          <w:spacing w:val="1"/>
          <w:vertAlign w:val="baseline"/>
        </w:rPr>
        <w:t> </w:t>
      </w:r>
      <w:r>
        <w:rPr>
          <w:color w:val="231F20"/>
          <w:vertAlign w:val="baseline"/>
        </w:rPr>
        <w:t>used in opioid and other substance use disorder</w:t>
      </w:r>
      <w:r>
        <w:rPr>
          <w:color w:val="231F20"/>
          <w:spacing w:val="1"/>
          <w:vertAlign w:val="baseline"/>
        </w:rPr>
        <w:t> </w:t>
      </w:r>
      <w:r>
        <w:rPr>
          <w:color w:val="231F20"/>
          <w:vertAlign w:val="baseline"/>
        </w:rPr>
        <w:t>treatment? </w:t>
      </w:r>
      <w:r>
        <w:rPr>
          <w:i/>
          <w:color w:val="231F20"/>
          <w:vertAlign w:val="baseline"/>
        </w:rPr>
        <w:t>Health Affairs, 37</w:t>
      </w:r>
      <w:r>
        <w:rPr>
          <w:color w:val="231F20"/>
          <w:vertAlign w:val="baseline"/>
        </w:rPr>
        <w:t>(12), 1940-1947.</w:t>
      </w:r>
      <w:r>
        <w:rPr>
          <w:color w:val="231F20"/>
          <w:spacing w:val="1"/>
          <w:vertAlign w:val="baseline"/>
        </w:rPr>
        <w:t> </w:t>
      </w:r>
      <w:hyperlink r:id="rId154">
        <w:r>
          <w:rPr>
            <w:color w:val="3953A4"/>
            <w:u w:val="single" w:color="3953A4"/>
            <w:vertAlign w:val="baseline"/>
          </w:rPr>
          <w:t>https://doi.org/10.1377/hlthaff.2018.05134</w:t>
        </w:r>
      </w:hyperlink>
    </w:p>
    <w:p>
      <w:pPr>
        <w:pStyle w:val="BodyText"/>
        <w:tabs>
          <w:tab w:pos="479" w:val="left" w:leader="none"/>
        </w:tabs>
        <w:spacing w:line="228" w:lineRule="auto" w:before="88"/>
        <w:ind w:left="479" w:right="117" w:hanging="360"/>
      </w:pPr>
      <w:r>
        <w:rPr>
          <w:color w:val="231F20"/>
          <w:vertAlign w:val="superscript"/>
        </w:rPr>
        <w:t>22</w:t>
      </w:r>
      <w:r>
        <w:rPr>
          <w:color w:val="231F20"/>
          <w:vertAlign w:val="baseline"/>
        </w:rPr>
        <w:tab/>
      </w:r>
      <w:r>
        <w:rPr>
          <w:color w:val="231F20"/>
          <w:spacing w:val="-4"/>
          <w:vertAlign w:val="baseline"/>
        </w:rPr>
        <w:t>Guille, C., Simpson, </w:t>
      </w:r>
      <w:r>
        <w:rPr>
          <w:color w:val="231F20"/>
          <w:spacing w:val="-3"/>
          <w:vertAlign w:val="baseline"/>
        </w:rPr>
        <w:t>A. N., Douglas, E., Boyars, L.,</w:t>
      </w:r>
      <w:r>
        <w:rPr>
          <w:color w:val="231F20"/>
          <w:spacing w:val="-2"/>
          <w:vertAlign w:val="baseline"/>
        </w:rPr>
        <w:t> </w:t>
      </w:r>
      <w:r>
        <w:rPr>
          <w:color w:val="231F20"/>
          <w:spacing w:val="-4"/>
          <w:vertAlign w:val="baseline"/>
        </w:rPr>
        <w:t>Cristaldi, K., </w:t>
      </w:r>
      <w:r>
        <w:rPr>
          <w:color w:val="231F20"/>
          <w:spacing w:val="-3"/>
          <w:vertAlign w:val="baseline"/>
        </w:rPr>
        <w:t>McElligott, J., Johnson, D., &amp; Brady, K.</w:t>
      </w:r>
      <w:r>
        <w:rPr>
          <w:color w:val="231F20"/>
          <w:spacing w:val="-52"/>
          <w:vertAlign w:val="baseline"/>
        </w:rPr>
        <w:t> </w:t>
      </w:r>
      <w:r>
        <w:rPr>
          <w:color w:val="231F20"/>
          <w:spacing w:val="-4"/>
          <w:vertAlign w:val="baseline"/>
        </w:rPr>
        <w:t>(2020). Treatment of opioid use </w:t>
      </w:r>
      <w:r>
        <w:rPr>
          <w:color w:val="231F20"/>
          <w:spacing w:val="-3"/>
          <w:vertAlign w:val="baseline"/>
        </w:rPr>
        <w:t>disorder in pregnant</w:t>
      </w:r>
      <w:r>
        <w:rPr>
          <w:color w:val="231F20"/>
          <w:spacing w:val="-2"/>
          <w:vertAlign w:val="baseline"/>
        </w:rPr>
        <w:t> </w:t>
      </w:r>
      <w:r>
        <w:rPr>
          <w:color w:val="231F20"/>
          <w:spacing w:val="-4"/>
          <w:vertAlign w:val="baseline"/>
        </w:rPr>
        <w:t>women</w:t>
      </w:r>
      <w:r>
        <w:rPr>
          <w:color w:val="231F20"/>
          <w:spacing w:val="-7"/>
          <w:vertAlign w:val="baseline"/>
        </w:rPr>
        <w:t> </w:t>
      </w:r>
      <w:r>
        <w:rPr>
          <w:color w:val="231F20"/>
          <w:spacing w:val="-4"/>
          <w:vertAlign w:val="baseline"/>
        </w:rPr>
        <w:t>via</w:t>
      </w:r>
      <w:r>
        <w:rPr>
          <w:color w:val="231F20"/>
          <w:spacing w:val="-7"/>
          <w:vertAlign w:val="baseline"/>
        </w:rPr>
        <w:t> </w:t>
      </w:r>
      <w:r>
        <w:rPr>
          <w:color w:val="231F20"/>
          <w:spacing w:val="-4"/>
          <w:vertAlign w:val="baseline"/>
        </w:rPr>
        <w:t>telemedicine:</w:t>
      </w:r>
      <w:r>
        <w:rPr>
          <w:color w:val="231F20"/>
          <w:spacing w:val="-19"/>
          <w:vertAlign w:val="baseline"/>
        </w:rPr>
        <w:t> </w:t>
      </w:r>
      <w:r>
        <w:rPr>
          <w:color w:val="231F20"/>
          <w:spacing w:val="-4"/>
          <w:vertAlign w:val="baseline"/>
        </w:rPr>
        <w:t>A</w:t>
      </w:r>
      <w:r>
        <w:rPr>
          <w:color w:val="231F20"/>
          <w:spacing w:val="-20"/>
          <w:vertAlign w:val="baseline"/>
        </w:rPr>
        <w:t> </w:t>
      </w:r>
      <w:r>
        <w:rPr>
          <w:color w:val="231F20"/>
          <w:spacing w:val="-4"/>
          <w:vertAlign w:val="baseline"/>
        </w:rPr>
        <w:t>nonrandomized</w:t>
      </w:r>
      <w:r>
        <w:rPr>
          <w:color w:val="231F20"/>
          <w:spacing w:val="-7"/>
          <w:vertAlign w:val="baseline"/>
        </w:rPr>
        <w:t> </w:t>
      </w:r>
      <w:r>
        <w:rPr>
          <w:color w:val="231F20"/>
          <w:spacing w:val="-3"/>
          <w:vertAlign w:val="baseline"/>
        </w:rPr>
        <w:t>controlled</w:t>
      </w:r>
      <w:r>
        <w:rPr>
          <w:color w:val="231F20"/>
          <w:spacing w:val="-52"/>
          <w:vertAlign w:val="baseline"/>
        </w:rPr>
        <w:t> </w:t>
      </w:r>
      <w:r>
        <w:rPr>
          <w:color w:val="231F20"/>
          <w:spacing w:val="-4"/>
          <w:vertAlign w:val="baseline"/>
        </w:rPr>
        <w:t>trial. </w:t>
      </w:r>
      <w:r>
        <w:rPr>
          <w:i/>
          <w:color w:val="231F20"/>
          <w:spacing w:val="-4"/>
          <w:vertAlign w:val="baseline"/>
        </w:rPr>
        <w:t>JAMA Network Open, 3</w:t>
      </w:r>
      <w:r>
        <w:rPr>
          <w:color w:val="231F20"/>
          <w:spacing w:val="-4"/>
          <w:vertAlign w:val="baseline"/>
        </w:rPr>
        <w:t>(1), e1920177-e1920177.</w:t>
      </w:r>
      <w:r>
        <w:rPr>
          <w:color w:val="231F20"/>
          <w:spacing w:val="-53"/>
          <w:vertAlign w:val="baseline"/>
        </w:rPr>
        <w:t> </w:t>
      </w:r>
      <w:hyperlink r:id="rId155">
        <w:r>
          <w:rPr>
            <w:color w:val="3953A4"/>
            <w:spacing w:val="-4"/>
            <w:u w:val="single" w:color="3953A4"/>
            <w:vertAlign w:val="baseline"/>
          </w:rPr>
          <w:t>https://doi.org/10.1001/jamanetworkopen.2019.20177</w:t>
        </w:r>
      </w:hyperlink>
    </w:p>
    <w:p>
      <w:pPr>
        <w:pStyle w:val="BodyText"/>
        <w:tabs>
          <w:tab w:pos="479" w:val="left" w:leader="none"/>
        </w:tabs>
        <w:spacing w:line="246" w:lineRule="exact" w:before="78"/>
        <w:ind w:left="120"/>
      </w:pPr>
      <w:r>
        <w:rPr>
          <w:color w:val="231F20"/>
          <w:vertAlign w:val="superscript"/>
        </w:rPr>
        <w:t>23</w:t>
      </w:r>
      <w:r>
        <w:rPr>
          <w:color w:val="231F20"/>
          <w:vertAlign w:val="baseline"/>
        </w:rPr>
        <w:tab/>
        <w:t>King,</w:t>
      </w:r>
      <w:r>
        <w:rPr>
          <w:color w:val="231F20"/>
          <w:spacing w:val="-13"/>
          <w:vertAlign w:val="baseline"/>
        </w:rPr>
        <w:t> </w:t>
      </w:r>
      <w:r>
        <w:rPr>
          <w:color w:val="231F20"/>
          <w:vertAlign w:val="baseline"/>
        </w:rPr>
        <w:t>V.</w:t>
      </w:r>
      <w:r>
        <w:rPr>
          <w:color w:val="231F20"/>
          <w:spacing w:val="-7"/>
          <w:vertAlign w:val="baseline"/>
        </w:rPr>
        <w:t> </w:t>
      </w:r>
      <w:r>
        <w:rPr>
          <w:color w:val="231F20"/>
          <w:vertAlign w:val="baseline"/>
        </w:rPr>
        <w:t>L.,</w:t>
      </w:r>
      <w:r>
        <w:rPr>
          <w:color w:val="231F20"/>
          <w:spacing w:val="-8"/>
          <w:vertAlign w:val="baseline"/>
        </w:rPr>
        <w:t> </w:t>
      </w:r>
      <w:r>
        <w:rPr>
          <w:color w:val="231F20"/>
          <w:vertAlign w:val="baseline"/>
        </w:rPr>
        <w:t>Brooner,</w:t>
      </w:r>
      <w:r>
        <w:rPr>
          <w:color w:val="231F20"/>
          <w:spacing w:val="-8"/>
          <w:vertAlign w:val="baseline"/>
        </w:rPr>
        <w:t> </w:t>
      </w:r>
      <w:r>
        <w:rPr>
          <w:color w:val="231F20"/>
          <w:vertAlign w:val="baseline"/>
        </w:rPr>
        <w:t>R.</w:t>
      </w:r>
      <w:r>
        <w:rPr>
          <w:color w:val="231F20"/>
          <w:spacing w:val="-8"/>
          <w:vertAlign w:val="baseline"/>
        </w:rPr>
        <w:t> </w:t>
      </w:r>
      <w:r>
        <w:rPr>
          <w:color w:val="231F20"/>
          <w:vertAlign w:val="baseline"/>
        </w:rPr>
        <w:t>K.,</w:t>
      </w:r>
      <w:r>
        <w:rPr>
          <w:color w:val="231F20"/>
          <w:spacing w:val="-8"/>
          <w:vertAlign w:val="baseline"/>
        </w:rPr>
        <w:t> </w:t>
      </w:r>
      <w:r>
        <w:rPr>
          <w:color w:val="231F20"/>
          <w:vertAlign w:val="baseline"/>
        </w:rPr>
        <w:t>Peirce,</w:t>
      </w:r>
      <w:r>
        <w:rPr>
          <w:color w:val="231F20"/>
          <w:spacing w:val="-9"/>
          <w:vertAlign w:val="baseline"/>
        </w:rPr>
        <w:t> </w:t>
      </w:r>
      <w:r>
        <w:rPr>
          <w:color w:val="231F20"/>
          <w:vertAlign w:val="baseline"/>
        </w:rPr>
        <w:t>J.</w:t>
      </w:r>
      <w:r>
        <w:rPr>
          <w:color w:val="231F20"/>
          <w:spacing w:val="-9"/>
          <w:vertAlign w:val="baseline"/>
        </w:rPr>
        <w:t> </w:t>
      </w:r>
      <w:r>
        <w:rPr>
          <w:color w:val="231F20"/>
          <w:vertAlign w:val="baseline"/>
        </w:rPr>
        <w:t>M.,</w:t>
      </w:r>
      <w:r>
        <w:rPr>
          <w:color w:val="231F20"/>
          <w:spacing w:val="-8"/>
          <w:vertAlign w:val="baseline"/>
        </w:rPr>
        <w:t> </w:t>
      </w:r>
      <w:r>
        <w:rPr>
          <w:color w:val="231F20"/>
          <w:vertAlign w:val="baseline"/>
        </w:rPr>
        <w:t>Kolodner,</w:t>
      </w:r>
    </w:p>
    <w:p>
      <w:pPr>
        <w:pStyle w:val="BodyText"/>
        <w:spacing w:line="228" w:lineRule="auto" w:before="4"/>
        <w:ind w:left="480" w:right="594"/>
        <w:jc w:val="both"/>
        <w:rPr>
          <w:i/>
        </w:rPr>
      </w:pPr>
      <w:r>
        <w:rPr>
          <w:color w:val="231F20"/>
          <w:spacing w:val="-1"/>
        </w:rPr>
        <w:t>K.,</w:t>
      </w:r>
      <w:r>
        <w:rPr>
          <w:color w:val="231F20"/>
          <w:spacing w:val="-2"/>
        </w:rPr>
        <w:t> </w:t>
      </w:r>
      <w:r>
        <w:rPr>
          <w:color w:val="231F20"/>
        </w:rPr>
        <w:t>&amp;</w:t>
      </w:r>
      <w:r>
        <w:rPr>
          <w:color w:val="231F20"/>
          <w:spacing w:val="-1"/>
        </w:rPr>
        <w:t> </w:t>
      </w:r>
      <w:r>
        <w:rPr>
          <w:color w:val="231F20"/>
        </w:rPr>
        <w:t>Kidorf,</w:t>
      </w:r>
      <w:r>
        <w:rPr>
          <w:color w:val="231F20"/>
          <w:spacing w:val="-2"/>
        </w:rPr>
        <w:t> </w:t>
      </w:r>
      <w:r>
        <w:rPr>
          <w:color w:val="231F20"/>
        </w:rPr>
        <w:t>M.</w:t>
      </w:r>
      <w:r>
        <w:rPr>
          <w:color w:val="231F20"/>
          <w:spacing w:val="-2"/>
        </w:rPr>
        <w:t> </w:t>
      </w:r>
      <w:r>
        <w:rPr>
          <w:color w:val="231F20"/>
        </w:rPr>
        <w:t>S.</w:t>
      </w:r>
      <w:r>
        <w:rPr>
          <w:color w:val="231F20"/>
          <w:spacing w:val="-2"/>
        </w:rPr>
        <w:t> </w:t>
      </w:r>
      <w:r>
        <w:rPr>
          <w:color w:val="231F20"/>
        </w:rPr>
        <w:t>(2014).</w:t>
      </w:r>
      <w:r>
        <w:rPr>
          <w:color w:val="231F20"/>
          <w:spacing w:val="-14"/>
        </w:rPr>
        <w:t> </w:t>
      </w:r>
      <w:r>
        <w:rPr>
          <w:color w:val="231F20"/>
        </w:rPr>
        <w:t>A</w:t>
      </w:r>
      <w:r>
        <w:rPr>
          <w:color w:val="231F20"/>
          <w:spacing w:val="-13"/>
        </w:rPr>
        <w:t> </w:t>
      </w:r>
      <w:r>
        <w:rPr>
          <w:color w:val="231F20"/>
        </w:rPr>
        <w:t>randomized</w:t>
      </w:r>
      <w:r>
        <w:rPr>
          <w:color w:val="231F20"/>
          <w:spacing w:val="-1"/>
        </w:rPr>
        <w:t> </w:t>
      </w:r>
      <w:r>
        <w:rPr>
          <w:color w:val="231F20"/>
        </w:rPr>
        <w:t>trial</w:t>
      </w:r>
      <w:r>
        <w:rPr>
          <w:color w:val="231F20"/>
          <w:spacing w:val="-53"/>
        </w:rPr>
        <w:t> </w:t>
      </w:r>
      <w:r>
        <w:rPr>
          <w:color w:val="231F20"/>
        </w:rPr>
        <w:t>of web-based videoconferencing for substance</w:t>
      </w:r>
      <w:r>
        <w:rPr>
          <w:color w:val="231F20"/>
          <w:spacing w:val="-52"/>
        </w:rPr>
        <w:t> </w:t>
      </w:r>
      <w:r>
        <w:rPr>
          <w:color w:val="231F20"/>
        </w:rPr>
        <w:t>abuse counseling.</w:t>
      </w:r>
      <w:r>
        <w:rPr>
          <w:color w:val="231F20"/>
          <w:spacing w:val="-1"/>
        </w:rPr>
        <w:t> </w:t>
      </w:r>
      <w:r>
        <w:rPr>
          <w:i/>
          <w:color w:val="231F20"/>
        </w:rPr>
        <w:t>Journal of Substance</w:t>
      </w:r>
      <w:r>
        <w:rPr>
          <w:i/>
          <w:color w:val="231F20"/>
          <w:spacing w:val="-5"/>
        </w:rPr>
        <w:t> </w:t>
      </w:r>
      <w:r>
        <w:rPr>
          <w:i/>
          <w:color w:val="231F20"/>
        </w:rPr>
        <w:t>Abuse</w:t>
      </w:r>
    </w:p>
    <w:p>
      <w:pPr>
        <w:pStyle w:val="BodyText"/>
        <w:spacing w:line="228" w:lineRule="auto"/>
        <w:ind w:left="480" w:right="318"/>
        <w:jc w:val="both"/>
      </w:pPr>
      <w:r>
        <w:rPr>
          <w:i/>
          <w:color w:val="231F20"/>
        </w:rPr>
        <w:t>Treatment,</w:t>
      </w:r>
      <w:r>
        <w:rPr>
          <w:i/>
          <w:color w:val="231F20"/>
          <w:spacing w:val="-13"/>
        </w:rPr>
        <w:t> </w:t>
      </w:r>
      <w:r>
        <w:rPr>
          <w:i/>
          <w:color w:val="231F20"/>
        </w:rPr>
        <w:t>46</w:t>
      </w:r>
      <w:r>
        <w:rPr>
          <w:color w:val="231F20"/>
        </w:rPr>
        <w:t>(1),</w:t>
      </w:r>
      <w:r>
        <w:rPr>
          <w:color w:val="231F20"/>
          <w:spacing w:val="-13"/>
        </w:rPr>
        <w:t> </w:t>
      </w:r>
      <w:r>
        <w:rPr>
          <w:color w:val="231F20"/>
        </w:rPr>
        <w:t>36-42.</w:t>
      </w:r>
      <w:r>
        <w:rPr>
          <w:color w:val="231F20"/>
          <w:spacing w:val="-12"/>
        </w:rPr>
        <w:t> </w:t>
      </w:r>
      <w:hyperlink r:id="rId156">
        <w:r>
          <w:rPr>
            <w:color w:val="3953A4"/>
            <w:u w:val="single" w:color="3953A4"/>
          </w:rPr>
          <w:t>https://doi.org/10.1016/j.</w:t>
        </w:r>
      </w:hyperlink>
      <w:r>
        <w:rPr>
          <w:color w:val="3953A4"/>
          <w:spacing w:val="-53"/>
        </w:rPr>
        <w:t> </w:t>
      </w:r>
      <w:hyperlink r:id="rId156">
        <w:r>
          <w:rPr>
            <w:color w:val="3953A4"/>
            <w:u w:val="single" w:color="3953A4"/>
          </w:rPr>
          <w:t>jsat.2013.08.009</w:t>
        </w:r>
      </w:hyperlink>
    </w:p>
    <w:p>
      <w:pPr>
        <w:pStyle w:val="BodyText"/>
        <w:tabs>
          <w:tab w:pos="479" w:val="left" w:leader="none"/>
        </w:tabs>
        <w:spacing w:line="228" w:lineRule="auto" w:before="88"/>
        <w:ind w:left="480" w:right="42" w:hanging="360"/>
      </w:pPr>
      <w:r>
        <w:rPr>
          <w:color w:val="231F20"/>
          <w:vertAlign w:val="superscript"/>
        </w:rPr>
        <w:t>24</w:t>
      </w:r>
      <w:r>
        <w:rPr>
          <w:color w:val="231F20"/>
          <w:vertAlign w:val="baseline"/>
        </w:rPr>
        <w:tab/>
        <w:t>Providers and Clinical Support System. (n.d.).</w:t>
      </w:r>
      <w:r>
        <w:rPr>
          <w:color w:val="231F20"/>
          <w:spacing w:val="1"/>
          <w:vertAlign w:val="baseline"/>
        </w:rPr>
        <w:t> </w:t>
      </w:r>
      <w:r>
        <w:rPr>
          <w:i/>
          <w:color w:val="231F20"/>
          <w:vertAlign w:val="baseline"/>
        </w:rPr>
        <w:t>Waiver training for physicians</w:t>
      </w:r>
      <w:r>
        <w:rPr>
          <w:color w:val="231F20"/>
          <w:vertAlign w:val="baseline"/>
        </w:rPr>
        <w:t>. </w:t>
      </w:r>
      <w:hyperlink r:id="rId157">
        <w:r>
          <w:rPr>
            <w:color w:val="3953A4"/>
            <w:u w:val="single" w:color="3953A4"/>
            <w:vertAlign w:val="baseline"/>
          </w:rPr>
          <w:t>https://pcssnow.org/</w:t>
        </w:r>
      </w:hyperlink>
      <w:r>
        <w:rPr>
          <w:color w:val="3953A4"/>
          <w:spacing w:val="1"/>
          <w:vertAlign w:val="baseline"/>
        </w:rPr>
        <w:t> </w:t>
      </w:r>
      <w:hyperlink r:id="rId157">
        <w:r>
          <w:rPr>
            <w:color w:val="3953A4"/>
            <w:spacing w:val="-1"/>
            <w:u w:val="single" w:color="3953A4"/>
            <w:vertAlign w:val="baseline"/>
          </w:rPr>
          <w:t>medications-for-addiction-treatment/waiver-training-</w:t>
        </w:r>
      </w:hyperlink>
      <w:r>
        <w:rPr>
          <w:color w:val="3953A4"/>
          <w:spacing w:val="-52"/>
          <w:vertAlign w:val="baseline"/>
        </w:rPr>
        <w:t> </w:t>
      </w:r>
      <w:hyperlink r:id="rId157">
        <w:r>
          <w:rPr>
            <w:color w:val="3953A4"/>
            <w:u w:val="single" w:color="3953A4"/>
            <w:vertAlign w:val="baseline"/>
          </w:rPr>
          <w:t>for-physicians/</w:t>
        </w:r>
      </w:hyperlink>
    </w:p>
    <w:p>
      <w:pPr>
        <w:pStyle w:val="BodyText"/>
        <w:tabs>
          <w:tab w:pos="479" w:val="left" w:leader="none"/>
        </w:tabs>
        <w:spacing w:line="228" w:lineRule="auto" w:before="89"/>
        <w:ind w:left="480" w:right="49" w:hanging="360"/>
      </w:pPr>
      <w:r>
        <w:rPr>
          <w:color w:val="231F20"/>
          <w:vertAlign w:val="superscript"/>
        </w:rPr>
        <w:t>25</w:t>
      </w:r>
      <w:r>
        <w:rPr>
          <w:color w:val="231F20"/>
          <w:vertAlign w:val="baseline"/>
        </w:rPr>
        <w:tab/>
      </w:r>
      <w:r>
        <w:rPr>
          <w:color w:val="231F20"/>
          <w:spacing w:val="-3"/>
          <w:vertAlign w:val="baseline"/>
        </w:rPr>
        <w:t>Weintraub, E., Greenblatt, A. D., Chang, J.,</w:t>
      </w:r>
      <w:r>
        <w:rPr>
          <w:color w:val="231F20"/>
          <w:spacing w:val="-2"/>
          <w:vertAlign w:val="baseline"/>
        </w:rPr>
        <w:t> </w:t>
      </w:r>
      <w:r>
        <w:rPr>
          <w:color w:val="231F20"/>
          <w:spacing w:val="-3"/>
          <w:vertAlign w:val="baseline"/>
        </w:rPr>
        <w:t>Himelhoch, S., &amp; Welsh, C. (2018). </w:t>
      </w:r>
      <w:r>
        <w:rPr>
          <w:color w:val="231F20"/>
          <w:spacing w:val="-2"/>
          <w:vertAlign w:val="baseline"/>
        </w:rPr>
        <w:t>Expanding access</w:t>
      </w:r>
      <w:r>
        <w:rPr>
          <w:color w:val="231F20"/>
          <w:spacing w:val="-52"/>
          <w:vertAlign w:val="baseline"/>
        </w:rPr>
        <w:t> </w:t>
      </w:r>
      <w:r>
        <w:rPr>
          <w:color w:val="231F20"/>
          <w:spacing w:val="-1"/>
          <w:vertAlign w:val="baseline"/>
        </w:rPr>
        <w:t>to</w:t>
      </w:r>
      <w:r>
        <w:rPr>
          <w:color w:val="231F20"/>
          <w:spacing w:val="-13"/>
          <w:vertAlign w:val="baseline"/>
        </w:rPr>
        <w:t> </w:t>
      </w:r>
      <w:r>
        <w:rPr>
          <w:color w:val="231F20"/>
          <w:spacing w:val="-1"/>
          <w:vertAlign w:val="baseline"/>
        </w:rPr>
        <w:t>buprenorphine</w:t>
      </w:r>
      <w:r>
        <w:rPr>
          <w:color w:val="231F20"/>
          <w:spacing w:val="-13"/>
          <w:vertAlign w:val="baseline"/>
        </w:rPr>
        <w:t> </w:t>
      </w:r>
      <w:r>
        <w:rPr>
          <w:color w:val="231F20"/>
          <w:spacing w:val="-1"/>
          <w:vertAlign w:val="baseline"/>
        </w:rPr>
        <w:t>treatment</w:t>
      </w:r>
      <w:r>
        <w:rPr>
          <w:color w:val="231F20"/>
          <w:spacing w:val="-13"/>
          <w:vertAlign w:val="baseline"/>
        </w:rPr>
        <w:t> </w:t>
      </w:r>
      <w:r>
        <w:rPr>
          <w:color w:val="231F20"/>
          <w:spacing w:val="-1"/>
          <w:vertAlign w:val="baseline"/>
        </w:rPr>
        <w:t>in</w:t>
      </w:r>
      <w:r>
        <w:rPr>
          <w:color w:val="231F20"/>
          <w:spacing w:val="-12"/>
          <w:vertAlign w:val="baseline"/>
        </w:rPr>
        <w:t> </w:t>
      </w:r>
      <w:r>
        <w:rPr>
          <w:color w:val="231F20"/>
          <w:spacing w:val="-1"/>
          <w:vertAlign w:val="baseline"/>
        </w:rPr>
        <w:t>rural</w:t>
      </w:r>
      <w:r>
        <w:rPr>
          <w:color w:val="231F20"/>
          <w:spacing w:val="-13"/>
          <w:vertAlign w:val="baseline"/>
        </w:rPr>
        <w:t> </w:t>
      </w:r>
      <w:r>
        <w:rPr>
          <w:color w:val="231F20"/>
          <w:spacing w:val="-1"/>
          <w:vertAlign w:val="baseline"/>
        </w:rPr>
        <w:t>areas</w:t>
      </w:r>
      <w:r>
        <w:rPr>
          <w:color w:val="231F20"/>
          <w:spacing w:val="-13"/>
          <w:vertAlign w:val="baseline"/>
        </w:rPr>
        <w:t> </w:t>
      </w:r>
      <w:r>
        <w:rPr>
          <w:color w:val="231F20"/>
          <w:vertAlign w:val="baseline"/>
        </w:rPr>
        <w:t>with</w:t>
      </w:r>
      <w:r>
        <w:rPr>
          <w:color w:val="231F20"/>
          <w:spacing w:val="-13"/>
          <w:vertAlign w:val="baseline"/>
        </w:rPr>
        <w:t> </w:t>
      </w:r>
      <w:r>
        <w:rPr>
          <w:color w:val="231F20"/>
          <w:vertAlign w:val="baseline"/>
        </w:rPr>
        <w:t>the</w:t>
      </w:r>
      <w:r>
        <w:rPr>
          <w:color w:val="231F20"/>
          <w:spacing w:val="-12"/>
          <w:vertAlign w:val="baseline"/>
        </w:rPr>
        <w:t> </w:t>
      </w:r>
      <w:r>
        <w:rPr>
          <w:color w:val="231F20"/>
          <w:vertAlign w:val="baseline"/>
        </w:rPr>
        <w:t>use</w:t>
      </w:r>
      <w:r>
        <w:rPr>
          <w:color w:val="231F20"/>
          <w:spacing w:val="1"/>
          <w:vertAlign w:val="baseline"/>
        </w:rPr>
        <w:t> </w:t>
      </w:r>
      <w:r>
        <w:rPr>
          <w:color w:val="231F20"/>
          <w:spacing w:val="-2"/>
          <w:vertAlign w:val="baseline"/>
        </w:rPr>
        <w:t>of telemedicine. </w:t>
      </w:r>
      <w:r>
        <w:rPr>
          <w:i/>
          <w:color w:val="231F20"/>
          <w:spacing w:val="-2"/>
          <w:vertAlign w:val="baseline"/>
        </w:rPr>
        <w:t>American </w:t>
      </w:r>
      <w:r>
        <w:rPr>
          <w:i/>
          <w:color w:val="231F20"/>
          <w:spacing w:val="-1"/>
          <w:vertAlign w:val="baseline"/>
        </w:rPr>
        <w:t>Journal on Addictions,</w:t>
      </w:r>
      <w:r>
        <w:rPr>
          <w:i/>
          <w:color w:val="231F20"/>
          <w:vertAlign w:val="baseline"/>
        </w:rPr>
        <w:t> </w:t>
      </w:r>
      <w:r>
        <w:rPr>
          <w:i/>
          <w:color w:val="231F20"/>
          <w:spacing w:val="-3"/>
          <w:vertAlign w:val="baseline"/>
        </w:rPr>
        <w:t>27</w:t>
      </w:r>
      <w:r>
        <w:rPr>
          <w:color w:val="231F20"/>
          <w:spacing w:val="-3"/>
          <w:vertAlign w:val="baseline"/>
        </w:rPr>
        <w:t>(8),</w:t>
      </w:r>
      <w:r>
        <w:rPr>
          <w:color w:val="231F20"/>
          <w:spacing w:val="-8"/>
          <w:vertAlign w:val="baseline"/>
        </w:rPr>
        <w:t> </w:t>
      </w:r>
      <w:r>
        <w:rPr>
          <w:color w:val="231F20"/>
          <w:spacing w:val="-3"/>
          <w:vertAlign w:val="baseline"/>
        </w:rPr>
        <w:t>612-617.</w:t>
      </w:r>
      <w:r>
        <w:rPr>
          <w:color w:val="231F20"/>
          <w:spacing w:val="-7"/>
          <w:vertAlign w:val="baseline"/>
        </w:rPr>
        <w:t> </w:t>
      </w:r>
      <w:hyperlink r:id="rId158">
        <w:r>
          <w:rPr>
            <w:color w:val="3953A4"/>
            <w:spacing w:val="-3"/>
            <w:u w:val="single" w:color="3953A4"/>
            <w:vertAlign w:val="baseline"/>
          </w:rPr>
          <w:t>https://doi.org/10.1111/ajad.12805</w:t>
        </w:r>
      </w:hyperlink>
    </w:p>
    <w:p>
      <w:pPr>
        <w:tabs>
          <w:tab w:pos="479" w:val="left" w:leader="none"/>
        </w:tabs>
        <w:spacing w:line="228" w:lineRule="auto" w:before="88"/>
        <w:ind w:left="480" w:right="45" w:hanging="360"/>
        <w:jc w:val="left"/>
        <w:rPr>
          <w:sz w:val="22"/>
        </w:rPr>
      </w:pPr>
      <w:r>
        <w:rPr>
          <w:color w:val="231F20"/>
          <w:sz w:val="22"/>
          <w:vertAlign w:val="superscript"/>
        </w:rPr>
        <w:t>26</w:t>
      </w:r>
      <w:r>
        <w:rPr>
          <w:color w:val="231F20"/>
          <w:sz w:val="22"/>
          <w:vertAlign w:val="baseline"/>
        </w:rPr>
        <w:tab/>
        <w:t>Moran, G., Knudsen, H., &amp; Snyder, C. (2019).</w:t>
      </w:r>
      <w:r>
        <w:rPr>
          <w:color w:val="231F20"/>
          <w:spacing w:val="1"/>
          <w:sz w:val="22"/>
          <w:vertAlign w:val="baseline"/>
        </w:rPr>
        <w:t> </w:t>
      </w:r>
      <w:r>
        <w:rPr>
          <w:i/>
          <w:color w:val="231F20"/>
          <w:sz w:val="22"/>
          <w:vertAlign w:val="baseline"/>
        </w:rPr>
        <w:t>Psychosocial supports in medication-assisted</w:t>
      </w:r>
      <w:r>
        <w:rPr>
          <w:i/>
          <w:color w:val="231F20"/>
          <w:spacing w:val="1"/>
          <w:sz w:val="22"/>
          <w:vertAlign w:val="baseline"/>
        </w:rPr>
        <w:t> </w:t>
      </w:r>
      <w:r>
        <w:rPr>
          <w:i/>
          <w:color w:val="231F20"/>
          <w:sz w:val="22"/>
          <w:vertAlign w:val="baseline"/>
        </w:rPr>
        <w:t>treatment:</w:t>
      </w:r>
      <w:r>
        <w:rPr>
          <w:i/>
          <w:color w:val="231F20"/>
          <w:spacing w:val="-6"/>
          <w:sz w:val="22"/>
          <w:vertAlign w:val="baseline"/>
        </w:rPr>
        <w:t> </w:t>
      </w:r>
      <w:r>
        <w:rPr>
          <w:i/>
          <w:color w:val="231F20"/>
          <w:sz w:val="22"/>
          <w:vertAlign w:val="baseline"/>
        </w:rPr>
        <w:t>Site</w:t>
      </w:r>
      <w:r>
        <w:rPr>
          <w:i/>
          <w:color w:val="231F20"/>
          <w:spacing w:val="-6"/>
          <w:sz w:val="22"/>
          <w:vertAlign w:val="baseline"/>
        </w:rPr>
        <w:t> </w:t>
      </w:r>
      <w:r>
        <w:rPr>
          <w:i/>
          <w:color w:val="231F20"/>
          <w:sz w:val="22"/>
          <w:vertAlign w:val="baseline"/>
        </w:rPr>
        <w:t>visit</w:t>
      </w:r>
      <w:r>
        <w:rPr>
          <w:i/>
          <w:color w:val="231F20"/>
          <w:spacing w:val="-6"/>
          <w:sz w:val="22"/>
          <w:vertAlign w:val="baseline"/>
        </w:rPr>
        <w:t> </w:t>
      </w:r>
      <w:r>
        <w:rPr>
          <w:i/>
          <w:color w:val="231F20"/>
          <w:sz w:val="22"/>
          <w:vertAlign w:val="baseline"/>
        </w:rPr>
        <w:t>findings</w:t>
      </w:r>
      <w:r>
        <w:rPr>
          <w:i/>
          <w:color w:val="231F20"/>
          <w:spacing w:val="-6"/>
          <w:sz w:val="22"/>
          <w:vertAlign w:val="baseline"/>
        </w:rPr>
        <w:t> </w:t>
      </w:r>
      <w:r>
        <w:rPr>
          <w:i/>
          <w:color w:val="231F20"/>
          <w:sz w:val="22"/>
          <w:vertAlign w:val="baseline"/>
        </w:rPr>
        <w:t>and</w:t>
      </w:r>
      <w:r>
        <w:rPr>
          <w:i/>
          <w:color w:val="231F20"/>
          <w:spacing w:val="-6"/>
          <w:sz w:val="22"/>
          <w:vertAlign w:val="baseline"/>
        </w:rPr>
        <w:t> </w:t>
      </w:r>
      <w:r>
        <w:rPr>
          <w:i/>
          <w:color w:val="231F20"/>
          <w:sz w:val="22"/>
          <w:vertAlign w:val="baseline"/>
        </w:rPr>
        <w:t>conclusions</w:t>
      </w:r>
      <w:r>
        <w:rPr>
          <w:color w:val="231F20"/>
          <w:sz w:val="22"/>
          <w:vertAlign w:val="baseline"/>
        </w:rPr>
        <w:t>.</w:t>
      </w:r>
      <w:r>
        <w:rPr>
          <w:color w:val="231F20"/>
          <w:spacing w:val="-6"/>
          <w:sz w:val="22"/>
          <w:vertAlign w:val="baseline"/>
        </w:rPr>
        <w:t> </w:t>
      </w:r>
      <w:hyperlink r:id="rId159">
        <w:r>
          <w:rPr>
            <w:color w:val="3953A4"/>
            <w:sz w:val="22"/>
            <w:u w:val="single" w:color="3953A4"/>
            <w:vertAlign w:val="baseline"/>
          </w:rPr>
          <w:t>https://</w:t>
        </w:r>
      </w:hyperlink>
      <w:r>
        <w:rPr>
          <w:color w:val="3953A4"/>
          <w:spacing w:val="-52"/>
          <w:sz w:val="22"/>
          <w:vertAlign w:val="baseline"/>
        </w:rPr>
        <w:t> </w:t>
      </w:r>
      <w:hyperlink r:id="rId159">
        <w:r>
          <w:rPr>
            <w:color w:val="3953A4"/>
            <w:sz w:val="22"/>
            <w:u w:val="single" w:color="3953A4"/>
            <w:vertAlign w:val="baseline"/>
          </w:rPr>
          <w:t>aspe.hhs.gov/basic-report/psychosocial-supports-</w:t>
        </w:r>
      </w:hyperlink>
      <w:r>
        <w:rPr>
          <w:color w:val="3953A4"/>
          <w:spacing w:val="1"/>
          <w:sz w:val="22"/>
          <w:vertAlign w:val="baseline"/>
        </w:rPr>
        <w:t> </w:t>
      </w:r>
      <w:hyperlink r:id="rId159">
        <w:r>
          <w:rPr>
            <w:color w:val="3953A4"/>
            <w:sz w:val="22"/>
            <w:u w:val="single" w:color="3953A4"/>
            <w:vertAlign w:val="baseline"/>
          </w:rPr>
          <w:t>medication-assisted-treatment-site-visit-findings-</w:t>
        </w:r>
      </w:hyperlink>
      <w:r>
        <w:rPr>
          <w:color w:val="3953A4"/>
          <w:spacing w:val="1"/>
          <w:sz w:val="22"/>
          <w:vertAlign w:val="baseline"/>
        </w:rPr>
        <w:t> </w:t>
      </w:r>
      <w:hyperlink r:id="rId159">
        <w:r>
          <w:rPr>
            <w:color w:val="3953A4"/>
            <w:sz w:val="22"/>
            <w:u w:val="single" w:color="3953A4"/>
            <w:vertAlign w:val="baseline"/>
          </w:rPr>
          <w:t>and-conclusions</w:t>
        </w:r>
      </w:hyperlink>
    </w:p>
    <w:p>
      <w:pPr>
        <w:pStyle w:val="BodyText"/>
        <w:tabs>
          <w:tab w:pos="479" w:val="left" w:leader="none"/>
        </w:tabs>
        <w:spacing w:line="246" w:lineRule="exact" w:before="78"/>
        <w:ind w:left="120"/>
      </w:pPr>
      <w:r>
        <w:rPr>
          <w:color w:val="231F20"/>
          <w:vertAlign w:val="superscript"/>
        </w:rPr>
        <w:t>27</w:t>
      </w:r>
      <w:r>
        <w:rPr>
          <w:color w:val="231F20"/>
          <w:vertAlign w:val="baseline"/>
        </w:rPr>
        <w:tab/>
        <w:t>Moran,</w:t>
      </w:r>
      <w:r>
        <w:rPr>
          <w:color w:val="231F20"/>
          <w:spacing w:val="-3"/>
          <w:vertAlign w:val="baseline"/>
        </w:rPr>
        <w:t> </w:t>
      </w:r>
      <w:r>
        <w:rPr>
          <w:color w:val="231F20"/>
          <w:vertAlign w:val="baseline"/>
        </w:rPr>
        <w:t>G.,</w:t>
      </w:r>
      <w:r>
        <w:rPr>
          <w:color w:val="231F20"/>
          <w:spacing w:val="-2"/>
          <w:vertAlign w:val="baseline"/>
        </w:rPr>
        <w:t> </w:t>
      </w:r>
      <w:r>
        <w:rPr>
          <w:color w:val="231F20"/>
          <w:vertAlign w:val="baseline"/>
        </w:rPr>
        <w:t>Snyder,</w:t>
      </w:r>
      <w:r>
        <w:rPr>
          <w:color w:val="231F20"/>
          <w:spacing w:val="-2"/>
          <w:vertAlign w:val="baseline"/>
        </w:rPr>
        <w:t> </w:t>
      </w:r>
      <w:r>
        <w:rPr>
          <w:color w:val="231F20"/>
          <w:vertAlign w:val="baseline"/>
        </w:rPr>
        <w:t>C.,</w:t>
      </w:r>
      <w:r>
        <w:rPr>
          <w:color w:val="231F20"/>
          <w:spacing w:val="-2"/>
          <w:vertAlign w:val="baseline"/>
        </w:rPr>
        <w:t> </w:t>
      </w:r>
      <w:r>
        <w:rPr>
          <w:color w:val="231F20"/>
          <w:vertAlign w:val="baseline"/>
        </w:rPr>
        <w:t>&amp;</w:t>
      </w:r>
      <w:r>
        <w:rPr>
          <w:color w:val="231F20"/>
          <w:spacing w:val="-2"/>
          <w:vertAlign w:val="baseline"/>
        </w:rPr>
        <w:t> </w:t>
      </w:r>
      <w:r>
        <w:rPr>
          <w:color w:val="231F20"/>
          <w:vertAlign w:val="baseline"/>
        </w:rPr>
        <w:t>Noftsinger,</w:t>
      </w:r>
      <w:r>
        <w:rPr>
          <w:color w:val="231F20"/>
          <w:spacing w:val="-2"/>
          <w:vertAlign w:val="baseline"/>
        </w:rPr>
        <w:t> </w:t>
      </w:r>
      <w:r>
        <w:rPr>
          <w:color w:val="231F20"/>
          <w:vertAlign w:val="baseline"/>
        </w:rPr>
        <w:t>R.</w:t>
      </w:r>
      <w:r>
        <w:rPr>
          <w:color w:val="231F20"/>
          <w:spacing w:val="-3"/>
          <w:vertAlign w:val="baseline"/>
        </w:rPr>
        <w:t> </w:t>
      </w:r>
      <w:r>
        <w:rPr>
          <w:color w:val="231F20"/>
          <w:vertAlign w:val="baseline"/>
        </w:rPr>
        <w:t>(2017).</w:t>
      </w:r>
    </w:p>
    <w:p>
      <w:pPr>
        <w:spacing w:line="228" w:lineRule="auto" w:before="4"/>
        <w:ind w:left="480" w:right="688" w:firstLine="0"/>
        <w:jc w:val="left"/>
        <w:rPr>
          <w:sz w:val="22"/>
        </w:rPr>
      </w:pPr>
      <w:r>
        <w:rPr>
          <w:i/>
          <w:color w:val="231F20"/>
          <w:sz w:val="22"/>
        </w:rPr>
        <w:t>Implementing medication-assisted treatment</w:t>
      </w:r>
      <w:r>
        <w:rPr>
          <w:i/>
          <w:color w:val="231F20"/>
          <w:spacing w:val="1"/>
          <w:sz w:val="22"/>
        </w:rPr>
        <w:t> </w:t>
      </w:r>
      <w:r>
        <w:rPr>
          <w:i/>
          <w:color w:val="231F20"/>
          <w:sz w:val="22"/>
        </w:rPr>
        <w:t>for</w:t>
      </w:r>
      <w:r>
        <w:rPr>
          <w:i/>
          <w:color w:val="231F20"/>
          <w:spacing w:val="-5"/>
          <w:sz w:val="22"/>
        </w:rPr>
        <w:t> </w:t>
      </w:r>
      <w:r>
        <w:rPr>
          <w:i/>
          <w:color w:val="231F20"/>
          <w:sz w:val="22"/>
        </w:rPr>
        <w:t>opioid</w:t>
      </w:r>
      <w:r>
        <w:rPr>
          <w:i/>
          <w:color w:val="231F20"/>
          <w:spacing w:val="-5"/>
          <w:sz w:val="22"/>
        </w:rPr>
        <w:t> </w:t>
      </w:r>
      <w:r>
        <w:rPr>
          <w:i/>
          <w:color w:val="231F20"/>
          <w:sz w:val="22"/>
        </w:rPr>
        <w:t>use</w:t>
      </w:r>
      <w:r>
        <w:rPr>
          <w:i/>
          <w:color w:val="231F20"/>
          <w:spacing w:val="-4"/>
          <w:sz w:val="22"/>
        </w:rPr>
        <w:t> </w:t>
      </w:r>
      <w:r>
        <w:rPr>
          <w:i/>
          <w:color w:val="231F20"/>
          <w:sz w:val="22"/>
        </w:rPr>
        <w:t>disorder</w:t>
      </w:r>
      <w:r>
        <w:rPr>
          <w:i/>
          <w:color w:val="231F20"/>
          <w:spacing w:val="-5"/>
          <w:sz w:val="22"/>
        </w:rPr>
        <w:t> </w:t>
      </w:r>
      <w:r>
        <w:rPr>
          <w:i/>
          <w:color w:val="231F20"/>
          <w:sz w:val="22"/>
        </w:rPr>
        <w:t>in</w:t>
      </w:r>
      <w:r>
        <w:rPr>
          <w:i/>
          <w:color w:val="231F20"/>
          <w:spacing w:val="-5"/>
          <w:sz w:val="22"/>
        </w:rPr>
        <w:t> </w:t>
      </w:r>
      <w:r>
        <w:rPr>
          <w:i/>
          <w:color w:val="231F20"/>
          <w:sz w:val="22"/>
        </w:rPr>
        <w:t>rural</w:t>
      </w:r>
      <w:r>
        <w:rPr>
          <w:i/>
          <w:color w:val="231F20"/>
          <w:spacing w:val="-4"/>
          <w:sz w:val="22"/>
        </w:rPr>
        <w:t> </w:t>
      </w:r>
      <w:r>
        <w:rPr>
          <w:i/>
          <w:color w:val="231F20"/>
          <w:sz w:val="22"/>
        </w:rPr>
        <w:t>primary</w:t>
      </w:r>
      <w:r>
        <w:rPr>
          <w:i/>
          <w:color w:val="231F20"/>
          <w:spacing w:val="-5"/>
          <w:sz w:val="22"/>
        </w:rPr>
        <w:t> </w:t>
      </w:r>
      <w:r>
        <w:rPr>
          <w:i/>
          <w:color w:val="231F20"/>
          <w:sz w:val="22"/>
        </w:rPr>
        <w:t>care:</w:t>
      </w:r>
      <w:r>
        <w:rPr>
          <w:i/>
          <w:color w:val="231F20"/>
          <w:spacing w:val="-52"/>
          <w:sz w:val="22"/>
        </w:rPr>
        <w:t> </w:t>
      </w:r>
      <w:r>
        <w:rPr>
          <w:i/>
          <w:color w:val="231F20"/>
          <w:sz w:val="22"/>
        </w:rPr>
        <w:t>Environmental</w:t>
      </w:r>
      <w:r>
        <w:rPr>
          <w:i/>
          <w:color w:val="231F20"/>
          <w:spacing w:val="-2"/>
          <w:sz w:val="22"/>
        </w:rPr>
        <w:t> </w:t>
      </w:r>
      <w:r>
        <w:rPr>
          <w:i/>
          <w:color w:val="231F20"/>
          <w:sz w:val="22"/>
        </w:rPr>
        <w:t>scan</w:t>
      </w:r>
      <w:r>
        <w:rPr>
          <w:i/>
          <w:color w:val="231F20"/>
          <w:spacing w:val="-2"/>
          <w:sz w:val="22"/>
        </w:rPr>
        <w:t> </w:t>
      </w:r>
      <w:r>
        <w:rPr>
          <w:color w:val="231F20"/>
          <w:sz w:val="22"/>
        </w:rPr>
        <w:t>(Publication</w:t>
      </w:r>
      <w:r>
        <w:rPr>
          <w:color w:val="231F20"/>
          <w:spacing w:val="-2"/>
          <w:sz w:val="22"/>
        </w:rPr>
        <w:t> </w:t>
      </w:r>
      <w:r>
        <w:rPr>
          <w:color w:val="231F20"/>
          <w:sz w:val="22"/>
        </w:rPr>
        <w:t>No.</w:t>
      </w:r>
      <w:r>
        <w:rPr>
          <w:color w:val="231F20"/>
          <w:spacing w:val="-2"/>
          <w:sz w:val="22"/>
        </w:rPr>
        <w:t> </w:t>
      </w:r>
      <w:r>
        <w:rPr>
          <w:color w:val="231F20"/>
          <w:sz w:val="22"/>
        </w:rPr>
        <w:t>17(18)-</w:t>
      </w:r>
    </w:p>
    <w:p>
      <w:pPr>
        <w:pStyle w:val="BodyText"/>
        <w:spacing w:line="228" w:lineRule="auto"/>
        <w:ind w:left="480" w:right="366"/>
      </w:pPr>
      <w:r>
        <w:rPr>
          <w:color w:val="231F20"/>
          <w:spacing w:val="-1"/>
        </w:rPr>
        <w:t>0050-EF.). Agency for </w:t>
      </w:r>
      <w:r>
        <w:rPr>
          <w:color w:val="231F20"/>
        </w:rPr>
        <w:t>Healthcare Research and</w:t>
      </w:r>
      <w:r>
        <w:rPr>
          <w:color w:val="231F20"/>
          <w:spacing w:val="1"/>
        </w:rPr>
        <w:t> </w:t>
      </w:r>
      <w:r>
        <w:rPr>
          <w:color w:val="231F20"/>
        </w:rPr>
        <w:t>Quality. </w:t>
      </w:r>
      <w:hyperlink r:id="rId160">
        <w:r>
          <w:rPr>
            <w:color w:val="3953A4"/>
            <w:u w:val="single" w:color="3953A4"/>
          </w:rPr>
          <w:t>https://tbhcoe.matrc.org/wp-content/</w:t>
        </w:r>
      </w:hyperlink>
      <w:r>
        <w:rPr>
          <w:color w:val="3953A4"/>
          <w:spacing w:val="1"/>
        </w:rPr>
        <w:t> </w:t>
      </w:r>
      <w:hyperlink r:id="rId160">
        <w:r>
          <w:rPr>
            <w:color w:val="3953A4"/>
            <w:u w:val="single" w:color="3953A4"/>
          </w:rPr>
          <w:t>uploads/2019/12/implementing-medication-</w:t>
        </w:r>
      </w:hyperlink>
      <w:r>
        <w:rPr>
          <w:color w:val="3953A4"/>
          <w:spacing w:val="1"/>
        </w:rPr>
        <w:t> </w:t>
      </w:r>
      <w:hyperlink r:id="rId160">
        <w:r>
          <w:rPr>
            <w:color w:val="3953A4"/>
            <w:spacing w:val="-1"/>
            <w:u w:val="single" w:color="3953A4"/>
          </w:rPr>
          <w:t>assisted-treatment-opioid-disorder-rural-primary-</w:t>
        </w:r>
      </w:hyperlink>
      <w:r>
        <w:rPr>
          <w:color w:val="3953A4"/>
          <w:spacing w:val="-52"/>
        </w:rPr>
        <w:t> </w:t>
      </w:r>
      <w:hyperlink r:id="rId160">
        <w:r>
          <w:rPr>
            <w:color w:val="3953A4"/>
            <w:u w:val="single" w:color="3953A4"/>
          </w:rPr>
          <w:t>care-environmental-scan-volume-one-2017.</w:t>
        </w:r>
      </w:hyperlink>
      <w:r>
        <w:rPr>
          <w:color w:val="3953A4"/>
          <w:spacing w:val="1"/>
        </w:rPr>
        <w:t> </w:t>
      </w:r>
      <w:hyperlink r:id="rId160">
        <w:r>
          <w:rPr>
            <w:color w:val="3953A4"/>
            <w:u w:val="single" w:color="3953A4"/>
          </w:rPr>
          <w:t>pdf?9d4e56&amp;9d4e56</w:t>
        </w:r>
      </w:hyperlink>
    </w:p>
    <w:p>
      <w:pPr>
        <w:tabs>
          <w:tab w:pos="479" w:val="left" w:leader="none"/>
        </w:tabs>
        <w:spacing w:line="228" w:lineRule="auto" w:before="101"/>
        <w:ind w:left="480" w:right="802" w:hanging="360"/>
        <w:jc w:val="left"/>
        <w:rPr>
          <w:sz w:val="22"/>
        </w:rPr>
      </w:pPr>
      <w:r>
        <w:rPr/>
        <w:br w:type="column"/>
      </w:r>
      <w:r>
        <w:rPr>
          <w:color w:val="231F20"/>
          <w:sz w:val="22"/>
          <w:vertAlign w:val="superscript"/>
        </w:rPr>
        <w:t>28</w:t>
      </w:r>
      <w:r>
        <w:rPr>
          <w:color w:val="231F20"/>
          <w:sz w:val="22"/>
          <w:vertAlign w:val="baseline"/>
        </w:rPr>
        <w:tab/>
        <w:t>Substance Abuse and Mental Health Services</w:t>
      </w:r>
      <w:r>
        <w:rPr>
          <w:color w:val="231F20"/>
          <w:spacing w:val="1"/>
          <w:sz w:val="22"/>
          <w:vertAlign w:val="baseline"/>
        </w:rPr>
        <w:t> </w:t>
      </w:r>
      <w:r>
        <w:rPr>
          <w:color w:val="231F20"/>
          <w:sz w:val="22"/>
          <w:vertAlign w:val="baseline"/>
        </w:rPr>
        <w:t>Administration, &amp; Office of the Surgeon General.</w:t>
      </w:r>
      <w:r>
        <w:rPr>
          <w:color w:val="231F20"/>
          <w:spacing w:val="1"/>
          <w:sz w:val="22"/>
          <w:vertAlign w:val="baseline"/>
        </w:rPr>
        <w:t> </w:t>
      </w:r>
      <w:r>
        <w:rPr>
          <w:color w:val="231F20"/>
          <w:sz w:val="22"/>
          <w:vertAlign w:val="baseline"/>
        </w:rPr>
        <w:t>(2016). Reports of the Surgeon General. In </w:t>
      </w:r>
      <w:r>
        <w:rPr>
          <w:i/>
          <w:color w:val="231F20"/>
          <w:sz w:val="22"/>
          <w:vertAlign w:val="baseline"/>
        </w:rPr>
        <w:t>Facing</w:t>
      </w:r>
      <w:r>
        <w:rPr>
          <w:i/>
          <w:color w:val="231F20"/>
          <w:spacing w:val="1"/>
          <w:sz w:val="22"/>
          <w:vertAlign w:val="baseline"/>
        </w:rPr>
        <w:t> </w:t>
      </w:r>
      <w:r>
        <w:rPr>
          <w:i/>
          <w:color w:val="231F20"/>
          <w:spacing w:val="-1"/>
          <w:sz w:val="22"/>
          <w:vertAlign w:val="baseline"/>
        </w:rPr>
        <w:t>addiction</w:t>
      </w:r>
      <w:r>
        <w:rPr>
          <w:i/>
          <w:color w:val="231F20"/>
          <w:spacing w:val="-9"/>
          <w:sz w:val="22"/>
          <w:vertAlign w:val="baseline"/>
        </w:rPr>
        <w:t> </w:t>
      </w:r>
      <w:r>
        <w:rPr>
          <w:i/>
          <w:color w:val="231F20"/>
          <w:sz w:val="22"/>
          <w:vertAlign w:val="baseline"/>
        </w:rPr>
        <w:t>in</w:t>
      </w:r>
      <w:r>
        <w:rPr>
          <w:i/>
          <w:color w:val="231F20"/>
          <w:spacing w:val="-12"/>
          <w:sz w:val="22"/>
          <w:vertAlign w:val="baseline"/>
        </w:rPr>
        <w:t> </w:t>
      </w:r>
      <w:r>
        <w:rPr>
          <w:i/>
          <w:color w:val="231F20"/>
          <w:sz w:val="22"/>
          <w:vertAlign w:val="baseline"/>
        </w:rPr>
        <w:t>America:</w:t>
      </w:r>
      <w:r>
        <w:rPr>
          <w:i/>
          <w:color w:val="231F20"/>
          <w:spacing w:val="-8"/>
          <w:sz w:val="22"/>
          <w:vertAlign w:val="baseline"/>
        </w:rPr>
        <w:t> </w:t>
      </w:r>
      <w:r>
        <w:rPr>
          <w:i/>
          <w:color w:val="231F20"/>
          <w:sz w:val="22"/>
          <w:vertAlign w:val="baseline"/>
        </w:rPr>
        <w:t>The</w:t>
      </w:r>
      <w:r>
        <w:rPr>
          <w:i/>
          <w:color w:val="231F20"/>
          <w:spacing w:val="-9"/>
          <w:sz w:val="22"/>
          <w:vertAlign w:val="baseline"/>
        </w:rPr>
        <w:t> </w:t>
      </w:r>
      <w:r>
        <w:rPr>
          <w:i/>
          <w:color w:val="231F20"/>
          <w:sz w:val="22"/>
          <w:vertAlign w:val="baseline"/>
        </w:rPr>
        <w:t>Surgeon</w:t>
      </w:r>
      <w:r>
        <w:rPr>
          <w:i/>
          <w:color w:val="231F20"/>
          <w:spacing w:val="-8"/>
          <w:sz w:val="22"/>
          <w:vertAlign w:val="baseline"/>
        </w:rPr>
        <w:t> </w:t>
      </w:r>
      <w:r>
        <w:rPr>
          <w:i/>
          <w:color w:val="231F20"/>
          <w:sz w:val="22"/>
          <w:vertAlign w:val="baseline"/>
        </w:rPr>
        <w:t>General’s</w:t>
      </w:r>
      <w:r>
        <w:rPr>
          <w:i/>
          <w:color w:val="231F20"/>
          <w:spacing w:val="-8"/>
          <w:sz w:val="22"/>
          <w:vertAlign w:val="baseline"/>
        </w:rPr>
        <w:t> </w:t>
      </w:r>
      <w:r>
        <w:rPr>
          <w:i/>
          <w:color w:val="231F20"/>
          <w:sz w:val="22"/>
          <w:vertAlign w:val="baseline"/>
        </w:rPr>
        <w:t>report</w:t>
      </w:r>
      <w:r>
        <w:rPr>
          <w:i/>
          <w:color w:val="231F20"/>
          <w:spacing w:val="-52"/>
          <w:sz w:val="22"/>
          <w:vertAlign w:val="baseline"/>
        </w:rPr>
        <w:t> </w:t>
      </w:r>
      <w:r>
        <w:rPr>
          <w:i/>
          <w:color w:val="231F20"/>
          <w:sz w:val="22"/>
          <w:vertAlign w:val="baseline"/>
        </w:rPr>
        <w:t>on</w:t>
      </w:r>
      <w:r>
        <w:rPr>
          <w:i/>
          <w:color w:val="231F20"/>
          <w:spacing w:val="-1"/>
          <w:sz w:val="22"/>
          <w:vertAlign w:val="baseline"/>
        </w:rPr>
        <w:t> </w:t>
      </w:r>
      <w:r>
        <w:rPr>
          <w:i/>
          <w:color w:val="231F20"/>
          <w:sz w:val="22"/>
          <w:vertAlign w:val="baseline"/>
        </w:rPr>
        <w:t>alcohol, drugs, and health</w:t>
      </w:r>
      <w:r>
        <w:rPr>
          <w:color w:val="231F20"/>
          <w:sz w:val="22"/>
          <w:vertAlign w:val="baseline"/>
        </w:rPr>
        <w:t>. U.S. Department</w:t>
      </w:r>
    </w:p>
    <w:p>
      <w:pPr>
        <w:pStyle w:val="BodyText"/>
        <w:spacing w:line="228" w:lineRule="auto"/>
        <w:ind w:left="480" w:right="1084"/>
      </w:pPr>
      <w:r>
        <w:rPr>
          <w:color w:val="231F20"/>
        </w:rPr>
        <w:t>of Health and Human Services. </w:t>
      </w:r>
      <w:hyperlink r:id="rId161">
        <w:r>
          <w:rPr>
            <w:color w:val="3953A4"/>
            <w:u w:val="single" w:color="3953A4"/>
          </w:rPr>
          <w:t>https://addiction.</w:t>
        </w:r>
      </w:hyperlink>
      <w:r>
        <w:rPr>
          <w:color w:val="3953A4"/>
          <w:spacing w:val="-53"/>
        </w:rPr>
        <w:t> </w:t>
      </w:r>
      <w:hyperlink r:id="rId161">
        <w:r>
          <w:rPr>
            <w:color w:val="3953A4"/>
            <w:u w:val="single" w:color="3953A4"/>
          </w:rPr>
          <w:t>surgeongeneral.gov/sites/default/files/OC_</w:t>
        </w:r>
      </w:hyperlink>
      <w:r>
        <w:rPr>
          <w:color w:val="3953A4"/>
          <w:spacing w:val="1"/>
        </w:rPr>
        <w:t> </w:t>
      </w:r>
      <w:hyperlink r:id="rId161">
        <w:r>
          <w:rPr>
            <w:color w:val="3953A4"/>
            <w:u w:val="single" w:color="3953A4"/>
          </w:rPr>
          <w:t>SpotlightOnOpioids.pdf</w:t>
        </w:r>
      </w:hyperlink>
    </w:p>
    <w:p>
      <w:pPr>
        <w:tabs>
          <w:tab w:pos="479" w:val="left" w:leader="none"/>
        </w:tabs>
        <w:spacing w:line="228" w:lineRule="auto" w:before="87"/>
        <w:ind w:left="480" w:right="801" w:hanging="360"/>
        <w:jc w:val="left"/>
        <w:rPr>
          <w:sz w:val="22"/>
        </w:rPr>
      </w:pPr>
      <w:r>
        <w:rPr>
          <w:color w:val="231F20"/>
          <w:sz w:val="22"/>
          <w:vertAlign w:val="superscript"/>
        </w:rPr>
        <w:t>29</w:t>
      </w:r>
      <w:r>
        <w:rPr>
          <w:color w:val="231F20"/>
          <w:sz w:val="22"/>
          <w:vertAlign w:val="baseline"/>
        </w:rPr>
        <w:tab/>
      </w:r>
      <w:r>
        <w:rPr>
          <w:color w:val="231F20"/>
          <w:spacing w:val="-5"/>
          <w:sz w:val="22"/>
          <w:vertAlign w:val="baseline"/>
        </w:rPr>
        <w:t>Yang, Y. T., Weintraub, E., &amp; </w:t>
      </w:r>
      <w:r>
        <w:rPr>
          <w:color w:val="231F20"/>
          <w:spacing w:val="-4"/>
          <w:sz w:val="22"/>
          <w:vertAlign w:val="baseline"/>
        </w:rPr>
        <w:t>Haffajee, R. L. (2018).</w:t>
      </w:r>
      <w:r>
        <w:rPr>
          <w:color w:val="231F20"/>
          <w:spacing w:val="-3"/>
          <w:sz w:val="22"/>
          <w:vertAlign w:val="baseline"/>
        </w:rPr>
        <w:t> </w:t>
      </w:r>
      <w:r>
        <w:rPr>
          <w:i/>
          <w:color w:val="231F20"/>
          <w:spacing w:val="-4"/>
          <w:sz w:val="22"/>
          <w:vertAlign w:val="baseline"/>
        </w:rPr>
        <w:t>Telemedicine’s</w:t>
      </w:r>
      <w:r>
        <w:rPr>
          <w:i/>
          <w:color w:val="231F20"/>
          <w:spacing w:val="-10"/>
          <w:sz w:val="22"/>
          <w:vertAlign w:val="baseline"/>
        </w:rPr>
        <w:t> </w:t>
      </w:r>
      <w:r>
        <w:rPr>
          <w:i/>
          <w:color w:val="231F20"/>
          <w:spacing w:val="-4"/>
          <w:sz w:val="22"/>
          <w:vertAlign w:val="baseline"/>
        </w:rPr>
        <w:t>role</w:t>
      </w:r>
      <w:r>
        <w:rPr>
          <w:i/>
          <w:color w:val="231F20"/>
          <w:spacing w:val="-9"/>
          <w:sz w:val="22"/>
          <w:vertAlign w:val="baseline"/>
        </w:rPr>
        <w:t> </w:t>
      </w:r>
      <w:r>
        <w:rPr>
          <w:i/>
          <w:color w:val="231F20"/>
          <w:spacing w:val="-3"/>
          <w:sz w:val="22"/>
          <w:vertAlign w:val="baseline"/>
        </w:rPr>
        <w:t>in</w:t>
      </w:r>
      <w:r>
        <w:rPr>
          <w:i/>
          <w:color w:val="231F20"/>
          <w:spacing w:val="-9"/>
          <w:sz w:val="22"/>
          <w:vertAlign w:val="baseline"/>
        </w:rPr>
        <w:t> </w:t>
      </w:r>
      <w:r>
        <w:rPr>
          <w:i/>
          <w:color w:val="231F20"/>
          <w:spacing w:val="-3"/>
          <w:sz w:val="22"/>
          <w:vertAlign w:val="baseline"/>
        </w:rPr>
        <w:t>addressing</w:t>
      </w:r>
      <w:r>
        <w:rPr>
          <w:i/>
          <w:color w:val="231F20"/>
          <w:spacing w:val="-9"/>
          <w:sz w:val="22"/>
          <w:vertAlign w:val="baseline"/>
        </w:rPr>
        <w:t> </w:t>
      </w:r>
      <w:r>
        <w:rPr>
          <w:i/>
          <w:color w:val="231F20"/>
          <w:spacing w:val="-3"/>
          <w:sz w:val="22"/>
          <w:vertAlign w:val="baseline"/>
        </w:rPr>
        <w:t>the</w:t>
      </w:r>
      <w:r>
        <w:rPr>
          <w:i/>
          <w:color w:val="231F20"/>
          <w:spacing w:val="-9"/>
          <w:sz w:val="22"/>
          <w:vertAlign w:val="baseline"/>
        </w:rPr>
        <w:t> </w:t>
      </w:r>
      <w:r>
        <w:rPr>
          <w:i/>
          <w:color w:val="231F20"/>
          <w:spacing w:val="-3"/>
          <w:sz w:val="22"/>
          <w:vertAlign w:val="baseline"/>
        </w:rPr>
        <w:t>opioid</w:t>
      </w:r>
      <w:r>
        <w:rPr>
          <w:i/>
          <w:color w:val="231F20"/>
          <w:spacing w:val="-10"/>
          <w:sz w:val="22"/>
          <w:vertAlign w:val="baseline"/>
        </w:rPr>
        <w:t> </w:t>
      </w:r>
      <w:r>
        <w:rPr>
          <w:i/>
          <w:color w:val="231F20"/>
          <w:spacing w:val="-3"/>
          <w:sz w:val="22"/>
          <w:vertAlign w:val="baseline"/>
        </w:rPr>
        <w:t>epidemic</w:t>
      </w:r>
      <w:r>
        <w:rPr>
          <w:i/>
          <w:color w:val="231F20"/>
          <w:spacing w:val="-52"/>
          <w:sz w:val="22"/>
          <w:vertAlign w:val="baseline"/>
        </w:rPr>
        <w:t> </w:t>
      </w:r>
      <w:r>
        <w:rPr>
          <w:color w:val="231F20"/>
          <w:spacing w:val="-2"/>
          <w:sz w:val="22"/>
          <w:vertAlign w:val="baseline"/>
        </w:rPr>
        <w:t>(Mayo Clinic Proceedings, </w:t>
      </w:r>
      <w:r>
        <w:rPr>
          <w:color w:val="231F20"/>
          <w:spacing w:val="-1"/>
          <w:sz w:val="22"/>
          <w:vertAlign w:val="baseline"/>
        </w:rPr>
        <w:t>Issue NIHMS1004632).</w:t>
      </w:r>
      <w:r>
        <w:rPr>
          <w:color w:val="231F20"/>
          <w:sz w:val="22"/>
          <w:vertAlign w:val="baseline"/>
        </w:rPr>
        <w:t> </w:t>
      </w:r>
      <w:hyperlink r:id="rId162">
        <w:r>
          <w:rPr>
            <w:color w:val="3953A4"/>
            <w:sz w:val="22"/>
            <w:u w:val="single" w:color="3953A4"/>
            <w:vertAlign w:val="baseline"/>
          </w:rPr>
          <w:t>https://www.mayoclinicproceedings.org/article/</w:t>
        </w:r>
      </w:hyperlink>
      <w:r>
        <w:rPr>
          <w:color w:val="3953A4"/>
          <w:spacing w:val="1"/>
          <w:sz w:val="22"/>
          <w:vertAlign w:val="baseline"/>
        </w:rPr>
        <w:t> </w:t>
      </w:r>
      <w:hyperlink r:id="rId162">
        <w:r>
          <w:rPr>
            <w:color w:val="3953A4"/>
            <w:sz w:val="22"/>
            <w:u w:val="single" w:color="3953A4"/>
            <w:vertAlign w:val="baseline"/>
          </w:rPr>
          <w:t>S0025-6196(18)30539-1/pdf</w:t>
        </w:r>
      </w:hyperlink>
    </w:p>
    <w:p>
      <w:pPr>
        <w:pStyle w:val="BodyText"/>
        <w:tabs>
          <w:tab w:pos="479" w:val="left" w:leader="none"/>
        </w:tabs>
        <w:spacing w:line="228" w:lineRule="auto" w:before="89"/>
        <w:ind w:left="480" w:right="747" w:hanging="360"/>
      </w:pPr>
      <w:r>
        <w:rPr>
          <w:color w:val="231F20"/>
          <w:vertAlign w:val="superscript"/>
        </w:rPr>
        <w:t>30</w:t>
      </w:r>
      <w:r>
        <w:rPr>
          <w:color w:val="231F20"/>
          <w:vertAlign w:val="baseline"/>
        </w:rPr>
        <w:tab/>
      </w:r>
      <w:r>
        <w:rPr>
          <w:color w:val="231F20"/>
          <w:spacing w:val="-3"/>
          <w:vertAlign w:val="baseline"/>
        </w:rPr>
        <w:t>Naslund, J. A., Marsch, L. A., McHugo, G. J., </w:t>
      </w:r>
      <w:r>
        <w:rPr>
          <w:color w:val="231F20"/>
          <w:spacing w:val="-2"/>
          <w:vertAlign w:val="baseline"/>
        </w:rPr>
        <w:t>&amp;</w:t>
      </w:r>
      <w:r>
        <w:rPr>
          <w:color w:val="231F20"/>
          <w:spacing w:val="-1"/>
          <w:vertAlign w:val="baseline"/>
        </w:rPr>
        <w:t> </w:t>
      </w:r>
      <w:r>
        <w:rPr>
          <w:color w:val="231F20"/>
          <w:spacing w:val="-3"/>
          <w:vertAlign w:val="baseline"/>
        </w:rPr>
        <w:t>Bartels, S. J. (2015). Emerging </w:t>
      </w:r>
      <w:r>
        <w:rPr>
          <w:color w:val="231F20"/>
          <w:spacing w:val="-2"/>
          <w:vertAlign w:val="baseline"/>
        </w:rPr>
        <w:t>mhealth and ehealth</w:t>
      </w:r>
      <w:r>
        <w:rPr>
          <w:color w:val="231F20"/>
          <w:spacing w:val="-1"/>
          <w:vertAlign w:val="baseline"/>
        </w:rPr>
        <w:t> </w:t>
      </w:r>
      <w:r>
        <w:rPr>
          <w:color w:val="231F20"/>
          <w:spacing w:val="-4"/>
          <w:vertAlign w:val="baseline"/>
        </w:rPr>
        <w:t>interventions</w:t>
      </w:r>
      <w:r>
        <w:rPr>
          <w:color w:val="231F20"/>
          <w:spacing w:val="-8"/>
          <w:vertAlign w:val="baseline"/>
        </w:rPr>
        <w:t> </w:t>
      </w:r>
      <w:r>
        <w:rPr>
          <w:color w:val="231F20"/>
          <w:spacing w:val="-4"/>
          <w:vertAlign w:val="baseline"/>
        </w:rPr>
        <w:t>for</w:t>
      </w:r>
      <w:r>
        <w:rPr>
          <w:color w:val="231F20"/>
          <w:spacing w:val="-7"/>
          <w:vertAlign w:val="baseline"/>
        </w:rPr>
        <w:t> </w:t>
      </w:r>
      <w:r>
        <w:rPr>
          <w:color w:val="231F20"/>
          <w:spacing w:val="-4"/>
          <w:vertAlign w:val="baseline"/>
        </w:rPr>
        <w:t>serious</w:t>
      </w:r>
      <w:r>
        <w:rPr>
          <w:color w:val="231F20"/>
          <w:spacing w:val="-7"/>
          <w:vertAlign w:val="baseline"/>
        </w:rPr>
        <w:t> </w:t>
      </w:r>
      <w:r>
        <w:rPr>
          <w:color w:val="231F20"/>
          <w:spacing w:val="-4"/>
          <w:vertAlign w:val="baseline"/>
        </w:rPr>
        <w:t>mental</w:t>
      </w:r>
      <w:r>
        <w:rPr>
          <w:color w:val="231F20"/>
          <w:spacing w:val="-7"/>
          <w:vertAlign w:val="baseline"/>
        </w:rPr>
        <w:t> </w:t>
      </w:r>
      <w:r>
        <w:rPr>
          <w:color w:val="231F20"/>
          <w:spacing w:val="-4"/>
          <w:vertAlign w:val="baseline"/>
        </w:rPr>
        <w:t>illness:</w:t>
      </w:r>
      <w:r>
        <w:rPr>
          <w:color w:val="231F20"/>
          <w:spacing w:val="-20"/>
          <w:vertAlign w:val="baseline"/>
        </w:rPr>
        <w:t> </w:t>
      </w:r>
      <w:r>
        <w:rPr>
          <w:color w:val="231F20"/>
          <w:spacing w:val="-3"/>
          <w:vertAlign w:val="baseline"/>
        </w:rPr>
        <w:t>A</w:t>
      </w:r>
      <w:r>
        <w:rPr>
          <w:color w:val="231F20"/>
          <w:spacing w:val="-20"/>
          <w:vertAlign w:val="baseline"/>
        </w:rPr>
        <w:t> </w:t>
      </w:r>
      <w:r>
        <w:rPr>
          <w:color w:val="231F20"/>
          <w:spacing w:val="-3"/>
          <w:vertAlign w:val="baseline"/>
        </w:rPr>
        <w:t>review</w:t>
      </w:r>
      <w:r>
        <w:rPr>
          <w:color w:val="231F20"/>
          <w:spacing w:val="-8"/>
          <w:vertAlign w:val="baseline"/>
        </w:rPr>
        <w:t> </w:t>
      </w:r>
      <w:r>
        <w:rPr>
          <w:color w:val="231F20"/>
          <w:spacing w:val="-3"/>
          <w:vertAlign w:val="baseline"/>
        </w:rPr>
        <w:t>of</w:t>
      </w:r>
      <w:r>
        <w:rPr>
          <w:color w:val="231F20"/>
          <w:spacing w:val="-7"/>
          <w:vertAlign w:val="baseline"/>
        </w:rPr>
        <w:t> </w:t>
      </w:r>
      <w:r>
        <w:rPr>
          <w:color w:val="231F20"/>
          <w:spacing w:val="-3"/>
          <w:vertAlign w:val="baseline"/>
        </w:rPr>
        <w:t>the</w:t>
      </w:r>
      <w:r>
        <w:rPr>
          <w:color w:val="231F20"/>
          <w:spacing w:val="-52"/>
          <w:vertAlign w:val="baseline"/>
        </w:rPr>
        <w:t> </w:t>
      </w:r>
      <w:r>
        <w:rPr>
          <w:color w:val="231F20"/>
          <w:spacing w:val="-4"/>
          <w:vertAlign w:val="baseline"/>
        </w:rPr>
        <w:t>literature. </w:t>
      </w:r>
      <w:r>
        <w:rPr>
          <w:i/>
          <w:color w:val="231F20"/>
          <w:spacing w:val="-4"/>
          <w:vertAlign w:val="baseline"/>
        </w:rPr>
        <w:t>Journal </w:t>
      </w:r>
      <w:r>
        <w:rPr>
          <w:i/>
          <w:color w:val="231F20"/>
          <w:spacing w:val="-3"/>
          <w:vertAlign w:val="baseline"/>
        </w:rPr>
        <w:t>of Mental Health, 24</w:t>
      </w:r>
      <w:r>
        <w:rPr>
          <w:color w:val="231F20"/>
          <w:spacing w:val="-3"/>
          <w:vertAlign w:val="baseline"/>
        </w:rPr>
        <w:t>(5), 321-332.</w:t>
      </w:r>
      <w:r>
        <w:rPr>
          <w:color w:val="231F20"/>
          <w:spacing w:val="-2"/>
          <w:vertAlign w:val="baseline"/>
        </w:rPr>
        <w:t> </w:t>
      </w:r>
      <w:hyperlink r:id="rId163">
        <w:r>
          <w:rPr>
            <w:color w:val="3953A4"/>
            <w:u w:val="single" w:color="3953A4"/>
            <w:vertAlign w:val="baseline"/>
          </w:rPr>
          <w:t>https://doi.org/10.3109/09638237.2015.1019054</w:t>
        </w:r>
      </w:hyperlink>
    </w:p>
    <w:p>
      <w:pPr>
        <w:pStyle w:val="BodyText"/>
        <w:tabs>
          <w:tab w:pos="479" w:val="left" w:leader="none"/>
        </w:tabs>
        <w:spacing w:line="246" w:lineRule="exact" w:before="78"/>
        <w:ind w:left="120"/>
      </w:pPr>
      <w:r>
        <w:rPr>
          <w:color w:val="231F20"/>
          <w:vertAlign w:val="superscript"/>
        </w:rPr>
        <w:t>31</w:t>
      </w:r>
      <w:r>
        <w:rPr>
          <w:color w:val="231F20"/>
          <w:vertAlign w:val="baseline"/>
        </w:rPr>
        <w:tab/>
      </w:r>
      <w:r>
        <w:rPr>
          <w:color w:val="231F20"/>
          <w:spacing w:val="-5"/>
          <w:vertAlign w:val="baseline"/>
        </w:rPr>
        <w:t>Menon,</w:t>
      </w:r>
      <w:r>
        <w:rPr>
          <w:color w:val="231F20"/>
          <w:spacing w:val="-12"/>
          <w:vertAlign w:val="baseline"/>
        </w:rPr>
        <w:t> </w:t>
      </w:r>
      <w:r>
        <w:rPr>
          <w:color w:val="231F20"/>
          <w:spacing w:val="-5"/>
          <w:vertAlign w:val="baseline"/>
        </w:rPr>
        <w:t>V.,</w:t>
      </w:r>
      <w:r>
        <w:rPr>
          <w:color w:val="231F20"/>
          <w:spacing w:val="-7"/>
          <w:vertAlign w:val="baseline"/>
        </w:rPr>
        <w:t> </w:t>
      </w:r>
      <w:r>
        <w:rPr>
          <w:color w:val="231F20"/>
          <w:spacing w:val="-5"/>
          <w:vertAlign w:val="baseline"/>
        </w:rPr>
        <w:t>Selvakumar,</w:t>
      </w:r>
      <w:r>
        <w:rPr>
          <w:color w:val="231F20"/>
          <w:spacing w:val="-8"/>
          <w:vertAlign w:val="baseline"/>
        </w:rPr>
        <w:t> </w:t>
      </w:r>
      <w:r>
        <w:rPr>
          <w:color w:val="231F20"/>
          <w:spacing w:val="-5"/>
          <w:vertAlign w:val="baseline"/>
        </w:rPr>
        <w:t>N.,</w:t>
      </w:r>
      <w:r>
        <w:rPr>
          <w:color w:val="231F20"/>
          <w:spacing w:val="-7"/>
          <w:vertAlign w:val="baseline"/>
        </w:rPr>
        <w:t> </w:t>
      </w:r>
      <w:r>
        <w:rPr>
          <w:color w:val="231F20"/>
          <w:spacing w:val="-5"/>
          <w:vertAlign w:val="baseline"/>
        </w:rPr>
        <w:t>Kattimani,</w:t>
      </w:r>
      <w:r>
        <w:rPr>
          <w:color w:val="231F20"/>
          <w:spacing w:val="-8"/>
          <w:vertAlign w:val="baseline"/>
        </w:rPr>
        <w:t> </w:t>
      </w:r>
      <w:r>
        <w:rPr>
          <w:color w:val="231F20"/>
          <w:spacing w:val="-4"/>
          <w:vertAlign w:val="baseline"/>
        </w:rPr>
        <w:t>S.,</w:t>
      </w:r>
      <w:r>
        <w:rPr>
          <w:color w:val="231F20"/>
          <w:spacing w:val="-7"/>
          <w:vertAlign w:val="baseline"/>
        </w:rPr>
        <w:t> </w:t>
      </w:r>
      <w:r>
        <w:rPr>
          <w:color w:val="231F20"/>
          <w:spacing w:val="-4"/>
          <w:vertAlign w:val="baseline"/>
        </w:rPr>
        <w:t>&amp;</w:t>
      </w:r>
      <w:r>
        <w:rPr>
          <w:color w:val="231F20"/>
          <w:spacing w:val="-19"/>
          <w:vertAlign w:val="baseline"/>
        </w:rPr>
        <w:t> </w:t>
      </w:r>
      <w:r>
        <w:rPr>
          <w:color w:val="231F20"/>
          <w:spacing w:val="-4"/>
          <w:vertAlign w:val="baseline"/>
        </w:rPr>
        <w:t>Andrade,</w:t>
      </w:r>
    </w:p>
    <w:p>
      <w:pPr>
        <w:pStyle w:val="BodyText"/>
        <w:spacing w:line="228" w:lineRule="auto" w:before="4"/>
        <w:ind w:left="479" w:right="712"/>
      </w:pPr>
      <w:r>
        <w:rPr>
          <w:color w:val="231F20"/>
          <w:w w:val="95"/>
        </w:rPr>
        <w:t>C. (2018). Therapeutic effects of mobile-based text</w:t>
      </w:r>
      <w:r>
        <w:rPr>
          <w:color w:val="231F20"/>
          <w:spacing w:val="1"/>
          <w:w w:val="95"/>
        </w:rPr>
        <w:t> </w:t>
      </w:r>
      <w:r>
        <w:rPr>
          <w:color w:val="231F20"/>
          <w:spacing w:val="-4"/>
        </w:rPr>
        <w:t>message</w:t>
      </w:r>
      <w:r>
        <w:rPr>
          <w:color w:val="231F20"/>
          <w:spacing w:val="-10"/>
        </w:rPr>
        <w:t> </w:t>
      </w:r>
      <w:r>
        <w:rPr>
          <w:color w:val="231F20"/>
          <w:spacing w:val="-4"/>
        </w:rPr>
        <w:t>reminders</w:t>
      </w:r>
      <w:r>
        <w:rPr>
          <w:color w:val="231F20"/>
          <w:spacing w:val="-9"/>
        </w:rPr>
        <w:t> </w:t>
      </w:r>
      <w:r>
        <w:rPr>
          <w:color w:val="231F20"/>
          <w:spacing w:val="-4"/>
        </w:rPr>
        <w:t>for</w:t>
      </w:r>
      <w:r>
        <w:rPr>
          <w:color w:val="231F20"/>
          <w:spacing w:val="-9"/>
        </w:rPr>
        <w:t> </w:t>
      </w:r>
      <w:r>
        <w:rPr>
          <w:color w:val="231F20"/>
          <w:spacing w:val="-4"/>
        </w:rPr>
        <w:t>medication</w:t>
      </w:r>
      <w:r>
        <w:rPr>
          <w:color w:val="231F20"/>
          <w:spacing w:val="-9"/>
        </w:rPr>
        <w:t> </w:t>
      </w:r>
      <w:r>
        <w:rPr>
          <w:color w:val="231F20"/>
          <w:spacing w:val="-3"/>
        </w:rPr>
        <w:t>adherence</w:t>
      </w:r>
      <w:r>
        <w:rPr>
          <w:color w:val="231F20"/>
          <w:spacing w:val="-9"/>
        </w:rPr>
        <w:t> </w:t>
      </w:r>
      <w:r>
        <w:rPr>
          <w:color w:val="231F20"/>
          <w:spacing w:val="-3"/>
        </w:rPr>
        <w:t>in</w:t>
      </w:r>
      <w:r>
        <w:rPr>
          <w:color w:val="231F20"/>
          <w:spacing w:val="-10"/>
        </w:rPr>
        <w:t> </w:t>
      </w:r>
      <w:r>
        <w:rPr>
          <w:color w:val="231F20"/>
          <w:spacing w:val="-3"/>
        </w:rPr>
        <w:t>bipolar</w:t>
      </w:r>
      <w:r>
        <w:rPr>
          <w:color w:val="231F20"/>
          <w:spacing w:val="-52"/>
        </w:rPr>
        <w:t> </w:t>
      </w:r>
      <w:r>
        <w:rPr>
          <w:color w:val="231F20"/>
          <w:spacing w:val="-4"/>
        </w:rPr>
        <w:t>I disorder: Are they maintained </w:t>
      </w:r>
      <w:r>
        <w:rPr>
          <w:color w:val="231F20"/>
          <w:spacing w:val="-3"/>
        </w:rPr>
        <w:t>after intervention</w:t>
      </w:r>
      <w:r>
        <w:rPr>
          <w:color w:val="231F20"/>
          <w:spacing w:val="-2"/>
        </w:rPr>
        <w:t> </w:t>
      </w:r>
      <w:r>
        <w:rPr>
          <w:color w:val="231F20"/>
          <w:spacing w:val="-4"/>
        </w:rPr>
        <w:t>cessation? </w:t>
      </w:r>
      <w:r>
        <w:rPr>
          <w:i/>
          <w:color w:val="231F20"/>
          <w:spacing w:val="-4"/>
        </w:rPr>
        <w:t>Journal of Psychiatric </w:t>
      </w:r>
      <w:r>
        <w:rPr>
          <w:i/>
          <w:color w:val="231F20"/>
          <w:spacing w:val="-3"/>
        </w:rPr>
        <w:t>Research, 104</w:t>
      </w:r>
      <w:r>
        <w:rPr>
          <w:color w:val="231F20"/>
          <w:spacing w:val="-3"/>
        </w:rPr>
        <w:t>, 163-</w:t>
      </w:r>
      <w:r>
        <w:rPr>
          <w:color w:val="231F20"/>
          <w:spacing w:val="-2"/>
        </w:rPr>
        <w:t> </w:t>
      </w:r>
      <w:r>
        <w:rPr>
          <w:color w:val="231F20"/>
          <w:spacing w:val="-4"/>
        </w:rPr>
        <w:t>168.</w:t>
      </w:r>
      <w:r>
        <w:rPr>
          <w:color w:val="3953A4"/>
          <w:spacing w:val="-8"/>
        </w:rPr>
        <w:t> </w:t>
      </w:r>
      <w:hyperlink r:id="rId164">
        <w:r>
          <w:rPr>
            <w:color w:val="3953A4"/>
            <w:spacing w:val="-4"/>
            <w:u w:val="single" w:color="3953A4"/>
          </w:rPr>
          <w:t>https://doi.org/10.1016/j.jpsychires.2018.07.013</w:t>
        </w:r>
      </w:hyperlink>
    </w:p>
    <w:p>
      <w:pPr>
        <w:pStyle w:val="BodyText"/>
        <w:tabs>
          <w:tab w:pos="479" w:val="left" w:leader="none"/>
        </w:tabs>
        <w:spacing w:line="228" w:lineRule="auto" w:before="88"/>
        <w:ind w:left="480" w:right="1135" w:hanging="360"/>
      </w:pPr>
      <w:r>
        <w:rPr>
          <w:color w:val="231F20"/>
          <w:vertAlign w:val="superscript"/>
        </w:rPr>
        <w:t>32</w:t>
      </w:r>
      <w:r>
        <w:rPr>
          <w:color w:val="231F20"/>
          <w:vertAlign w:val="baseline"/>
        </w:rPr>
        <w:tab/>
        <w:t>Montes,</w:t>
      </w:r>
      <w:r>
        <w:rPr>
          <w:color w:val="231F20"/>
          <w:spacing w:val="-6"/>
          <w:vertAlign w:val="baseline"/>
        </w:rPr>
        <w:t> </w:t>
      </w:r>
      <w:r>
        <w:rPr>
          <w:color w:val="231F20"/>
          <w:vertAlign w:val="baseline"/>
        </w:rPr>
        <w:t>J.</w:t>
      </w:r>
      <w:r>
        <w:rPr>
          <w:color w:val="231F20"/>
          <w:spacing w:val="-6"/>
          <w:vertAlign w:val="baseline"/>
        </w:rPr>
        <w:t> </w:t>
      </w:r>
      <w:r>
        <w:rPr>
          <w:color w:val="231F20"/>
          <w:vertAlign w:val="baseline"/>
        </w:rPr>
        <w:t>M.,</w:t>
      </w:r>
      <w:r>
        <w:rPr>
          <w:color w:val="231F20"/>
          <w:spacing w:val="-5"/>
          <w:vertAlign w:val="baseline"/>
        </w:rPr>
        <w:t> </w:t>
      </w:r>
      <w:r>
        <w:rPr>
          <w:color w:val="231F20"/>
          <w:vertAlign w:val="baseline"/>
        </w:rPr>
        <w:t>Medina,</w:t>
      </w:r>
      <w:r>
        <w:rPr>
          <w:color w:val="231F20"/>
          <w:spacing w:val="-6"/>
          <w:vertAlign w:val="baseline"/>
        </w:rPr>
        <w:t> </w:t>
      </w:r>
      <w:r>
        <w:rPr>
          <w:color w:val="231F20"/>
          <w:vertAlign w:val="baseline"/>
        </w:rPr>
        <w:t>E.,</w:t>
      </w:r>
      <w:r>
        <w:rPr>
          <w:color w:val="231F20"/>
          <w:spacing w:val="-5"/>
          <w:vertAlign w:val="baseline"/>
        </w:rPr>
        <w:t> </w:t>
      </w:r>
      <w:r>
        <w:rPr>
          <w:color w:val="231F20"/>
          <w:vertAlign w:val="baseline"/>
        </w:rPr>
        <w:t>Gomez-Beneyto,</w:t>
      </w:r>
      <w:r>
        <w:rPr>
          <w:color w:val="231F20"/>
          <w:spacing w:val="-5"/>
          <w:vertAlign w:val="baseline"/>
        </w:rPr>
        <w:t> </w:t>
      </w:r>
      <w:r>
        <w:rPr>
          <w:color w:val="231F20"/>
          <w:vertAlign w:val="baseline"/>
        </w:rPr>
        <w:t>M.,</w:t>
      </w:r>
      <w:r>
        <w:rPr>
          <w:color w:val="231F20"/>
          <w:spacing w:val="-52"/>
          <w:vertAlign w:val="baseline"/>
        </w:rPr>
        <w:t> </w:t>
      </w:r>
      <w:r>
        <w:rPr>
          <w:color w:val="231F20"/>
          <w:vertAlign w:val="baseline"/>
        </w:rPr>
        <w:t>&amp; Maurino, J. (2012). A short message service</w:t>
      </w:r>
      <w:r>
        <w:rPr>
          <w:color w:val="231F20"/>
          <w:spacing w:val="1"/>
          <w:vertAlign w:val="baseline"/>
        </w:rPr>
        <w:t> </w:t>
      </w:r>
      <w:r>
        <w:rPr>
          <w:color w:val="231F20"/>
          <w:vertAlign w:val="baseline"/>
        </w:rPr>
        <w:t>(SMS)-based strategy for enhancing adherence</w:t>
      </w:r>
      <w:r>
        <w:rPr>
          <w:color w:val="231F20"/>
          <w:spacing w:val="1"/>
          <w:vertAlign w:val="baseline"/>
        </w:rPr>
        <w:t> </w:t>
      </w:r>
      <w:r>
        <w:rPr>
          <w:color w:val="231F20"/>
          <w:vertAlign w:val="baseline"/>
        </w:rPr>
        <w:t>to</w:t>
      </w:r>
      <w:r>
        <w:rPr>
          <w:color w:val="231F20"/>
          <w:spacing w:val="-2"/>
          <w:vertAlign w:val="baseline"/>
        </w:rPr>
        <w:t> </w:t>
      </w:r>
      <w:r>
        <w:rPr>
          <w:color w:val="231F20"/>
          <w:vertAlign w:val="baseline"/>
        </w:rPr>
        <w:t>antipsychotic</w:t>
      </w:r>
      <w:r>
        <w:rPr>
          <w:color w:val="231F20"/>
          <w:spacing w:val="-2"/>
          <w:vertAlign w:val="baseline"/>
        </w:rPr>
        <w:t> </w:t>
      </w:r>
      <w:r>
        <w:rPr>
          <w:color w:val="231F20"/>
          <w:vertAlign w:val="baseline"/>
        </w:rPr>
        <w:t>medication</w:t>
      </w:r>
      <w:r>
        <w:rPr>
          <w:color w:val="231F20"/>
          <w:spacing w:val="-1"/>
          <w:vertAlign w:val="baseline"/>
        </w:rPr>
        <w:t> </w:t>
      </w:r>
      <w:r>
        <w:rPr>
          <w:color w:val="231F20"/>
          <w:vertAlign w:val="baseline"/>
        </w:rPr>
        <w:t>in</w:t>
      </w:r>
      <w:r>
        <w:rPr>
          <w:color w:val="231F20"/>
          <w:spacing w:val="-2"/>
          <w:vertAlign w:val="baseline"/>
        </w:rPr>
        <w:t> </w:t>
      </w:r>
      <w:r>
        <w:rPr>
          <w:color w:val="231F20"/>
          <w:vertAlign w:val="baseline"/>
        </w:rPr>
        <w:t>schizophrenia.</w:t>
      </w:r>
    </w:p>
    <w:p>
      <w:pPr>
        <w:spacing w:line="228" w:lineRule="auto" w:before="0"/>
        <w:ind w:left="480" w:right="1029" w:firstLine="0"/>
        <w:jc w:val="left"/>
        <w:rPr>
          <w:sz w:val="22"/>
        </w:rPr>
      </w:pPr>
      <w:r>
        <w:rPr>
          <w:i/>
          <w:color w:val="231F20"/>
          <w:sz w:val="22"/>
        </w:rPr>
        <w:t>Psychiatry</w:t>
      </w:r>
      <w:r>
        <w:rPr>
          <w:i/>
          <w:color w:val="231F20"/>
          <w:spacing w:val="-6"/>
          <w:sz w:val="22"/>
        </w:rPr>
        <w:t> </w:t>
      </w:r>
      <w:r>
        <w:rPr>
          <w:i/>
          <w:color w:val="231F20"/>
          <w:sz w:val="22"/>
        </w:rPr>
        <w:t>Research,</w:t>
      </w:r>
      <w:r>
        <w:rPr>
          <w:i/>
          <w:color w:val="231F20"/>
          <w:spacing w:val="-6"/>
          <w:sz w:val="22"/>
        </w:rPr>
        <w:t> </w:t>
      </w:r>
      <w:r>
        <w:rPr>
          <w:i/>
          <w:color w:val="231F20"/>
          <w:sz w:val="22"/>
        </w:rPr>
        <w:t>200</w:t>
      </w:r>
      <w:r>
        <w:rPr>
          <w:color w:val="231F20"/>
          <w:sz w:val="22"/>
        </w:rPr>
        <w:t>(2-3),</w:t>
      </w:r>
      <w:r>
        <w:rPr>
          <w:color w:val="231F20"/>
          <w:spacing w:val="-6"/>
          <w:sz w:val="22"/>
        </w:rPr>
        <w:t> </w:t>
      </w:r>
      <w:r>
        <w:rPr>
          <w:color w:val="231F20"/>
          <w:sz w:val="22"/>
        </w:rPr>
        <w:t>89-95.</w:t>
      </w:r>
      <w:r>
        <w:rPr>
          <w:color w:val="231F20"/>
          <w:spacing w:val="-6"/>
          <w:sz w:val="22"/>
        </w:rPr>
        <w:t> </w:t>
      </w:r>
      <w:hyperlink r:id="rId165">
        <w:r>
          <w:rPr>
            <w:color w:val="3953A4"/>
            <w:sz w:val="22"/>
            <w:u w:val="single" w:color="3953A4"/>
          </w:rPr>
          <w:t>https://doi.</w:t>
        </w:r>
      </w:hyperlink>
      <w:r>
        <w:rPr>
          <w:color w:val="3953A4"/>
          <w:spacing w:val="-52"/>
          <w:sz w:val="22"/>
        </w:rPr>
        <w:t> </w:t>
      </w:r>
      <w:hyperlink r:id="rId165">
        <w:r>
          <w:rPr>
            <w:color w:val="3953A4"/>
            <w:sz w:val="22"/>
            <w:u w:val="single" w:color="3953A4"/>
          </w:rPr>
          <w:t>org/10.1016/j.psychres.2012.07.034</w:t>
        </w:r>
      </w:hyperlink>
    </w:p>
    <w:p>
      <w:pPr>
        <w:pStyle w:val="BodyText"/>
        <w:tabs>
          <w:tab w:pos="479" w:val="left" w:leader="none"/>
        </w:tabs>
        <w:spacing w:line="246" w:lineRule="exact" w:before="78"/>
        <w:ind w:left="120"/>
      </w:pPr>
      <w:r>
        <w:rPr>
          <w:color w:val="231F20"/>
          <w:vertAlign w:val="superscript"/>
        </w:rPr>
        <w:t>33</w:t>
      </w:r>
      <w:r>
        <w:rPr>
          <w:color w:val="231F20"/>
          <w:vertAlign w:val="baseline"/>
        </w:rPr>
        <w:tab/>
        <w:t>Velligan,</w:t>
      </w:r>
      <w:r>
        <w:rPr>
          <w:color w:val="231F20"/>
          <w:spacing w:val="-7"/>
          <w:vertAlign w:val="baseline"/>
        </w:rPr>
        <w:t> </w:t>
      </w:r>
      <w:r>
        <w:rPr>
          <w:color w:val="231F20"/>
          <w:vertAlign w:val="baseline"/>
        </w:rPr>
        <w:t>D.,</w:t>
      </w:r>
      <w:r>
        <w:rPr>
          <w:color w:val="231F20"/>
          <w:spacing w:val="-8"/>
          <w:vertAlign w:val="baseline"/>
        </w:rPr>
        <w:t> </w:t>
      </w:r>
      <w:r>
        <w:rPr>
          <w:color w:val="231F20"/>
          <w:vertAlign w:val="baseline"/>
        </w:rPr>
        <w:t>Mintz,</w:t>
      </w:r>
      <w:r>
        <w:rPr>
          <w:color w:val="231F20"/>
          <w:spacing w:val="-8"/>
          <w:vertAlign w:val="baseline"/>
        </w:rPr>
        <w:t> </w:t>
      </w:r>
      <w:r>
        <w:rPr>
          <w:color w:val="231F20"/>
          <w:vertAlign w:val="baseline"/>
        </w:rPr>
        <w:t>J.,</w:t>
      </w:r>
      <w:r>
        <w:rPr>
          <w:color w:val="231F20"/>
          <w:spacing w:val="-8"/>
          <w:vertAlign w:val="baseline"/>
        </w:rPr>
        <w:t> </w:t>
      </w:r>
      <w:r>
        <w:rPr>
          <w:color w:val="231F20"/>
          <w:vertAlign w:val="baseline"/>
        </w:rPr>
        <w:t>Maples,</w:t>
      </w:r>
      <w:r>
        <w:rPr>
          <w:color w:val="231F20"/>
          <w:spacing w:val="-8"/>
          <w:vertAlign w:val="baseline"/>
        </w:rPr>
        <w:t> </w:t>
      </w:r>
      <w:r>
        <w:rPr>
          <w:color w:val="231F20"/>
          <w:vertAlign w:val="baseline"/>
        </w:rPr>
        <w:t>N.,</w:t>
      </w:r>
      <w:r>
        <w:rPr>
          <w:color w:val="231F20"/>
          <w:spacing w:val="-7"/>
          <w:vertAlign w:val="baseline"/>
        </w:rPr>
        <w:t> </w:t>
      </w:r>
      <w:r>
        <w:rPr>
          <w:color w:val="231F20"/>
          <w:vertAlign w:val="baseline"/>
        </w:rPr>
        <w:t>Xueying,</w:t>
      </w:r>
    </w:p>
    <w:p>
      <w:pPr>
        <w:pStyle w:val="BodyText"/>
        <w:spacing w:line="240" w:lineRule="exact"/>
        <w:ind w:left="480"/>
      </w:pPr>
      <w:r>
        <w:rPr>
          <w:color w:val="231F20"/>
        </w:rPr>
        <w:t>L.,</w:t>
      </w:r>
      <w:r>
        <w:rPr>
          <w:color w:val="231F20"/>
          <w:spacing w:val="-1"/>
        </w:rPr>
        <w:t> </w:t>
      </w:r>
      <w:r>
        <w:rPr>
          <w:color w:val="231F20"/>
        </w:rPr>
        <w:t>Gajewski,</w:t>
      </w:r>
      <w:r>
        <w:rPr>
          <w:color w:val="231F20"/>
          <w:spacing w:val="-1"/>
        </w:rPr>
        <w:t> </w:t>
      </w:r>
      <w:r>
        <w:rPr>
          <w:color w:val="231F20"/>
        </w:rPr>
        <w:t>S.,</w:t>
      </w:r>
      <w:r>
        <w:rPr>
          <w:color w:val="231F20"/>
          <w:spacing w:val="-1"/>
        </w:rPr>
        <w:t> </w:t>
      </w:r>
      <w:r>
        <w:rPr>
          <w:color w:val="231F20"/>
        </w:rPr>
        <w:t>Carr,</w:t>
      </w:r>
      <w:r>
        <w:rPr>
          <w:color w:val="231F20"/>
          <w:spacing w:val="-1"/>
        </w:rPr>
        <w:t> </w:t>
      </w:r>
      <w:r>
        <w:rPr>
          <w:color w:val="231F20"/>
        </w:rPr>
        <w:t>H.,</w:t>
      </w:r>
      <w:r>
        <w:rPr>
          <w:color w:val="231F20"/>
          <w:spacing w:val="-1"/>
        </w:rPr>
        <w:t> </w:t>
      </w:r>
      <w:r>
        <w:rPr>
          <w:color w:val="231F20"/>
        </w:rPr>
        <w:t>&amp;</w:t>
      </w:r>
      <w:r>
        <w:rPr>
          <w:color w:val="231F20"/>
          <w:spacing w:val="-1"/>
        </w:rPr>
        <w:t> </w:t>
      </w:r>
      <w:r>
        <w:rPr>
          <w:color w:val="231F20"/>
        </w:rPr>
        <w:t>Sierra,</w:t>
      </w:r>
      <w:r>
        <w:rPr>
          <w:color w:val="231F20"/>
          <w:spacing w:val="-1"/>
        </w:rPr>
        <w:t> </w:t>
      </w:r>
      <w:r>
        <w:rPr>
          <w:color w:val="231F20"/>
        </w:rPr>
        <w:t>C.</w:t>
      </w:r>
      <w:r>
        <w:rPr>
          <w:color w:val="231F20"/>
          <w:spacing w:val="-1"/>
        </w:rPr>
        <w:t> </w:t>
      </w:r>
      <w:r>
        <w:rPr>
          <w:color w:val="231F20"/>
        </w:rPr>
        <w:t>(2013).</w:t>
      </w:r>
    </w:p>
    <w:p>
      <w:pPr>
        <w:pStyle w:val="BodyText"/>
        <w:spacing w:line="228" w:lineRule="auto" w:before="4"/>
        <w:ind w:left="480" w:right="853"/>
      </w:pPr>
      <w:r>
        <w:rPr>
          <w:color w:val="231F20"/>
        </w:rPr>
        <w:t>A randomized trial comparing in person and</w:t>
      </w:r>
      <w:r>
        <w:rPr>
          <w:color w:val="231F20"/>
          <w:spacing w:val="1"/>
        </w:rPr>
        <w:t> </w:t>
      </w:r>
      <w:r>
        <w:rPr>
          <w:color w:val="231F20"/>
        </w:rPr>
        <w:t>electronic interventions for improving adherence to</w:t>
      </w:r>
      <w:r>
        <w:rPr>
          <w:color w:val="231F20"/>
          <w:spacing w:val="-52"/>
        </w:rPr>
        <w:t> </w:t>
      </w:r>
      <w:r>
        <w:rPr>
          <w:color w:val="231F20"/>
        </w:rPr>
        <w:t>oral medications in schizophrenia. </w:t>
      </w:r>
      <w:r>
        <w:rPr>
          <w:i/>
          <w:color w:val="231F20"/>
        </w:rPr>
        <w:t>Schizophrenia</w:t>
      </w:r>
      <w:r>
        <w:rPr>
          <w:i/>
          <w:color w:val="231F20"/>
          <w:spacing w:val="1"/>
        </w:rPr>
        <w:t> </w:t>
      </w:r>
      <w:r>
        <w:rPr>
          <w:i/>
          <w:color w:val="231F20"/>
        </w:rPr>
        <w:t>Bulletin, 39</w:t>
      </w:r>
      <w:r>
        <w:rPr>
          <w:color w:val="231F20"/>
        </w:rPr>
        <w:t>(5), 999-1007. </w:t>
      </w:r>
      <w:hyperlink r:id="rId166">
        <w:r>
          <w:rPr>
            <w:color w:val="3953A4"/>
            <w:u w:val="single" w:color="3953A4"/>
          </w:rPr>
          <w:t>https://doi.org/10.1093/</w:t>
        </w:r>
      </w:hyperlink>
      <w:r>
        <w:rPr>
          <w:color w:val="3953A4"/>
          <w:spacing w:val="1"/>
        </w:rPr>
        <w:t> </w:t>
      </w:r>
      <w:hyperlink r:id="rId166">
        <w:r>
          <w:rPr>
            <w:color w:val="3953A4"/>
            <w:u w:val="single" w:color="3953A4"/>
          </w:rPr>
          <w:t>schbul/sbs116</w:t>
        </w:r>
      </w:hyperlink>
    </w:p>
    <w:p>
      <w:pPr>
        <w:pStyle w:val="BodyText"/>
        <w:tabs>
          <w:tab w:pos="479" w:val="left" w:leader="none"/>
        </w:tabs>
        <w:spacing w:line="228" w:lineRule="auto" w:before="88"/>
        <w:ind w:left="480" w:right="724" w:hanging="360"/>
      </w:pPr>
      <w:r>
        <w:rPr>
          <w:color w:val="231F20"/>
          <w:vertAlign w:val="superscript"/>
        </w:rPr>
        <w:t>34</w:t>
      </w:r>
      <w:r>
        <w:rPr>
          <w:color w:val="231F20"/>
          <w:vertAlign w:val="baseline"/>
        </w:rPr>
        <w:tab/>
      </w:r>
      <w:r>
        <w:rPr>
          <w:color w:val="231F20"/>
          <w:spacing w:val="-2"/>
          <w:vertAlign w:val="baseline"/>
        </w:rPr>
        <w:t>Wicklund, E. (2018). Using </w:t>
      </w:r>
      <w:r>
        <w:rPr>
          <w:color w:val="231F20"/>
          <w:spacing w:val="-1"/>
          <w:vertAlign w:val="baseline"/>
        </w:rPr>
        <w:t>telehealth to help patients</w:t>
      </w:r>
      <w:r>
        <w:rPr>
          <w:color w:val="231F20"/>
          <w:spacing w:val="-52"/>
          <w:vertAlign w:val="baseline"/>
        </w:rPr>
        <w:t> </w:t>
      </w:r>
      <w:r>
        <w:rPr>
          <w:color w:val="231F20"/>
          <w:spacing w:val="-1"/>
          <w:vertAlign w:val="baseline"/>
        </w:rPr>
        <w:t>with medication adherence. </w:t>
      </w:r>
      <w:r>
        <w:rPr>
          <w:i/>
          <w:color w:val="231F20"/>
          <w:vertAlign w:val="baseline"/>
        </w:rPr>
        <w:t>mHealth Intelligence</w:t>
      </w:r>
      <w:r>
        <w:rPr>
          <w:color w:val="231F20"/>
          <w:vertAlign w:val="baseline"/>
        </w:rPr>
        <w:t>.</w:t>
      </w:r>
      <w:r>
        <w:rPr>
          <w:color w:val="231F20"/>
          <w:spacing w:val="1"/>
          <w:vertAlign w:val="baseline"/>
        </w:rPr>
        <w:t> </w:t>
      </w:r>
      <w:hyperlink r:id="rId167">
        <w:r>
          <w:rPr>
            <w:color w:val="3953A4"/>
            <w:u w:val="single" w:color="3953A4"/>
            <w:vertAlign w:val="baseline"/>
          </w:rPr>
          <w:t>https://mhealthintelligence.com/news/using-</w:t>
        </w:r>
      </w:hyperlink>
      <w:r>
        <w:rPr>
          <w:color w:val="3953A4"/>
          <w:spacing w:val="1"/>
          <w:vertAlign w:val="baseline"/>
        </w:rPr>
        <w:t> </w:t>
      </w:r>
      <w:hyperlink r:id="rId167">
        <w:r>
          <w:rPr>
            <w:color w:val="3953A4"/>
            <w:spacing w:val="-3"/>
            <w:u w:val="single" w:color="3953A4"/>
            <w:vertAlign w:val="baseline"/>
          </w:rPr>
          <w:t>telehealth-to-help-patients-with-medication-adherence</w:t>
        </w:r>
      </w:hyperlink>
    </w:p>
    <w:p>
      <w:pPr>
        <w:pStyle w:val="BodyText"/>
        <w:tabs>
          <w:tab w:pos="479" w:val="left" w:leader="none"/>
        </w:tabs>
        <w:spacing w:line="228" w:lineRule="auto" w:before="89"/>
        <w:ind w:left="480" w:right="740" w:hanging="360"/>
      </w:pPr>
      <w:r>
        <w:rPr>
          <w:color w:val="231F20"/>
          <w:vertAlign w:val="superscript"/>
        </w:rPr>
        <w:t>35</w:t>
      </w:r>
      <w:r>
        <w:rPr>
          <w:color w:val="231F20"/>
          <w:vertAlign w:val="baseline"/>
        </w:rPr>
        <w:tab/>
      </w:r>
      <w:r>
        <w:rPr>
          <w:color w:val="231F20"/>
          <w:spacing w:val="-4"/>
          <w:vertAlign w:val="baseline"/>
        </w:rPr>
        <w:t>Beebe, L. H., Smith, K., Crye, C., </w:t>
      </w:r>
      <w:r>
        <w:rPr>
          <w:color w:val="231F20"/>
          <w:spacing w:val="-3"/>
          <w:vertAlign w:val="baseline"/>
        </w:rPr>
        <w:t>Addonizio, C.,</w:t>
      </w:r>
      <w:r>
        <w:rPr>
          <w:color w:val="231F20"/>
          <w:spacing w:val="-2"/>
          <w:vertAlign w:val="baseline"/>
        </w:rPr>
        <w:t> </w:t>
      </w:r>
      <w:r>
        <w:rPr>
          <w:color w:val="231F20"/>
          <w:spacing w:val="-5"/>
          <w:vertAlign w:val="baseline"/>
        </w:rPr>
        <w:t>Strunk,</w:t>
      </w:r>
      <w:r>
        <w:rPr>
          <w:color w:val="231F20"/>
          <w:spacing w:val="-8"/>
          <w:vertAlign w:val="baseline"/>
        </w:rPr>
        <w:t> </w:t>
      </w:r>
      <w:r>
        <w:rPr>
          <w:color w:val="231F20"/>
          <w:spacing w:val="-5"/>
          <w:vertAlign w:val="baseline"/>
        </w:rPr>
        <w:t>D.,</w:t>
      </w:r>
      <w:r>
        <w:rPr>
          <w:color w:val="231F20"/>
          <w:spacing w:val="-8"/>
          <w:vertAlign w:val="baseline"/>
        </w:rPr>
        <w:t> </w:t>
      </w:r>
      <w:r>
        <w:rPr>
          <w:color w:val="231F20"/>
          <w:spacing w:val="-5"/>
          <w:vertAlign w:val="baseline"/>
        </w:rPr>
        <w:t>Martin,</w:t>
      </w:r>
      <w:r>
        <w:rPr>
          <w:color w:val="231F20"/>
          <w:spacing w:val="-12"/>
          <w:vertAlign w:val="baseline"/>
        </w:rPr>
        <w:t> </w:t>
      </w:r>
      <w:r>
        <w:rPr>
          <w:color w:val="231F20"/>
          <w:spacing w:val="-5"/>
          <w:vertAlign w:val="baseline"/>
        </w:rPr>
        <w:t>W.,</w:t>
      </w:r>
      <w:r>
        <w:rPr>
          <w:color w:val="231F20"/>
          <w:spacing w:val="-8"/>
          <w:vertAlign w:val="baseline"/>
        </w:rPr>
        <w:t> </w:t>
      </w:r>
      <w:r>
        <w:rPr>
          <w:color w:val="231F20"/>
          <w:spacing w:val="-4"/>
          <w:vertAlign w:val="baseline"/>
        </w:rPr>
        <w:t>&amp;</w:t>
      </w:r>
      <w:r>
        <w:rPr>
          <w:color w:val="231F20"/>
          <w:spacing w:val="-8"/>
          <w:vertAlign w:val="baseline"/>
        </w:rPr>
        <w:t> </w:t>
      </w:r>
      <w:r>
        <w:rPr>
          <w:color w:val="231F20"/>
          <w:spacing w:val="-4"/>
          <w:vertAlign w:val="baseline"/>
        </w:rPr>
        <w:t>Poche,</w:t>
      </w:r>
      <w:r>
        <w:rPr>
          <w:color w:val="231F20"/>
          <w:spacing w:val="-8"/>
          <w:vertAlign w:val="baseline"/>
        </w:rPr>
        <w:t> </w:t>
      </w:r>
      <w:r>
        <w:rPr>
          <w:color w:val="231F20"/>
          <w:spacing w:val="-4"/>
          <w:vertAlign w:val="baseline"/>
        </w:rPr>
        <w:t>J.</w:t>
      </w:r>
      <w:r>
        <w:rPr>
          <w:color w:val="231F20"/>
          <w:spacing w:val="-7"/>
          <w:vertAlign w:val="baseline"/>
        </w:rPr>
        <w:t> </w:t>
      </w:r>
      <w:r>
        <w:rPr>
          <w:color w:val="231F20"/>
          <w:spacing w:val="-4"/>
          <w:vertAlign w:val="baseline"/>
        </w:rPr>
        <w:t>(2008).</w:t>
      </w:r>
      <w:r>
        <w:rPr>
          <w:color w:val="231F20"/>
          <w:spacing w:val="-12"/>
          <w:vertAlign w:val="baseline"/>
        </w:rPr>
        <w:t> </w:t>
      </w:r>
      <w:r>
        <w:rPr>
          <w:color w:val="231F20"/>
          <w:spacing w:val="-4"/>
          <w:vertAlign w:val="baseline"/>
        </w:rPr>
        <w:t>Telenursing</w:t>
      </w:r>
      <w:r>
        <w:rPr>
          <w:color w:val="231F20"/>
          <w:spacing w:val="-52"/>
          <w:vertAlign w:val="baseline"/>
        </w:rPr>
        <w:t> </w:t>
      </w:r>
      <w:r>
        <w:rPr>
          <w:color w:val="231F20"/>
          <w:spacing w:val="-2"/>
          <w:vertAlign w:val="baseline"/>
        </w:rPr>
        <w:t>intervention increases psychiatric medication</w:t>
      </w:r>
      <w:r>
        <w:rPr>
          <w:color w:val="231F20"/>
          <w:spacing w:val="-1"/>
          <w:vertAlign w:val="baseline"/>
        </w:rPr>
        <w:t> </w:t>
      </w:r>
      <w:r>
        <w:rPr>
          <w:color w:val="231F20"/>
          <w:spacing w:val="-4"/>
          <w:vertAlign w:val="baseline"/>
        </w:rPr>
        <w:t>adherence in schizophrenia </w:t>
      </w:r>
      <w:r>
        <w:rPr>
          <w:color w:val="231F20"/>
          <w:spacing w:val="-3"/>
          <w:vertAlign w:val="baseline"/>
        </w:rPr>
        <w:t>outpatients. </w:t>
      </w:r>
      <w:r>
        <w:rPr>
          <w:i/>
          <w:color w:val="231F20"/>
          <w:spacing w:val="-3"/>
          <w:vertAlign w:val="baseline"/>
        </w:rPr>
        <w:t>Journal of the</w:t>
      </w:r>
      <w:r>
        <w:rPr>
          <w:i/>
          <w:color w:val="231F20"/>
          <w:spacing w:val="-2"/>
          <w:vertAlign w:val="baseline"/>
        </w:rPr>
        <w:t> </w:t>
      </w:r>
      <w:r>
        <w:rPr>
          <w:i/>
          <w:color w:val="231F20"/>
          <w:spacing w:val="-4"/>
          <w:vertAlign w:val="baseline"/>
        </w:rPr>
        <w:t>American Psychiatric Nurses Association, </w:t>
      </w:r>
      <w:r>
        <w:rPr>
          <w:i/>
          <w:color w:val="231F20"/>
          <w:spacing w:val="-3"/>
          <w:vertAlign w:val="baseline"/>
        </w:rPr>
        <w:t>14</w:t>
      </w:r>
      <w:r>
        <w:rPr>
          <w:color w:val="231F20"/>
          <w:spacing w:val="-3"/>
          <w:vertAlign w:val="baseline"/>
        </w:rPr>
        <w:t>(3), 217-</w:t>
      </w:r>
      <w:r>
        <w:rPr>
          <w:color w:val="231F20"/>
          <w:spacing w:val="-2"/>
          <w:vertAlign w:val="baseline"/>
        </w:rPr>
        <w:t> </w:t>
      </w:r>
      <w:r>
        <w:rPr>
          <w:color w:val="231F20"/>
          <w:spacing w:val="-4"/>
          <w:vertAlign w:val="baseline"/>
        </w:rPr>
        <w:t>224.</w:t>
      </w:r>
      <w:r>
        <w:rPr>
          <w:color w:val="231F20"/>
          <w:spacing w:val="-9"/>
          <w:vertAlign w:val="baseline"/>
        </w:rPr>
        <w:t> </w:t>
      </w:r>
      <w:hyperlink r:id="rId168">
        <w:r>
          <w:rPr>
            <w:color w:val="3953A4"/>
            <w:spacing w:val="-4"/>
            <w:u w:val="single" w:color="3953A4"/>
            <w:vertAlign w:val="baseline"/>
          </w:rPr>
          <w:t>https://doi.org/10.1177/1078390308318750</w:t>
        </w:r>
      </w:hyperlink>
    </w:p>
    <w:p>
      <w:pPr>
        <w:tabs>
          <w:tab w:pos="479" w:val="left" w:leader="none"/>
        </w:tabs>
        <w:spacing w:line="228" w:lineRule="auto" w:before="88"/>
        <w:ind w:left="480" w:right="719" w:hanging="360"/>
        <w:jc w:val="left"/>
        <w:rPr>
          <w:sz w:val="22"/>
        </w:rPr>
      </w:pPr>
      <w:r>
        <w:rPr>
          <w:color w:val="231F20"/>
          <w:sz w:val="22"/>
          <w:vertAlign w:val="superscript"/>
        </w:rPr>
        <w:t>36</w:t>
      </w:r>
      <w:r>
        <w:rPr>
          <w:color w:val="231F20"/>
          <w:sz w:val="22"/>
          <w:vertAlign w:val="baseline"/>
        </w:rPr>
        <w:tab/>
      </w:r>
      <w:r>
        <w:rPr>
          <w:color w:val="231F20"/>
          <w:spacing w:val="-2"/>
          <w:sz w:val="22"/>
          <w:vertAlign w:val="baseline"/>
        </w:rPr>
        <w:t>Montes, J. M., Maurino, J., </w:t>
      </w:r>
      <w:r>
        <w:rPr>
          <w:color w:val="231F20"/>
          <w:spacing w:val="-1"/>
          <w:sz w:val="22"/>
          <w:vertAlign w:val="baseline"/>
        </w:rPr>
        <w:t>Diez, T., &amp; Saiz-Ruiz, J.</w:t>
      </w:r>
      <w:r>
        <w:rPr>
          <w:color w:val="231F20"/>
          <w:sz w:val="22"/>
          <w:vertAlign w:val="baseline"/>
        </w:rPr>
        <w:t> </w:t>
      </w:r>
      <w:r>
        <w:rPr>
          <w:color w:val="231F20"/>
          <w:spacing w:val="-3"/>
          <w:sz w:val="22"/>
          <w:vertAlign w:val="baseline"/>
        </w:rPr>
        <w:t>(2010). Telephone-based nursing strategy </w:t>
      </w:r>
      <w:r>
        <w:rPr>
          <w:color w:val="231F20"/>
          <w:spacing w:val="-2"/>
          <w:sz w:val="22"/>
          <w:vertAlign w:val="baseline"/>
        </w:rPr>
        <w:t>to improve</w:t>
      </w:r>
      <w:r>
        <w:rPr>
          <w:color w:val="231F20"/>
          <w:spacing w:val="-1"/>
          <w:sz w:val="22"/>
          <w:vertAlign w:val="baseline"/>
        </w:rPr>
        <w:t> </w:t>
      </w:r>
      <w:r>
        <w:rPr>
          <w:color w:val="231F20"/>
          <w:spacing w:val="-2"/>
          <w:sz w:val="22"/>
          <w:vertAlign w:val="baseline"/>
        </w:rPr>
        <w:t>adherence</w:t>
      </w:r>
      <w:r>
        <w:rPr>
          <w:color w:val="231F20"/>
          <w:spacing w:val="-11"/>
          <w:sz w:val="22"/>
          <w:vertAlign w:val="baseline"/>
        </w:rPr>
        <w:t> </w:t>
      </w:r>
      <w:r>
        <w:rPr>
          <w:color w:val="231F20"/>
          <w:spacing w:val="-2"/>
          <w:sz w:val="22"/>
          <w:vertAlign w:val="baseline"/>
        </w:rPr>
        <w:t>to</w:t>
      </w:r>
      <w:r>
        <w:rPr>
          <w:color w:val="231F20"/>
          <w:spacing w:val="-11"/>
          <w:sz w:val="22"/>
          <w:vertAlign w:val="baseline"/>
        </w:rPr>
        <w:t> </w:t>
      </w:r>
      <w:r>
        <w:rPr>
          <w:color w:val="231F20"/>
          <w:spacing w:val="-2"/>
          <w:sz w:val="22"/>
          <w:vertAlign w:val="baseline"/>
        </w:rPr>
        <w:t>antipsychotic</w:t>
      </w:r>
      <w:r>
        <w:rPr>
          <w:color w:val="231F20"/>
          <w:spacing w:val="-11"/>
          <w:sz w:val="22"/>
          <w:vertAlign w:val="baseline"/>
        </w:rPr>
        <w:t> </w:t>
      </w:r>
      <w:r>
        <w:rPr>
          <w:color w:val="231F20"/>
          <w:spacing w:val="-2"/>
          <w:sz w:val="22"/>
          <w:vertAlign w:val="baseline"/>
        </w:rPr>
        <w:t>treatment</w:t>
      </w:r>
      <w:r>
        <w:rPr>
          <w:color w:val="231F20"/>
          <w:spacing w:val="-11"/>
          <w:sz w:val="22"/>
          <w:vertAlign w:val="baseline"/>
        </w:rPr>
        <w:t> </w:t>
      </w:r>
      <w:r>
        <w:rPr>
          <w:color w:val="231F20"/>
          <w:spacing w:val="-2"/>
          <w:sz w:val="22"/>
          <w:vertAlign w:val="baseline"/>
        </w:rPr>
        <w:t>in</w:t>
      </w:r>
      <w:r>
        <w:rPr>
          <w:color w:val="231F20"/>
          <w:spacing w:val="-11"/>
          <w:sz w:val="22"/>
          <w:vertAlign w:val="baseline"/>
        </w:rPr>
        <w:t> </w:t>
      </w:r>
      <w:r>
        <w:rPr>
          <w:color w:val="231F20"/>
          <w:spacing w:val="-2"/>
          <w:sz w:val="22"/>
          <w:vertAlign w:val="baseline"/>
        </w:rPr>
        <w:t>schizophrenia:</w:t>
      </w:r>
      <w:r>
        <w:rPr>
          <w:color w:val="231F20"/>
          <w:spacing w:val="-52"/>
          <w:sz w:val="22"/>
          <w:vertAlign w:val="baseline"/>
        </w:rPr>
        <w:t> </w:t>
      </w:r>
      <w:r>
        <w:rPr>
          <w:color w:val="231F20"/>
          <w:spacing w:val="-3"/>
          <w:sz w:val="22"/>
          <w:vertAlign w:val="baseline"/>
        </w:rPr>
        <w:t>A controlled trial. </w:t>
      </w:r>
      <w:r>
        <w:rPr>
          <w:i/>
          <w:color w:val="231F20"/>
          <w:spacing w:val="-3"/>
          <w:sz w:val="22"/>
          <w:vertAlign w:val="baseline"/>
        </w:rPr>
        <w:t>International Journal </w:t>
      </w:r>
      <w:r>
        <w:rPr>
          <w:i/>
          <w:color w:val="231F20"/>
          <w:spacing w:val="-2"/>
          <w:sz w:val="22"/>
          <w:vertAlign w:val="baseline"/>
        </w:rPr>
        <w:t>of Psychiatry</w:t>
      </w:r>
      <w:r>
        <w:rPr>
          <w:i/>
          <w:color w:val="231F20"/>
          <w:spacing w:val="-1"/>
          <w:sz w:val="22"/>
          <w:vertAlign w:val="baseline"/>
        </w:rPr>
        <w:t> </w:t>
      </w:r>
      <w:r>
        <w:rPr>
          <w:i/>
          <w:color w:val="231F20"/>
          <w:spacing w:val="-2"/>
          <w:sz w:val="22"/>
          <w:vertAlign w:val="baseline"/>
        </w:rPr>
        <w:t>in</w:t>
      </w:r>
      <w:r>
        <w:rPr>
          <w:i/>
          <w:color w:val="231F20"/>
          <w:spacing w:val="-12"/>
          <w:sz w:val="22"/>
          <w:vertAlign w:val="baseline"/>
        </w:rPr>
        <w:t> </w:t>
      </w:r>
      <w:r>
        <w:rPr>
          <w:i/>
          <w:color w:val="231F20"/>
          <w:spacing w:val="-2"/>
          <w:sz w:val="22"/>
          <w:vertAlign w:val="baseline"/>
        </w:rPr>
        <w:t>Clinical</w:t>
      </w:r>
      <w:r>
        <w:rPr>
          <w:i/>
          <w:color w:val="231F20"/>
          <w:spacing w:val="-12"/>
          <w:sz w:val="22"/>
          <w:vertAlign w:val="baseline"/>
        </w:rPr>
        <w:t> </w:t>
      </w:r>
      <w:r>
        <w:rPr>
          <w:i/>
          <w:color w:val="231F20"/>
          <w:spacing w:val="-2"/>
          <w:sz w:val="22"/>
          <w:vertAlign w:val="baseline"/>
        </w:rPr>
        <w:t>Practice,</w:t>
      </w:r>
      <w:r>
        <w:rPr>
          <w:i/>
          <w:color w:val="231F20"/>
          <w:spacing w:val="-11"/>
          <w:sz w:val="22"/>
          <w:vertAlign w:val="baseline"/>
        </w:rPr>
        <w:t> </w:t>
      </w:r>
      <w:r>
        <w:rPr>
          <w:i/>
          <w:color w:val="231F20"/>
          <w:spacing w:val="-2"/>
          <w:sz w:val="22"/>
          <w:vertAlign w:val="baseline"/>
        </w:rPr>
        <w:t>14</w:t>
      </w:r>
      <w:r>
        <w:rPr>
          <w:color w:val="231F20"/>
          <w:spacing w:val="-2"/>
          <w:sz w:val="22"/>
          <w:vertAlign w:val="baseline"/>
        </w:rPr>
        <w:t>(4),</w:t>
      </w:r>
      <w:r>
        <w:rPr>
          <w:color w:val="231F20"/>
          <w:spacing w:val="-12"/>
          <w:sz w:val="22"/>
          <w:vertAlign w:val="baseline"/>
        </w:rPr>
        <w:t> </w:t>
      </w:r>
      <w:r>
        <w:rPr>
          <w:color w:val="231F20"/>
          <w:spacing w:val="-2"/>
          <w:sz w:val="22"/>
          <w:vertAlign w:val="baseline"/>
        </w:rPr>
        <w:t>274-281.</w:t>
      </w:r>
      <w:r>
        <w:rPr>
          <w:color w:val="231F20"/>
          <w:spacing w:val="-12"/>
          <w:sz w:val="22"/>
          <w:vertAlign w:val="baseline"/>
        </w:rPr>
        <w:t> </w:t>
      </w:r>
      <w:hyperlink r:id="rId169">
        <w:r>
          <w:rPr>
            <w:color w:val="3953A4"/>
            <w:spacing w:val="-2"/>
            <w:sz w:val="22"/>
            <w:u w:val="single" w:color="3953A4"/>
            <w:vertAlign w:val="baseline"/>
          </w:rPr>
          <w:t>https://doi.org/10</w:t>
        </w:r>
      </w:hyperlink>
    </w:p>
    <w:p>
      <w:pPr>
        <w:pStyle w:val="BodyText"/>
        <w:spacing w:line="241" w:lineRule="exact"/>
        <w:ind w:left="480"/>
      </w:pPr>
      <w:hyperlink r:id="rId169">
        <w:r>
          <w:rPr>
            <w:color w:val="3953A4"/>
            <w:u w:val="single" w:color="3953A4"/>
          </w:rPr>
          <w:t>.3109/13651501.2010.505343</w:t>
        </w:r>
      </w:hyperlink>
    </w:p>
    <w:p>
      <w:pPr>
        <w:spacing w:after="0" w:line="241" w:lineRule="exact"/>
        <w:sectPr>
          <w:type w:val="continuous"/>
          <w:pgSz w:w="12240" w:h="15840"/>
          <w:pgMar w:header="0" w:footer="666" w:top="1500" w:bottom="0" w:left="600" w:right="0"/>
          <w:cols w:num="2" w:equalWidth="0">
            <w:col w:w="5195" w:space="565"/>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tabs>
          <w:tab w:pos="479" w:val="left" w:leader="none"/>
        </w:tabs>
        <w:spacing w:line="228" w:lineRule="auto" w:before="101"/>
        <w:ind w:left="480" w:right="145" w:hanging="360"/>
      </w:pPr>
      <w:r>
        <w:rPr>
          <w:color w:val="231F20"/>
          <w:vertAlign w:val="superscript"/>
        </w:rPr>
        <w:t>37</w:t>
      </w:r>
      <w:r>
        <w:rPr>
          <w:color w:val="231F20"/>
          <w:vertAlign w:val="baseline"/>
        </w:rPr>
        <w:tab/>
        <w:t>Rickles, N. M., Svarstad, B. L., Statz-Paynter, J. L.,</w:t>
      </w:r>
      <w:r>
        <w:rPr>
          <w:color w:val="231F20"/>
          <w:spacing w:val="-52"/>
          <w:vertAlign w:val="baseline"/>
        </w:rPr>
        <w:t> </w:t>
      </w:r>
      <w:r>
        <w:rPr>
          <w:color w:val="231F20"/>
          <w:spacing w:val="-2"/>
          <w:vertAlign w:val="baseline"/>
        </w:rPr>
        <w:t>Taylor,</w:t>
      </w:r>
      <w:r>
        <w:rPr>
          <w:color w:val="231F20"/>
          <w:vertAlign w:val="baseline"/>
        </w:rPr>
        <w:t> </w:t>
      </w:r>
      <w:r>
        <w:rPr>
          <w:color w:val="231F20"/>
          <w:spacing w:val="-2"/>
          <w:vertAlign w:val="baseline"/>
        </w:rPr>
        <w:t>L.</w:t>
      </w:r>
      <w:r>
        <w:rPr>
          <w:color w:val="231F20"/>
          <w:spacing w:val="-3"/>
          <w:vertAlign w:val="baseline"/>
        </w:rPr>
        <w:t> </w:t>
      </w:r>
      <w:r>
        <w:rPr>
          <w:color w:val="231F20"/>
          <w:spacing w:val="-2"/>
          <w:vertAlign w:val="baseline"/>
        </w:rPr>
        <w:t>V.,</w:t>
      </w:r>
      <w:r>
        <w:rPr>
          <w:color w:val="231F20"/>
          <w:spacing w:val="1"/>
          <w:vertAlign w:val="baseline"/>
        </w:rPr>
        <w:t> </w:t>
      </w:r>
      <w:r>
        <w:rPr>
          <w:color w:val="231F20"/>
          <w:spacing w:val="-2"/>
          <w:vertAlign w:val="baseline"/>
        </w:rPr>
        <w:t>&amp;</w:t>
      </w:r>
      <w:r>
        <w:rPr>
          <w:color w:val="231F20"/>
          <w:vertAlign w:val="baseline"/>
        </w:rPr>
        <w:t> </w:t>
      </w:r>
      <w:r>
        <w:rPr>
          <w:color w:val="231F20"/>
          <w:spacing w:val="-2"/>
          <w:vertAlign w:val="baseline"/>
        </w:rPr>
        <w:t>Kobak,</w:t>
      </w:r>
      <w:r>
        <w:rPr>
          <w:color w:val="231F20"/>
          <w:vertAlign w:val="baseline"/>
        </w:rPr>
        <w:t> </w:t>
      </w:r>
      <w:r>
        <w:rPr>
          <w:color w:val="231F20"/>
          <w:spacing w:val="-2"/>
          <w:vertAlign w:val="baseline"/>
        </w:rPr>
        <w:t>K.</w:t>
      </w:r>
      <w:r>
        <w:rPr>
          <w:color w:val="231F20"/>
          <w:spacing w:val="-12"/>
          <w:vertAlign w:val="baseline"/>
        </w:rPr>
        <w:t> </w:t>
      </w:r>
      <w:r>
        <w:rPr>
          <w:color w:val="231F20"/>
          <w:spacing w:val="-2"/>
          <w:vertAlign w:val="baseline"/>
        </w:rPr>
        <w:t>A.</w:t>
      </w:r>
      <w:r>
        <w:rPr>
          <w:color w:val="231F20"/>
          <w:spacing w:val="-1"/>
          <w:vertAlign w:val="baseline"/>
        </w:rPr>
        <w:t> </w:t>
      </w:r>
      <w:r>
        <w:rPr>
          <w:color w:val="231F20"/>
          <w:spacing w:val="-2"/>
          <w:vertAlign w:val="baseline"/>
        </w:rPr>
        <w:t>(2005).</w:t>
      </w:r>
      <w:r>
        <w:rPr>
          <w:color w:val="231F20"/>
          <w:spacing w:val="1"/>
          <w:vertAlign w:val="baseline"/>
        </w:rPr>
        <w:t> </w:t>
      </w:r>
      <w:r>
        <w:rPr>
          <w:color w:val="231F20"/>
          <w:spacing w:val="-2"/>
          <w:vertAlign w:val="baseline"/>
        </w:rPr>
        <w:t>Pharmacist</w:t>
      </w:r>
      <w:r>
        <w:rPr>
          <w:color w:val="231F20"/>
          <w:spacing w:val="-1"/>
          <w:vertAlign w:val="baseline"/>
        </w:rPr>
        <w:t> </w:t>
      </w:r>
      <w:r>
        <w:rPr>
          <w:color w:val="231F20"/>
          <w:vertAlign w:val="baseline"/>
        </w:rPr>
        <w:t>telemonitoring of antidepressant use: Effects on</w:t>
      </w:r>
      <w:r>
        <w:rPr>
          <w:color w:val="231F20"/>
          <w:spacing w:val="1"/>
          <w:vertAlign w:val="baseline"/>
        </w:rPr>
        <w:t> </w:t>
      </w:r>
      <w:r>
        <w:rPr>
          <w:color w:val="231F20"/>
          <w:vertAlign w:val="baseline"/>
        </w:rPr>
        <w:t>pharmacist–patient collaboration. </w:t>
      </w:r>
      <w:r>
        <w:rPr>
          <w:i/>
          <w:color w:val="231F20"/>
          <w:vertAlign w:val="baseline"/>
        </w:rPr>
        <w:t>Journal of the</w:t>
      </w:r>
      <w:r>
        <w:rPr>
          <w:i/>
          <w:color w:val="231F20"/>
          <w:spacing w:val="1"/>
          <w:vertAlign w:val="baseline"/>
        </w:rPr>
        <w:t> </w:t>
      </w:r>
      <w:r>
        <w:rPr>
          <w:i/>
          <w:color w:val="231F20"/>
          <w:vertAlign w:val="baseline"/>
        </w:rPr>
        <w:t>American</w:t>
      </w:r>
      <w:r>
        <w:rPr>
          <w:i/>
          <w:color w:val="231F20"/>
          <w:spacing w:val="-4"/>
          <w:vertAlign w:val="baseline"/>
        </w:rPr>
        <w:t> </w:t>
      </w:r>
      <w:r>
        <w:rPr>
          <w:i/>
          <w:color w:val="231F20"/>
          <w:vertAlign w:val="baseline"/>
        </w:rPr>
        <w:t>Pharmacists</w:t>
      </w:r>
      <w:r>
        <w:rPr>
          <w:i/>
          <w:color w:val="231F20"/>
          <w:spacing w:val="-9"/>
          <w:vertAlign w:val="baseline"/>
        </w:rPr>
        <w:t> </w:t>
      </w:r>
      <w:r>
        <w:rPr>
          <w:i/>
          <w:color w:val="231F20"/>
          <w:vertAlign w:val="baseline"/>
        </w:rPr>
        <w:t>Association,</w:t>
      </w:r>
      <w:r>
        <w:rPr>
          <w:i/>
          <w:color w:val="231F20"/>
          <w:spacing w:val="-4"/>
          <w:vertAlign w:val="baseline"/>
        </w:rPr>
        <w:t> </w:t>
      </w:r>
      <w:r>
        <w:rPr>
          <w:i/>
          <w:color w:val="231F20"/>
          <w:vertAlign w:val="baseline"/>
        </w:rPr>
        <w:t>45</w:t>
      </w:r>
      <w:r>
        <w:rPr>
          <w:color w:val="231F20"/>
          <w:vertAlign w:val="baseline"/>
        </w:rPr>
        <w:t>(3),</w:t>
      </w:r>
      <w:r>
        <w:rPr>
          <w:color w:val="231F20"/>
          <w:spacing w:val="-3"/>
          <w:vertAlign w:val="baseline"/>
        </w:rPr>
        <w:t> </w:t>
      </w:r>
      <w:r>
        <w:rPr>
          <w:color w:val="231F20"/>
          <w:vertAlign w:val="baseline"/>
        </w:rPr>
        <w:t>344-353.</w:t>
      </w:r>
      <w:r>
        <w:rPr>
          <w:color w:val="231F20"/>
          <w:spacing w:val="-52"/>
          <w:vertAlign w:val="baseline"/>
        </w:rPr>
        <w:t> </w:t>
      </w:r>
      <w:hyperlink r:id="rId170">
        <w:r>
          <w:rPr>
            <w:color w:val="3953A4"/>
            <w:u w:val="single" w:color="3953A4"/>
            <w:vertAlign w:val="baseline"/>
          </w:rPr>
          <w:t>https://doi.org/10.1331/1544345054003732</w:t>
        </w:r>
      </w:hyperlink>
    </w:p>
    <w:p>
      <w:pPr>
        <w:pStyle w:val="BodyText"/>
        <w:tabs>
          <w:tab w:pos="479" w:val="left" w:leader="none"/>
        </w:tabs>
        <w:spacing w:line="246" w:lineRule="exact" w:before="78"/>
        <w:ind w:left="120"/>
      </w:pPr>
      <w:r>
        <w:rPr>
          <w:color w:val="231F20"/>
          <w:vertAlign w:val="superscript"/>
        </w:rPr>
        <w:t>38</w:t>
      </w:r>
      <w:r>
        <w:rPr>
          <w:color w:val="231F20"/>
          <w:vertAlign w:val="baseline"/>
        </w:rPr>
        <w:tab/>
        <w:t>King,</w:t>
      </w:r>
      <w:r>
        <w:rPr>
          <w:color w:val="231F20"/>
          <w:spacing w:val="-12"/>
          <w:vertAlign w:val="baseline"/>
        </w:rPr>
        <w:t> </w:t>
      </w:r>
      <w:r>
        <w:rPr>
          <w:color w:val="231F20"/>
          <w:vertAlign w:val="baseline"/>
        </w:rPr>
        <w:t>V.</w:t>
      </w:r>
      <w:r>
        <w:rPr>
          <w:color w:val="231F20"/>
          <w:spacing w:val="-7"/>
          <w:vertAlign w:val="baseline"/>
        </w:rPr>
        <w:t> </w:t>
      </w:r>
      <w:r>
        <w:rPr>
          <w:color w:val="231F20"/>
          <w:vertAlign w:val="baseline"/>
        </w:rPr>
        <w:t>L.,</w:t>
      </w:r>
      <w:r>
        <w:rPr>
          <w:color w:val="231F20"/>
          <w:spacing w:val="-7"/>
          <w:vertAlign w:val="baseline"/>
        </w:rPr>
        <w:t> </w:t>
      </w:r>
      <w:r>
        <w:rPr>
          <w:color w:val="231F20"/>
          <w:vertAlign w:val="baseline"/>
        </w:rPr>
        <w:t>Stoller,</w:t>
      </w:r>
      <w:r>
        <w:rPr>
          <w:color w:val="231F20"/>
          <w:spacing w:val="-7"/>
          <w:vertAlign w:val="baseline"/>
        </w:rPr>
        <w:t> </w:t>
      </w:r>
      <w:r>
        <w:rPr>
          <w:color w:val="231F20"/>
          <w:vertAlign w:val="baseline"/>
        </w:rPr>
        <w:t>K.</w:t>
      </w:r>
      <w:r>
        <w:rPr>
          <w:color w:val="231F20"/>
          <w:spacing w:val="-8"/>
          <w:vertAlign w:val="baseline"/>
        </w:rPr>
        <w:t> </w:t>
      </w:r>
      <w:r>
        <w:rPr>
          <w:color w:val="231F20"/>
          <w:vertAlign w:val="baseline"/>
        </w:rPr>
        <w:t>B.,</w:t>
      </w:r>
      <w:r>
        <w:rPr>
          <w:color w:val="231F20"/>
          <w:spacing w:val="-7"/>
          <w:vertAlign w:val="baseline"/>
        </w:rPr>
        <w:t> </w:t>
      </w:r>
      <w:r>
        <w:rPr>
          <w:color w:val="231F20"/>
          <w:vertAlign w:val="baseline"/>
        </w:rPr>
        <w:t>Kidorf,</w:t>
      </w:r>
      <w:r>
        <w:rPr>
          <w:color w:val="231F20"/>
          <w:spacing w:val="-8"/>
          <w:vertAlign w:val="baseline"/>
        </w:rPr>
        <w:t> </w:t>
      </w:r>
      <w:r>
        <w:rPr>
          <w:color w:val="231F20"/>
          <w:vertAlign w:val="baseline"/>
        </w:rPr>
        <w:t>M.,</w:t>
      </w:r>
      <w:r>
        <w:rPr>
          <w:color w:val="231F20"/>
          <w:spacing w:val="-8"/>
          <w:vertAlign w:val="baseline"/>
        </w:rPr>
        <w:t> </w:t>
      </w:r>
      <w:r>
        <w:rPr>
          <w:color w:val="231F20"/>
          <w:vertAlign w:val="baseline"/>
        </w:rPr>
        <w:t>Kindbom,</w:t>
      </w:r>
    </w:p>
    <w:p>
      <w:pPr>
        <w:pStyle w:val="BodyText"/>
        <w:spacing w:line="228" w:lineRule="auto" w:before="4"/>
        <w:ind w:left="479" w:right="36"/>
      </w:pPr>
      <w:r>
        <w:rPr>
          <w:color w:val="231F20"/>
        </w:rPr>
        <w:t>K., Hursh, S., Brady, T., &amp; Brooner, R. K. (2009).</w:t>
      </w:r>
      <w:r>
        <w:rPr>
          <w:color w:val="231F20"/>
          <w:spacing w:val="1"/>
        </w:rPr>
        <w:t> </w:t>
      </w:r>
      <w:r>
        <w:rPr>
          <w:color w:val="231F20"/>
        </w:rPr>
        <w:t>Assessing the effectiveness of an internet-based</w:t>
      </w:r>
      <w:r>
        <w:rPr>
          <w:color w:val="231F20"/>
          <w:spacing w:val="1"/>
        </w:rPr>
        <w:t> </w:t>
      </w:r>
      <w:r>
        <w:rPr>
          <w:color w:val="231F20"/>
        </w:rPr>
        <w:t>videoconferencing</w:t>
      </w:r>
      <w:r>
        <w:rPr>
          <w:color w:val="231F20"/>
          <w:spacing w:val="-7"/>
        </w:rPr>
        <w:t> </w:t>
      </w:r>
      <w:r>
        <w:rPr>
          <w:color w:val="231F20"/>
        </w:rPr>
        <w:t>platform</w:t>
      </w:r>
      <w:r>
        <w:rPr>
          <w:color w:val="231F20"/>
          <w:spacing w:val="-6"/>
        </w:rPr>
        <w:t> </w:t>
      </w:r>
      <w:r>
        <w:rPr>
          <w:color w:val="231F20"/>
        </w:rPr>
        <w:t>for</w:t>
      </w:r>
      <w:r>
        <w:rPr>
          <w:color w:val="231F20"/>
          <w:spacing w:val="-7"/>
        </w:rPr>
        <w:t> </w:t>
      </w:r>
      <w:r>
        <w:rPr>
          <w:color w:val="231F20"/>
        </w:rPr>
        <w:t>delivering</w:t>
      </w:r>
      <w:r>
        <w:rPr>
          <w:color w:val="231F20"/>
          <w:spacing w:val="-6"/>
        </w:rPr>
        <w:t> </w:t>
      </w:r>
      <w:r>
        <w:rPr>
          <w:color w:val="231F20"/>
        </w:rPr>
        <w:t>intensified</w:t>
      </w:r>
      <w:r>
        <w:rPr>
          <w:color w:val="231F20"/>
          <w:spacing w:val="-52"/>
        </w:rPr>
        <w:t> </w:t>
      </w:r>
      <w:r>
        <w:rPr>
          <w:color w:val="231F20"/>
        </w:rPr>
        <w:t>substance abuse counseling. </w:t>
      </w:r>
      <w:r>
        <w:rPr>
          <w:i/>
          <w:color w:val="231F20"/>
        </w:rPr>
        <w:t>Journal of Substance</w:t>
      </w:r>
      <w:r>
        <w:rPr>
          <w:i/>
          <w:color w:val="231F20"/>
          <w:spacing w:val="1"/>
        </w:rPr>
        <w:t> </w:t>
      </w:r>
      <w:r>
        <w:rPr>
          <w:i/>
          <w:color w:val="231F20"/>
        </w:rPr>
        <w:t>Abuse Treatment, 36</w:t>
      </w:r>
      <w:r>
        <w:rPr>
          <w:color w:val="231F20"/>
        </w:rPr>
        <w:t>(3), 331-338.</w:t>
      </w:r>
      <w:r>
        <w:rPr>
          <w:color w:val="3953A4"/>
        </w:rPr>
        <w:t> </w:t>
      </w:r>
      <w:hyperlink r:id="rId171">
        <w:r>
          <w:rPr>
            <w:color w:val="3953A4"/>
            <w:u w:val="single" w:color="3953A4"/>
          </w:rPr>
          <w:t>https://doi.</w:t>
        </w:r>
      </w:hyperlink>
      <w:r>
        <w:rPr>
          <w:color w:val="3953A4"/>
          <w:spacing w:val="1"/>
        </w:rPr>
        <w:t> </w:t>
      </w:r>
      <w:hyperlink r:id="rId171">
        <w:r>
          <w:rPr>
            <w:color w:val="3953A4"/>
            <w:u w:val="single" w:color="3953A4"/>
          </w:rPr>
          <w:t>org/10.1016/j.jsat.2008.06.011</w:t>
        </w:r>
      </w:hyperlink>
    </w:p>
    <w:p>
      <w:pPr>
        <w:pStyle w:val="BodyText"/>
        <w:tabs>
          <w:tab w:pos="479" w:val="left" w:leader="none"/>
        </w:tabs>
        <w:spacing w:line="228" w:lineRule="auto" w:before="88"/>
        <w:ind w:left="480" w:right="543" w:hanging="360"/>
      </w:pPr>
      <w:r>
        <w:rPr>
          <w:color w:val="231F20"/>
          <w:vertAlign w:val="superscript"/>
        </w:rPr>
        <w:t>39</w:t>
      </w:r>
      <w:r>
        <w:rPr>
          <w:color w:val="231F20"/>
          <w:vertAlign w:val="baseline"/>
        </w:rPr>
        <w:tab/>
      </w:r>
      <w:r>
        <w:rPr>
          <w:color w:val="231F20"/>
          <w:spacing w:val="-2"/>
          <w:vertAlign w:val="baseline"/>
        </w:rPr>
        <w:t>Totten, </w:t>
      </w:r>
      <w:r>
        <w:rPr>
          <w:color w:val="231F20"/>
          <w:spacing w:val="-1"/>
          <w:vertAlign w:val="baseline"/>
        </w:rPr>
        <w:t>A. M., Womack, D. M., Eden, K. B.,</w:t>
      </w:r>
      <w:r>
        <w:rPr>
          <w:color w:val="231F20"/>
          <w:vertAlign w:val="baseline"/>
        </w:rPr>
        <w:t> McDonagh,</w:t>
      </w:r>
      <w:r>
        <w:rPr>
          <w:color w:val="231F20"/>
          <w:spacing w:val="-7"/>
          <w:vertAlign w:val="baseline"/>
        </w:rPr>
        <w:t> </w:t>
      </w:r>
      <w:r>
        <w:rPr>
          <w:color w:val="231F20"/>
          <w:vertAlign w:val="baseline"/>
        </w:rPr>
        <w:t>M.</w:t>
      </w:r>
      <w:r>
        <w:rPr>
          <w:color w:val="231F20"/>
          <w:spacing w:val="-7"/>
          <w:vertAlign w:val="baseline"/>
        </w:rPr>
        <w:t> </w:t>
      </w:r>
      <w:r>
        <w:rPr>
          <w:color w:val="231F20"/>
          <w:vertAlign w:val="baseline"/>
        </w:rPr>
        <w:t>S.,</w:t>
      </w:r>
      <w:r>
        <w:rPr>
          <w:color w:val="231F20"/>
          <w:spacing w:val="-7"/>
          <w:vertAlign w:val="baseline"/>
        </w:rPr>
        <w:t> </w:t>
      </w:r>
      <w:r>
        <w:rPr>
          <w:color w:val="231F20"/>
          <w:vertAlign w:val="baseline"/>
        </w:rPr>
        <w:t>Griffin,</w:t>
      </w:r>
      <w:r>
        <w:rPr>
          <w:color w:val="231F20"/>
          <w:spacing w:val="-6"/>
          <w:vertAlign w:val="baseline"/>
        </w:rPr>
        <w:t> </w:t>
      </w:r>
      <w:r>
        <w:rPr>
          <w:color w:val="231F20"/>
          <w:vertAlign w:val="baseline"/>
        </w:rPr>
        <w:t>J.</w:t>
      </w:r>
      <w:r>
        <w:rPr>
          <w:color w:val="231F20"/>
          <w:spacing w:val="-7"/>
          <w:vertAlign w:val="baseline"/>
        </w:rPr>
        <w:t> </w:t>
      </w:r>
      <w:r>
        <w:rPr>
          <w:color w:val="231F20"/>
          <w:vertAlign w:val="baseline"/>
        </w:rPr>
        <w:t>C.,</w:t>
      </w:r>
      <w:r>
        <w:rPr>
          <w:color w:val="231F20"/>
          <w:spacing w:val="-6"/>
          <w:vertAlign w:val="baseline"/>
        </w:rPr>
        <w:t> </w:t>
      </w:r>
      <w:r>
        <w:rPr>
          <w:color w:val="231F20"/>
          <w:vertAlign w:val="baseline"/>
        </w:rPr>
        <w:t>Grusing,</w:t>
      </w:r>
      <w:r>
        <w:rPr>
          <w:color w:val="231F20"/>
          <w:spacing w:val="-6"/>
          <w:vertAlign w:val="baseline"/>
        </w:rPr>
        <w:t> </w:t>
      </w:r>
      <w:r>
        <w:rPr>
          <w:color w:val="231F20"/>
          <w:vertAlign w:val="baseline"/>
        </w:rPr>
        <w:t>S.,</w:t>
      </w:r>
      <w:r>
        <w:rPr>
          <w:color w:val="231F20"/>
          <w:spacing w:val="-7"/>
          <w:vertAlign w:val="baseline"/>
        </w:rPr>
        <w:t> </w:t>
      </w:r>
      <w:r>
        <w:rPr>
          <w:color w:val="231F20"/>
          <w:vertAlign w:val="baseline"/>
        </w:rPr>
        <w:t>&amp;</w:t>
      </w:r>
      <w:r>
        <w:rPr>
          <w:color w:val="231F20"/>
          <w:spacing w:val="-52"/>
          <w:vertAlign w:val="baseline"/>
        </w:rPr>
        <w:t> </w:t>
      </w:r>
      <w:r>
        <w:rPr>
          <w:color w:val="231F20"/>
          <w:vertAlign w:val="baseline"/>
        </w:rPr>
        <w:t>Hersh, W. R. (2016). Telehealth: Mapping the</w:t>
      </w:r>
      <w:r>
        <w:rPr>
          <w:color w:val="231F20"/>
          <w:spacing w:val="1"/>
          <w:vertAlign w:val="baseline"/>
        </w:rPr>
        <w:t> </w:t>
      </w:r>
      <w:r>
        <w:rPr>
          <w:color w:val="231F20"/>
          <w:vertAlign w:val="baseline"/>
        </w:rPr>
        <w:t>evidence for patient outcomes from systematic</w:t>
      </w:r>
      <w:r>
        <w:rPr>
          <w:color w:val="231F20"/>
          <w:spacing w:val="1"/>
          <w:vertAlign w:val="baseline"/>
        </w:rPr>
        <w:t> </w:t>
      </w:r>
      <w:r>
        <w:rPr>
          <w:color w:val="231F20"/>
          <w:vertAlign w:val="baseline"/>
        </w:rPr>
        <w:t>reviews. </w:t>
      </w:r>
      <w:hyperlink r:id="rId172">
        <w:r>
          <w:rPr>
            <w:color w:val="3953A4"/>
            <w:u w:val="single" w:color="3953A4"/>
            <w:vertAlign w:val="baseline"/>
          </w:rPr>
          <w:t>https://europepmc.org/article/nbk/</w:t>
        </w:r>
      </w:hyperlink>
      <w:r>
        <w:rPr>
          <w:color w:val="3953A4"/>
          <w:spacing w:val="1"/>
          <w:vertAlign w:val="baseline"/>
        </w:rPr>
        <w:t> </w:t>
      </w:r>
      <w:hyperlink r:id="rId172">
        <w:r>
          <w:rPr>
            <w:color w:val="3953A4"/>
            <w:u w:val="single" w:color="3953A4"/>
            <w:vertAlign w:val="baseline"/>
          </w:rPr>
          <w:t>nbk379320</w:t>
        </w:r>
      </w:hyperlink>
    </w:p>
    <w:p>
      <w:pPr>
        <w:tabs>
          <w:tab w:pos="479" w:val="left" w:leader="none"/>
        </w:tabs>
        <w:spacing w:line="228" w:lineRule="auto" w:before="88"/>
        <w:ind w:left="480" w:right="252" w:hanging="360"/>
        <w:jc w:val="left"/>
        <w:rPr>
          <w:sz w:val="22"/>
        </w:rPr>
      </w:pPr>
      <w:r>
        <w:rPr>
          <w:color w:val="231F20"/>
          <w:sz w:val="22"/>
          <w:vertAlign w:val="superscript"/>
        </w:rPr>
        <w:t>40</w:t>
      </w:r>
      <w:r>
        <w:rPr>
          <w:color w:val="231F20"/>
          <w:sz w:val="22"/>
          <w:vertAlign w:val="baseline"/>
        </w:rPr>
        <w:tab/>
        <w:t>Mace, S., Boccanelli, A., &amp; Dormond, M. (2018).</w:t>
      </w:r>
      <w:r>
        <w:rPr>
          <w:color w:val="231F20"/>
          <w:spacing w:val="1"/>
          <w:sz w:val="22"/>
          <w:vertAlign w:val="baseline"/>
        </w:rPr>
        <w:t> </w:t>
      </w:r>
      <w:r>
        <w:rPr>
          <w:color w:val="231F20"/>
          <w:sz w:val="22"/>
          <w:vertAlign w:val="baseline"/>
        </w:rPr>
        <w:t>The use of telehealth within behavioral health</w:t>
      </w:r>
      <w:r>
        <w:rPr>
          <w:color w:val="231F20"/>
          <w:spacing w:val="1"/>
          <w:sz w:val="22"/>
          <w:vertAlign w:val="baseline"/>
        </w:rPr>
        <w:t> </w:t>
      </w:r>
      <w:r>
        <w:rPr>
          <w:color w:val="231F20"/>
          <w:sz w:val="22"/>
          <w:vertAlign w:val="baseline"/>
        </w:rPr>
        <w:t>settings: Utilization, opportunities, and challenges.</w:t>
      </w:r>
      <w:r>
        <w:rPr>
          <w:color w:val="231F20"/>
          <w:spacing w:val="-53"/>
          <w:sz w:val="22"/>
          <w:vertAlign w:val="baseline"/>
        </w:rPr>
        <w:t> </w:t>
      </w:r>
      <w:r>
        <w:rPr>
          <w:i/>
          <w:color w:val="231F20"/>
          <w:sz w:val="22"/>
          <w:vertAlign w:val="baseline"/>
        </w:rPr>
        <w:t>University of Michigan School of Public Health,</w:t>
      </w:r>
      <w:r>
        <w:rPr>
          <w:i/>
          <w:color w:val="231F20"/>
          <w:spacing w:val="1"/>
          <w:sz w:val="22"/>
          <w:vertAlign w:val="baseline"/>
        </w:rPr>
        <w:t> </w:t>
      </w:r>
      <w:r>
        <w:rPr>
          <w:i/>
          <w:color w:val="231F20"/>
          <w:sz w:val="22"/>
          <w:vertAlign w:val="baseline"/>
        </w:rPr>
        <w:t>Behavioral Health Workforce Research Center</w:t>
      </w:r>
      <w:r>
        <w:rPr>
          <w:color w:val="231F20"/>
          <w:sz w:val="22"/>
          <w:vertAlign w:val="baseline"/>
        </w:rPr>
        <w:t>.</w:t>
      </w:r>
      <w:r>
        <w:rPr>
          <w:color w:val="231F20"/>
          <w:spacing w:val="1"/>
          <w:sz w:val="22"/>
          <w:vertAlign w:val="baseline"/>
        </w:rPr>
        <w:t> </w:t>
      </w:r>
      <w:hyperlink r:id="rId26">
        <w:r>
          <w:rPr>
            <w:color w:val="3953A4"/>
            <w:sz w:val="22"/>
            <w:u w:val="single" w:color="3953A4"/>
            <w:vertAlign w:val="baseline"/>
          </w:rPr>
          <w:t>http://www.behavioralhealthworkforce.org/</w:t>
        </w:r>
      </w:hyperlink>
    </w:p>
    <w:p>
      <w:pPr>
        <w:pStyle w:val="BodyText"/>
        <w:spacing w:line="228" w:lineRule="auto"/>
        <w:ind w:left="480" w:right="725"/>
      </w:pPr>
      <w:hyperlink r:id="rId26">
        <w:r>
          <w:rPr>
            <w:color w:val="3953A4"/>
            <w:spacing w:val="-1"/>
            <w:u w:val="single" w:color="3953A4"/>
          </w:rPr>
          <w:t>wp-content/uploads/2018/05/Telehealth-Full-</w:t>
        </w:r>
      </w:hyperlink>
      <w:r>
        <w:rPr>
          <w:color w:val="3953A4"/>
          <w:spacing w:val="-52"/>
        </w:rPr>
        <w:t> </w:t>
      </w:r>
      <w:hyperlink r:id="rId26">
        <w:r>
          <w:rPr>
            <w:color w:val="3953A4"/>
            <w:u w:val="single" w:color="3953A4"/>
          </w:rPr>
          <w:t>Paper_5.17.18-clean.pdf</w:t>
        </w:r>
      </w:hyperlink>
    </w:p>
    <w:p>
      <w:pPr>
        <w:pStyle w:val="BodyText"/>
        <w:tabs>
          <w:tab w:pos="479" w:val="left" w:leader="none"/>
        </w:tabs>
        <w:spacing w:line="228" w:lineRule="auto" w:before="87"/>
        <w:ind w:left="480" w:right="360" w:hanging="360"/>
      </w:pPr>
      <w:r>
        <w:rPr>
          <w:color w:val="231F20"/>
          <w:vertAlign w:val="superscript"/>
        </w:rPr>
        <w:t>41</w:t>
      </w:r>
      <w:r>
        <w:rPr>
          <w:color w:val="231F20"/>
          <w:vertAlign w:val="baseline"/>
        </w:rPr>
        <w:tab/>
      </w:r>
      <w:r>
        <w:rPr>
          <w:color w:val="231F20"/>
          <w:spacing w:val="-4"/>
          <w:vertAlign w:val="baseline"/>
        </w:rPr>
        <w:t>Egede,</w:t>
      </w:r>
      <w:r>
        <w:rPr>
          <w:color w:val="231F20"/>
          <w:spacing w:val="-8"/>
          <w:vertAlign w:val="baseline"/>
        </w:rPr>
        <w:t> </w:t>
      </w:r>
      <w:r>
        <w:rPr>
          <w:color w:val="231F20"/>
          <w:spacing w:val="-4"/>
          <w:vertAlign w:val="baseline"/>
        </w:rPr>
        <w:t>L.</w:t>
      </w:r>
      <w:r>
        <w:rPr>
          <w:color w:val="231F20"/>
          <w:spacing w:val="-8"/>
          <w:vertAlign w:val="baseline"/>
        </w:rPr>
        <w:t> </w:t>
      </w:r>
      <w:r>
        <w:rPr>
          <w:color w:val="231F20"/>
          <w:spacing w:val="-4"/>
          <w:vertAlign w:val="baseline"/>
        </w:rPr>
        <w:t>E.,</w:t>
      </w:r>
      <w:r>
        <w:rPr>
          <w:color w:val="231F20"/>
          <w:spacing w:val="-20"/>
          <w:vertAlign w:val="baseline"/>
        </w:rPr>
        <w:t> </w:t>
      </w:r>
      <w:r>
        <w:rPr>
          <w:color w:val="231F20"/>
          <w:spacing w:val="-4"/>
          <w:vertAlign w:val="baseline"/>
        </w:rPr>
        <w:t>Acierno,</w:t>
      </w:r>
      <w:r>
        <w:rPr>
          <w:color w:val="231F20"/>
          <w:spacing w:val="-8"/>
          <w:vertAlign w:val="baseline"/>
        </w:rPr>
        <w:t> </w:t>
      </w:r>
      <w:r>
        <w:rPr>
          <w:color w:val="231F20"/>
          <w:spacing w:val="-4"/>
          <w:vertAlign w:val="baseline"/>
        </w:rPr>
        <w:t>R.,</w:t>
      </w:r>
      <w:r>
        <w:rPr>
          <w:color w:val="231F20"/>
          <w:spacing w:val="-8"/>
          <w:vertAlign w:val="baseline"/>
        </w:rPr>
        <w:t> </w:t>
      </w:r>
      <w:r>
        <w:rPr>
          <w:color w:val="231F20"/>
          <w:spacing w:val="-3"/>
          <w:vertAlign w:val="baseline"/>
        </w:rPr>
        <w:t>Knapp,</w:t>
      </w:r>
      <w:r>
        <w:rPr>
          <w:color w:val="231F20"/>
          <w:spacing w:val="-8"/>
          <w:vertAlign w:val="baseline"/>
        </w:rPr>
        <w:t> </w:t>
      </w:r>
      <w:r>
        <w:rPr>
          <w:color w:val="231F20"/>
          <w:spacing w:val="-3"/>
          <w:vertAlign w:val="baseline"/>
        </w:rPr>
        <w:t>R.</w:t>
      </w:r>
      <w:r>
        <w:rPr>
          <w:color w:val="231F20"/>
          <w:spacing w:val="-8"/>
          <w:vertAlign w:val="baseline"/>
        </w:rPr>
        <w:t> </w:t>
      </w:r>
      <w:r>
        <w:rPr>
          <w:color w:val="231F20"/>
          <w:spacing w:val="-3"/>
          <w:vertAlign w:val="baseline"/>
        </w:rPr>
        <w:t>G.,</w:t>
      </w:r>
      <w:r>
        <w:rPr>
          <w:color w:val="231F20"/>
          <w:spacing w:val="-8"/>
          <w:vertAlign w:val="baseline"/>
        </w:rPr>
        <w:t> </w:t>
      </w:r>
      <w:r>
        <w:rPr>
          <w:color w:val="231F20"/>
          <w:spacing w:val="-3"/>
          <w:vertAlign w:val="baseline"/>
        </w:rPr>
        <w:t>Lejuez,</w:t>
      </w:r>
      <w:r>
        <w:rPr>
          <w:color w:val="231F20"/>
          <w:spacing w:val="-8"/>
          <w:vertAlign w:val="baseline"/>
        </w:rPr>
        <w:t> </w:t>
      </w:r>
      <w:r>
        <w:rPr>
          <w:color w:val="231F20"/>
          <w:spacing w:val="-3"/>
          <w:vertAlign w:val="baseline"/>
        </w:rPr>
        <w:t>C.,</w:t>
      </w:r>
      <w:r>
        <w:rPr>
          <w:color w:val="231F20"/>
          <w:spacing w:val="-52"/>
          <w:vertAlign w:val="baseline"/>
        </w:rPr>
        <w:t> </w:t>
      </w:r>
      <w:r>
        <w:rPr>
          <w:color w:val="231F20"/>
          <w:spacing w:val="-4"/>
          <w:vertAlign w:val="baseline"/>
        </w:rPr>
        <w:t>Hernandez-Tejada,</w:t>
      </w:r>
      <w:r>
        <w:rPr>
          <w:color w:val="231F20"/>
          <w:spacing w:val="-10"/>
          <w:vertAlign w:val="baseline"/>
        </w:rPr>
        <w:t> </w:t>
      </w:r>
      <w:r>
        <w:rPr>
          <w:color w:val="231F20"/>
          <w:spacing w:val="-4"/>
          <w:vertAlign w:val="baseline"/>
        </w:rPr>
        <w:t>M.,</w:t>
      </w:r>
      <w:r>
        <w:rPr>
          <w:color w:val="231F20"/>
          <w:spacing w:val="-9"/>
          <w:vertAlign w:val="baseline"/>
        </w:rPr>
        <w:t> </w:t>
      </w:r>
      <w:r>
        <w:rPr>
          <w:color w:val="231F20"/>
          <w:spacing w:val="-4"/>
          <w:vertAlign w:val="baseline"/>
        </w:rPr>
        <w:t>Payne,</w:t>
      </w:r>
      <w:r>
        <w:rPr>
          <w:color w:val="231F20"/>
          <w:spacing w:val="-10"/>
          <w:vertAlign w:val="baseline"/>
        </w:rPr>
        <w:t> </w:t>
      </w:r>
      <w:r>
        <w:rPr>
          <w:color w:val="231F20"/>
          <w:spacing w:val="-3"/>
          <w:vertAlign w:val="baseline"/>
        </w:rPr>
        <w:t>E.</w:t>
      </w:r>
      <w:r>
        <w:rPr>
          <w:color w:val="231F20"/>
          <w:spacing w:val="-9"/>
          <w:vertAlign w:val="baseline"/>
        </w:rPr>
        <w:t> </w:t>
      </w:r>
      <w:r>
        <w:rPr>
          <w:color w:val="231F20"/>
          <w:spacing w:val="-3"/>
          <w:vertAlign w:val="baseline"/>
        </w:rPr>
        <w:t>H.,</w:t>
      </w:r>
      <w:r>
        <w:rPr>
          <w:color w:val="231F20"/>
          <w:spacing w:val="-9"/>
          <w:vertAlign w:val="baseline"/>
        </w:rPr>
        <w:t> </w:t>
      </w:r>
      <w:r>
        <w:rPr>
          <w:color w:val="231F20"/>
          <w:spacing w:val="-3"/>
          <w:vertAlign w:val="baseline"/>
        </w:rPr>
        <w:t>&amp;</w:t>
      </w:r>
      <w:r>
        <w:rPr>
          <w:color w:val="231F20"/>
          <w:spacing w:val="-10"/>
          <w:vertAlign w:val="baseline"/>
        </w:rPr>
        <w:t> </w:t>
      </w:r>
      <w:r>
        <w:rPr>
          <w:color w:val="231F20"/>
          <w:spacing w:val="-3"/>
          <w:vertAlign w:val="baseline"/>
        </w:rPr>
        <w:t>Frueh,</w:t>
      </w:r>
      <w:r>
        <w:rPr>
          <w:color w:val="231F20"/>
          <w:spacing w:val="-9"/>
          <w:vertAlign w:val="baseline"/>
        </w:rPr>
        <w:t> </w:t>
      </w:r>
      <w:r>
        <w:rPr>
          <w:color w:val="231F20"/>
          <w:spacing w:val="-3"/>
          <w:vertAlign w:val="baseline"/>
        </w:rPr>
        <w:t>B.</w:t>
      </w:r>
    </w:p>
    <w:p>
      <w:pPr>
        <w:pStyle w:val="BodyText"/>
        <w:spacing w:line="228" w:lineRule="auto"/>
        <w:ind w:left="480" w:right="168"/>
      </w:pPr>
      <w:r>
        <w:rPr>
          <w:color w:val="231F20"/>
          <w:spacing w:val="-3"/>
        </w:rPr>
        <w:t>C. (2015). Psychotherapy </w:t>
      </w:r>
      <w:r>
        <w:rPr>
          <w:color w:val="231F20"/>
          <w:spacing w:val="-2"/>
        </w:rPr>
        <w:t>for depression in older</w:t>
      </w:r>
      <w:r>
        <w:rPr>
          <w:color w:val="231F20"/>
          <w:spacing w:val="-1"/>
        </w:rPr>
        <w:t> </w:t>
      </w:r>
      <w:r>
        <w:rPr>
          <w:color w:val="231F20"/>
          <w:spacing w:val="-4"/>
        </w:rPr>
        <w:t>veterans via telemedicine: A randomised, </w:t>
      </w:r>
      <w:r>
        <w:rPr>
          <w:color w:val="231F20"/>
          <w:spacing w:val="-3"/>
        </w:rPr>
        <w:t>open-label,</w:t>
      </w:r>
      <w:r>
        <w:rPr>
          <w:color w:val="231F20"/>
          <w:spacing w:val="-2"/>
        </w:rPr>
        <w:t> </w:t>
      </w:r>
      <w:r>
        <w:rPr>
          <w:color w:val="231F20"/>
          <w:spacing w:val="-4"/>
        </w:rPr>
        <w:t>non-inferiority</w:t>
      </w:r>
      <w:r>
        <w:rPr>
          <w:color w:val="231F20"/>
          <w:spacing w:val="-10"/>
        </w:rPr>
        <w:t> </w:t>
      </w:r>
      <w:r>
        <w:rPr>
          <w:color w:val="231F20"/>
          <w:spacing w:val="-4"/>
        </w:rPr>
        <w:t>trial.</w:t>
      </w:r>
      <w:r>
        <w:rPr>
          <w:color w:val="231F20"/>
          <w:spacing w:val="-9"/>
        </w:rPr>
        <w:t> </w:t>
      </w:r>
      <w:r>
        <w:rPr>
          <w:i/>
          <w:color w:val="231F20"/>
          <w:spacing w:val="-4"/>
        </w:rPr>
        <w:t>Lancet</w:t>
      </w:r>
      <w:r>
        <w:rPr>
          <w:i/>
          <w:color w:val="231F20"/>
          <w:spacing w:val="-10"/>
        </w:rPr>
        <w:t> </w:t>
      </w:r>
      <w:r>
        <w:rPr>
          <w:i/>
          <w:color w:val="231F20"/>
          <w:spacing w:val="-4"/>
        </w:rPr>
        <w:t>Psychiatry,</w:t>
      </w:r>
      <w:r>
        <w:rPr>
          <w:i/>
          <w:color w:val="231F20"/>
          <w:spacing w:val="-9"/>
        </w:rPr>
        <w:t> </w:t>
      </w:r>
      <w:r>
        <w:rPr>
          <w:i/>
          <w:color w:val="231F20"/>
          <w:spacing w:val="-4"/>
        </w:rPr>
        <w:t>2</w:t>
      </w:r>
      <w:r>
        <w:rPr>
          <w:color w:val="231F20"/>
          <w:spacing w:val="-4"/>
        </w:rPr>
        <w:t>(8),</w:t>
      </w:r>
      <w:r>
        <w:rPr>
          <w:color w:val="231F20"/>
          <w:spacing w:val="-9"/>
        </w:rPr>
        <w:t> </w:t>
      </w:r>
      <w:r>
        <w:rPr>
          <w:color w:val="231F20"/>
          <w:spacing w:val="-4"/>
        </w:rPr>
        <w:t>693-701.</w:t>
      </w:r>
      <w:r>
        <w:rPr>
          <w:color w:val="3953A4"/>
          <w:spacing w:val="-52"/>
        </w:rPr>
        <w:t> </w:t>
      </w:r>
      <w:hyperlink r:id="rId173">
        <w:r>
          <w:rPr>
            <w:color w:val="3953A4"/>
            <w:u w:val="single" w:color="3953A4"/>
          </w:rPr>
          <w:t>https://doi.org/10.1016/s2215-0366(15)00122-4</w:t>
        </w:r>
      </w:hyperlink>
    </w:p>
    <w:p>
      <w:pPr>
        <w:tabs>
          <w:tab w:pos="479" w:val="left" w:leader="none"/>
        </w:tabs>
        <w:spacing w:line="228" w:lineRule="auto" w:before="88"/>
        <w:ind w:left="480" w:right="117" w:hanging="360"/>
        <w:jc w:val="left"/>
        <w:rPr>
          <w:sz w:val="22"/>
        </w:rPr>
      </w:pPr>
      <w:r>
        <w:rPr>
          <w:color w:val="231F20"/>
          <w:sz w:val="22"/>
          <w:vertAlign w:val="superscript"/>
        </w:rPr>
        <w:t>42</w:t>
      </w:r>
      <w:r>
        <w:rPr>
          <w:color w:val="231F20"/>
          <w:sz w:val="22"/>
          <w:vertAlign w:val="baseline"/>
        </w:rPr>
        <w:tab/>
      </w:r>
      <w:r>
        <w:rPr>
          <w:color w:val="231F20"/>
          <w:spacing w:val="-1"/>
          <w:sz w:val="22"/>
          <w:vertAlign w:val="baseline"/>
        </w:rPr>
        <w:t>Hofmann, S., </w:t>
      </w:r>
      <w:r>
        <w:rPr>
          <w:color w:val="231F20"/>
          <w:sz w:val="22"/>
          <w:vertAlign w:val="baseline"/>
        </w:rPr>
        <w:t>&amp; Asmundson, G. (2017). </w:t>
      </w:r>
      <w:r>
        <w:rPr>
          <w:i/>
          <w:color w:val="231F20"/>
          <w:sz w:val="22"/>
          <w:vertAlign w:val="baseline"/>
        </w:rPr>
        <w:t>The science</w:t>
      </w:r>
      <w:r>
        <w:rPr>
          <w:i/>
          <w:color w:val="231F20"/>
          <w:spacing w:val="-52"/>
          <w:sz w:val="22"/>
          <w:vertAlign w:val="baseline"/>
        </w:rPr>
        <w:t> </w:t>
      </w:r>
      <w:r>
        <w:rPr>
          <w:i/>
          <w:color w:val="231F20"/>
          <w:sz w:val="22"/>
          <w:vertAlign w:val="baseline"/>
        </w:rPr>
        <w:t>of</w:t>
      </w:r>
      <w:r>
        <w:rPr>
          <w:i/>
          <w:color w:val="231F20"/>
          <w:spacing w:val="-1"/>
          <w:sz w:val="22"/>
          <w:vertAlign w:val="baseline"/>
        </w:rPr>
        <w:t> </w:t>
      </w:r>
      <w:r>
        <w:rPr>
          <w:i/>
          <w:color w:val="231F20"/>
          <w:sz w:val="22"/>
          <w:vertAlign w:val="baseline"/>
        </w:rPr>
        <w:t>cognitive behavioral therapy</w:t>
      </w:r>
      <w:r>
        <w:rPr>
          <w:color w:val="231F20"/>
          <w:sz w:val="22"/>
          <w:vertAlign w:val="baseline"/>
        </w:rPr>
        <w:t>.</w:t>
      </w:r>
      <w:r>
        <w:rPr>
          <w:color w:val="231F20"/>
          <w:spacing w:val="-13"/>
          <w:sz w:val="22"/>
          <w:vertAlign w:val="baseline"/>
        </w:rPr>
        <w:t> </w:t>
      </w:r>
      <w:r>
        <w:rPr>
          <w:color w:val="231F20"/>
          <w:sz w:val="22"/>
          <w:vertAlign w:val="baseline"/>
        </w:rPr>
        <w:t>Academic</w:t>
      </w:r>
      <w:r>
        <w:rPr>
          <w:color w:val="231F20"/>
          <w:spacing w:val="-1"/>
          <w:sz w:val="22"/>
          <w:vertAlign w:val="baseline"/>
        </w:rPr>
        <w:t> </w:t>
      </w:r>
      <w:r>
        <w:rPr>
          <w:color w:val="231F20"/>
          <w:sz w:val="22"/>
          <w:vertAlign w:val="baseline"/>
        </w:rPr>
        <w:t>Press.</w:t>
      </w:r>
    </w:p>
    <w:p>
      <w:pPr>
        <w:pStyle w:val="BodyText"/>
        <w:tabs>
          <w:tab w:pos="479" w:val="left" w:leader="none"/>
        </w:tabs>
        <w:spacing w:line="228" w:lineRule="auto" w:before="89"/>
        <w:ind w:left="480" w:right="39" w:hanging="360"/>
      </w:pPr>
      <w:r>
        <w:rPr>
          <w:color w:val="231F20"/>
          <w:vertAlign w:val="superscript"/>
        </w:rPr>
        <w:t>43</w:t>
      </w:r>
      <w:r>
        <w:rPr>
          <w:color w:val="231F20"/>
          <w:vertAlign w:val="baseline"/>
        </w:rPr>
        <w:tab/>
        <w:t>Acierno,</w:t>
      </w:r>
      <w:r>
        <w:rPr>
          <w:color w:val="231F20"/>
          <w:spacing w:val="-6"/>
          <w:vertAlign w:val="baseline"/>
        </w:rPr>
        <w:t> </w:t>
      </w:r>
      <w:r>
        <w:rPr>
          <w:color w:val="231F20"/>
          <w:vertAlign w:val="baseline"/>
        </w:rPr>
        <w:t>R.,</w:t>
      </w:r>
      <w:r>
        <w:rPr>
          <w:color w:val="231F20"/>
          <w:spacing w:val="-6"/>
          <w:vertAlign w:val="baseline"/>
        </w:rPr>
        <w:t> </w:t>
      </w:r>
      <w:r>
        <w:rPr>
          <w:color w:val="231F20"/>
          <w:vertAlign w:val="baseline"/>
        </w:rPr>
        <w:t>Gros,</w:t>
      </w:r>
      <w:r>
        <w:rPr>
          <w:color w:val="231F20"/>
          <w:spacing w:val="-6"/>
          <w:vertAlign w:val="baseline"/>
        </w:rPr>
        <w:t> </w:t>
      </w:r>
      <w:r>
        <w:rPr>
          <w:color w:val="231F20"/>
          <w:vertAlign w:val="baseline"/>
        </w:rPr>
        <w:t>D.</w:t>
      </w:r>
      <w:r>
        <w:rPr>
          <w:color w:val="231F20"/>
          <w:spacing w:val="-6"/>
          <w:vertAlign w:val="baseline"/>
        </w:rPr>
        <w:t> </w:t>
      </w:r>
      <w:r>
        <w:rPr>
          <w:color w:val="231F20"/>
          <w:vertAlign w:val="baseline"/>
        </w:rPr>
        <w:t>F.,</w:t>
      </w:r>
      <w:r>
        <w:rPr>
          <w:color w:val="231F20"/>
          <w:spacing w:val="-6"/>
          <w:vertAlign w:val="baseline"/>
        </w:rPr>
        <w:t> </w:t>
      </w:r>
      <w:r>
        <w:rPr>
          <w:color w:val="231F20"/>
          <w:vertAlign w:val="baseline"/>
        </w:rPr>
        <w:t>Ruggiero,</w:t>
      </w:r>
      <w:r>
        <w:rPr>
          <w:color w:val="231F20"/>
          <w:spacing w:val="-6"/>
          <w:vertAlign w:val="baseline"/>
        </w:rPr>
        <w:t> </w:t>
      </w:r>
      <w:r>
        <w:rPr>
          <w:color w:val="231F20"/>
          <w:vertAlign w:val="baseline"/>
        </w:rPr>
        <w:t>K.</w:t>
      </w:r>
      <w:r>
        <w:rPr>
          <w:color w:val="231F20"/>
          <w:spacing w:val="-6"/>
          <w:vertAlign w:val="baseline"/>
        </w:rPr>
        <w:t> </w:t>
      </w:r>
      <w:r>
        <w:rPr>
          <w:color w:val="231F20"/>
          <w:vertAlign w:val="baseline"/>
        </w:rPr>
        <w:t>J.,</w:t>
      </w:r>
      <w:r>
        <w:rPr>
          <w:color w:val="231F20"/>
          <w:spacing w:val="-6"/>
          <w:vertAlign w:val="baseline"/>
        </w:rPr>
        <w:t> </w:t>
      </w:r>
      <w:r>
        <w:rPr>
          <w:color w:val="231F20"/>
          <w:vertAlign w:val="baseline"/>
        </w:rPr>
        <w:t>Hernandez-</w:t>
      </w:r>
      <w:r>
        <w:rPr>
          <w:color w:val="231F20"/>
          <w:spacing w:val="-52"/>
          <w:vertAlign w:val="baseline"/>
        </w:rPr>
        <w:t> </w:t>
      </w:r>
      <w:r>
        <w:rPr>
          <w:color w:val="231F20"/>
          <w:vertAlign w:val="baseline"/>
        </w:rPr>
        <w:t>Tejada, B. M., Knapp, R. G., Lejuez, C. W., Muzzy,</w:t>
      </w:r>
      <w:r>
        <w:rPr>
          <w:color w:val="231F20"/>
          <w:spacing w:val="1"/>
          <w:vertAlign w:val="baseline"/>
        </w:rPr>
        <w:t> </w:t>
      </w:r>
      <w:r>
        <w:rPr>
          <w:color w:val="231F20"/>
          <w:vertAlign w:val="baseline"/>
        </w:rPr>
        <w:t>W., Frueh, C. B., Egede, L. E., &amp; Tuerk, P. W.</w:t>
      </w:r>
      <w:r>
        <w:rPr>
          <w:color w:val="231F20"/>
          <w:spacing w:val="1"/>
          <w:vertAlign w:val="baseline"/>
        </w:rPr>
        <w:t> </w:t>
      </w:r>
      <w:r>
        <w:rPr>
          <w:color w:val="231F20"/>
          <w:vertAlign w:val="baseline"/>
        </w:rPr>
        <w:t>(2016). Behavioral activation and therapeutic</w:t>
      </w:r>
      <w:r>
        <w:rPr>
          <w:color w:val="231F20"/>
          <w:spacing w:val="1"/>
          <w:vertAlign w:val="baseline"/>
        </w:rPr>
        <w:t> </w:t>
      </w:r>
      <w:r>
        <w:rPr>
          <w:color w:val="231F20"/>
          <w:vertAlign w:val="baseline"/>
        </w:rPr>
        <w:t>exposure for posttraumatic stress disorder: A</w:t>
      </w:r>
      <w:r>
        <w:rPr>
          <w:color w:val="231F20"/>
          <w:spacing w:val="1"/>
          <w:vertAlign w:val="baseline"/>
        </w:rPr>
        <w:t> </w:t>
      </w:r>
      <w:r>
        <w:rPr>
          <w:color w:val="231F20"/>
          <w:vertAlign w:val="baseline"/>
        </w:rPr>
        <w:t>noninferiority trial of treatment delivered in person</w:t>
      </w:r>
      <w:r>
        <w:rPr>
          <w:color w:val="231F20"/>
          <w:spacing w:val="1"/>
          <w:vertAlign w:val="baseline"/>
        </w:rPr>
        <w:t> </w:t>
      </w:r>
      <w:r>
        <w:rPr>
          <w:color w:val="231F20"/>
          <w:vertAlign w:val="baseline"/>
        </w:rPr>
        <w:t>versus home-based telehealth. </w:t>
      </w:r>
      <w:r>
        <w:rPr>
          <w:i/>
          <w:color w:val="231F20"/>
          <w:vertAlign w:val="baseline"/>
        </w:rPr>
        <w:t>Depression and</w:t>
      </w:r>
      <w:r>
        <w:rPr>
          <w:i/>
          <w:color w:val="231F20"/>
          <w:spacing w:val="1"/>
          <w:vertAlign w:val="baseline"/>
        </w:rPr>
        <w:t> </w:t>
      </w:r>
      <w:r>
        <w:rPr>
          <w:i/>
          <w:color w:val="231F20"/>
          <w:vertAlign w:val="baseline"/>
        </w:rPr>
        <w:t>Anxiety, 33</w:t>
      </w:r>
      <w:r>
        <w:rPr>
          <w:color w:val="231F20"/>
          <w:vertAlign w:val="baseline"/>
        </w:rPr>
        <w:t>(5), 415-423. </w:t>
      </w:r>
      <w:hyperlink r:id="rId174">
        <w:r>
          <w:rPr>
            <w:color w:val="3953A4"/>
            <w:u w:val="single" w:color="3953A4"/>
            <w:vertAlign w:val="baseline"/>
          </w:rPr>
          <w:t>https://doi.org/10.1002/</w:t>
        </w:r>
      </w:hyperlink>
      <w:r>
        <w:rPr>
          <w:color w:val="3953A4"/>
          <w:spacing w:val="1"/>
          <w:vertAlign w:val="baseline"/>
        </w:rPr>
        <w:t> </w:t>
      </w:r>
      <w:hyperlink r:id="rId174">
        <w:r>
          <w:rPr>
            <w:color w:val="3953A4"/>
            <w:u w:val="single" w:color="3953A4"/>
            <w:vertAlign w:val="baseline"/>
          </w:rPr>
          <w:t>da.22476</w:t>
        </w:r>
      </w:hyperlink>
    </w:p>
    <w:p>
      <w:pPr>
        <w:pStyle w:val="BodyText"/>
        <w:tabs>
          <w:tab w:pos="479" w:val="left" w:leader="none"/>
        </w:tabs>
        <w:spacing w:line="228" w:lineRule="auto" w:before="87"/>
        <w:ind w:left="480" w:right="57" w:hanging="360"/>
      </w:pPr>
      <w:r>
        <w:rPr>
          <w:color w:val="231F20"/>
          <w:vertAlign w:val="superscript"/>
        </w:rPr>
        <w:t>44</w:t>
      </w:r>
      <w:r>
        <w:rPr>
          <w:color w:val="231F20"/>
          <w:vertAlign w:val="baseline"/>
        </w:rPr>
        <w:tab/>
      </w:r>
      <w:r>
        <w:rPr>
          <w:color w:val="231F20"/>
          <w:spacing w:val="-1"/>
          <w:vertAlign w:val="baseline"/>
        </w:rPr>
        <w:t>Egede, L. E., Dismuke, </w:t>
      </w:r>
      <w:r>
        <w:rPr>
          <w:color w:val="231F20"/>
          <w:vertAlign w:val="baseline"/>
        </w:rPr>
        <w:t>C.</w:t>
      </w:r>
      <w:r>
        <w:rPr>
          <w:color w:val="231F20"/>
          <w:spacing w:val="-1"/>
          <w:vertAlign w:val="baseline"/>
        </w:rPr>
        <w:t> </w:t>
      </w:r>
      <w:r>
        <w:rPr>
          <w:color w:val="231F20"/>
          <w:vertAlign w:val="baseline"/>
        </w:rPr>
        <w:t>E.,</w:t>
      </w:r>
      <w:r>
        <w:rPr>
          <w:color w:val="231F20"/>
          <w:spacing w:val="-6"/>
          <w:vertAlign w:val="baseline"/>
        </w:rPr>
        <w:t> </w:t>
      </w:r>
      <w:r>
        <w:rPr>
          <w:color w:val="231F20"/>
          <w:vertAlign w:val="baseline"/>
        </w:rPr>
        <w:t>Walker,</w:t>
      </w:r>
      <w:r>
        <w:rPr>
          <w:color w:val="231F20"/>
          <w:spacing w:val="-1"/>
          <w:vertAlign w:val="baseline"/>
        </w:rPr>
        <w:t> </w:t>
      </w:r>
      <w:r>
        <w:rPr>
          <w:color w:val="231F20"/>
          <w:vertAlign w:val="baseline"/>
        </w:rPr>
        <w:t>R.</w:t>
      </w:r>
      <w:r>
        <w:rPr>
          <w:color w:val="231F20"/>
          <w:spacing w:val="-1"/>
          <w:vertAlign w:val="baseline"/>
        </w:rPr>
        <w:t> </w:t>
      </w:r>
      <w:r>
        <w:rPr>
          <w:color w:val="231F20"/>
          <w:vertAlign w:val="baseline"/>
        </w:rPr>
        <w:t>J.,</w:t>
      </w:r>
      <w:r>
        <w:rPr>
          <w:color w:val="231F20"/>
          <w:spacing w:val="-13"/>
          <w:vertAlign w:val="baseline"/>
        </w:rPr>
        <w:t> </w:t>
      </w:r>
      <w:r>
        <w:rPr>
          <w:color w:val="231F20"/>
          <w:vertAlign w:val="baseline"/>
        </w:rPr>
        <w:t>Acierno,</w:t>
      </w:r>
      <w:r>
        <w:rPr>
          <w:color w:val="231F20"/>
          <w:spacing w:val="-52"/>
          <w:vertAlign w:val="baseline"/>
        </w:rPr>
        <w:t> </w:t>
      </w:r>
      <w:r>
        <w:rPr>
          <w:color w:val="231F20"/>
          <w:vertAlign w:val="baseline"/>
        </w:rPr>
        <w:t>R., &amp; Frueh, B. C. (2018). Cost-effectiveness of</w:t>
      </w:r>
      <w:r>
        <w:rPr>
          <w:color w:val="231F20"/>
          <w:spacing w:val="1"/>
          <w:vertAlign w:val="baseline"/>
        </w:rPr>
        <w:t> </w:t>
      </w:r>
      <w:r>
        <w:rPr>
          <w:color w:val="231F20"/>
          <w:vertAlign w:val="baseline"/>
        </w:rPr>
        <w:t>behavioral activation for depression in older adult</w:t>
      </w:r>
      <w:r>
        <w:rPr>
          <w:color w:val="231F20"/>
          <w:spacing w:val="1"/>
          <w:vertAlign w:val="baseline"/>
        </w:rPr>
        <w:t> </w:t>
      </w:r>
      <w:r>
        <w:rPr>
          <w:color w:val="231F20"/>
          <w:vertAlign w:val="baseline"/>
        </w:rPr>
        <w:t>veterans: In-person care versus telehealth. </w:t>
      </w:r>
      <w:r>
        <w:rPr>
          <w:i/>
          <w:color w:val="231F20"/>
          <w:vertAlign w:val="baseline"/>
        </w:rPr>
        <w:t>Journal of</w:t>
      </w:r>
      <w:r>
        <w:rPr>
          <w:i/>
          <w:color w:val="231F20"/>
          <w:spacing w:val="-53"/>
          <w:vertAlign w:val="baseline"/>
        </w:rPr>
        <w:t> </w:t>
      </w:r>
      <w:r>
        <w:rPr>
          <w:i/>
          <w:color w:val="231F20"/>
          <w:vertAlign w:val="baseline"/>
        </w:rPr>
        <w:t>Clinical Psychiatry, 79</w:t>
      </w:r>
      <w:r>
        <w:rPr>
          <w:color w:val="231F20"/>
          <w:vertAlign w:val="baseline"/>
        </w:rPr>
        <w:t>(5). </w:t>
      </w:r>
      <w:hyperlink r:id="rId175">
        <w:r>
          <w:rPr>
            <w:color w:val="3953A4"/>
            <w:u w:val="single" w:color="3953A4"/>
            <w:vertAlign w:val="baseline"/>
          </w:rPr>
          <w:t>https://doi.org/10.4088/</w:t>
        </w:r>
      </w:hyperlink>
      <w:r>
        <w:rPr>
          <w:color w:val="3953A4"/>
          <w:spacing w:val="1"/>
          <w:vertAlign w:val="baseline"/>
        </w:rPr>
        <w:t> </w:t>
      </w:r>
      <w:hyperlink r:id="rId175">
        <w:r>
          <w:rPr>
            <w:color w:val="3953A4"/>
            <w:u w:val="single" w:color="3953A4"/>
            <w:vertAlign w:val="baseline"/>
          </w:rPr>
          <w:t>JCP.17m11888</w:t>
        </w:r>
      </w:hyperlink>
    </w:p>
    <w:p>
      <w:pPr>
        <w:pStyle w:val="BodyText"/>
        <w:tabs>
          <w:tab w:pos="479" w:val="left" w:leader="none"/>
        </w:tabs>
        <w:spacing w:line="228" w:lineRule="auto" w:before="101"/>
        <w:ind w:left="480" w:right="724" w:hanging="360"/>
      </w:pPr>
      <w:r>
        <w:rPr/>
        <w:br w:type="column"/>
      </w:r>
      <w:r>
        <w:rPr>
          <w:color w:val="231F20"/>
          <w:vertAlign w:val="superscript"/>
        </w:rPr>
        <w:t>45</w:t>
      </w:r>
      <w:r>
        <w:rPr>
          <w:color w:val="231F20"/>
          <w:vertAlign w:val="baseline"/>
        </w:rPr>
        <w:tab/>
        <w:t>Strachan,</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Gros,</w:t>
      </w:r>
      <w:r>
        <w:rPr>
          <w:color w:val="231F20"/>
          <w:spacing w:val="-5"/>
          <w:vertAlign w:val="baseline"/>
        </w:rPr>
        <w:t> </w:t>
      </w:r>
      <w:r>
        <w:rPr>
          <w:color w:val="231F20"/>
          <w:vertAlign w:val="baseline"/>
        </w:rPr>
        <w:t>D.</w:t>
      </w:r>
      <w:r>
        <w:rPr>
          <w:color w:val="231F20"/>
          <w:spacing w:val="-5"/>
          <w:vertAlign w:val="baseline"/>
        </w:rPr>
        <w:t> </w:t>
      </w:r>
      <w:r>
        <w:rPr>
          <w:color w:val="231F20"/>
          <w:vertAlign w:val="baseline"/>
        </w:rPr>
        <w:t>F.,</w:t>
      </w:r>
      <w:r>
        <w:rPr>
          <w:color w:val="231F20"/>
          <w:spacing w:val="-3"/>
          <w:vertAlign w:val="baseline"/>
        </w:rPr>
        <w:t> </w:t>
      </w:r>
      <w:r>
        <w:rPr>
          <w:color w:val="231F20"/>
          <w:vertAlign w:val="baseline"/>
        </w:rPr>
        <w:t>Ruggiero,</w:t>
      </w:r>
      <w:r>
        <w:rPr>
          <w:color w:val="231F20"/>
          <w:spacing w:val="-4"/>
          <w:vertAlign w:val="baseline"/>
        </w:rPr>
        <w:t> </w:t>
      </w:r>
      <w:r>
        <w:rPr>
          <w:color w:val="231F20"/>
          <w:vertAlign w:val="baseline"/>
        </w:rPr>
        <w:t>K.</w:t>
      </w:r>
      <w:r>
        <w:rPr>
          <w:color w:val="231F20"/>
          <w:spacing w:val="-5"/>
          <w:vertAlign w:val="baseline"/>
        </w:rPr>
        <w:t> </w:t>
      </w:r>
      <w:r>
        <w:rPr>
          <w:color w:val="231F20"/>
          <w:vertAlign w:val="baseline"/>
        </w:rPr>
        <w:t>J.,</w:t>
      </w:r>
      <w:r>
        <w:rPr>
          <w:color w:val="231F20"/>
          <w:spacing w:val="-5"/>
          <w:vertAlign w:val="baseline"/>
        </w:rPr>
        <w:t> </w:t>
      </w:r>
      <w:r>
        <w:rPr>
          <w:color w:val="231F20"/>
          <w:vertAlign w:val="baseline"/>
        </w:rPr>
        <w:t>Lejuez,</w:t>
      </w:r>
      <w:r>
        <w:rPr>
          <w:color w:val="231F20"/>
          <w:spacing w:val="-4"/>
          <w:vertAlign w:val="baseline"/>
        </w:rPr>
        <w:t> </w:t>
      </w:r>
      <w:r>
        <w:rPr>
          <w:color w:val="231F20"/>
          <w:vertAlign w:val="baseline"/>
        </w:rPr>
        <w:t>C.</w:t>
      </w:r>
      <w:r>
        <w:rPr>
          <w:color w:val="231F20"/>
          <w:spacing w:val="-52"/>
          <w:vertAlign w:val="baseline"/>
        </w:rPr>
        <w:t> </w:t>
      </w:r>
      <w:r>
        <w:rPr>
          <w:color w:val="231F20"/>
          <w:spacing w:val="-1"/>
          <w:vertAlign w:val="baseline"/>
        </w:rPr>
        <w:t>W., &amp; Acierno, R. (2012). An </w:t>
      </w:r>
      <w:r>
        <w:rPr>
          <w:color w:val="231F20"/>
          <w:vertAlign w:val="baseline"/>
        </w:rPr>
        <w:t>integrated approach to</w:t>
      </w:r>
      <w:r>
        <w:rPr>
          <w:color w:val="231F20"/>
          <w:spacing w:val="-52"/>
          <w:vertAlign w:val="baseline"/>
        </w:rPr>
        <w:t> </w:t>
      </w:r>
      <w:r>
        <w:rPr>
          <w:color w:val="231F20"/>
          <w:vertAlign w:val="baseline"/>
        </w:rPr>
        <w:t>delivering</w:t>
      </w:r>
      <w:r>
        <w:rPr>
          <w:color w:val="231F20"/>
          <w:spacing w:val="5"/>
          <w:vertAlign w:val="baseline"/>
        </w:rPr>
        <w:t> </w:t>
      </w:r>
      <w:r>
        <w:rPr>
          <w:color w:val="231F20"/>
          <w:vertAlign w:val="baseline"/>
        </w:rPr>
        <w:t>exposure-based</w:t>
      </w:r>
      <w:r>
        <w:rPr>
          <w:color w:val="231F20"/>
          <w:spacing w:val="5"/>
          <w:vertAlign w:val="baseline"/>
        </w:rPr>
        <w:t> </w:t>
      </w:r>
      <w:r>
        <w:rPr>
          <w:color w:val="231F20"/>
          <w:vertAlign w:val="baseline"/>
        </w:rPr>
        <w:t>treatment</w:t>
      </w:r>
      <w:r>
        <w:rPr>
          <w:color w:val="231F20"/>
          <w:spacing w:val="5"/>
          <w:vertAlign w:val="baseline"/>
        </w:rPr>
        <w:t> </w:t>
      </w:r>
      <w:r>
        <w:rPr>
          <w:color w:val="231F20"/>
          <w:vertAlign w:val="baseline"/>
        </w:rPr>
        <w:t>for</w:t>
      </w:r>
      <w:r>
        <w:rPr>
          <w:color w:val="231F20"/>
          <w:spacing w:val="5"/>
          <w:vertAlign w:val="baseline"/>
        </w:rPr>
        <w:t> </w:t>
      </w:r>
      <w:r>
        <w:rPr>
          <w:color w:val="231F20"/>
          <w:vertAlign w:val="baseline"/>
        </w:rPr>
        <w:t>symptoms</w:t>
      </w:r>
      <w:r>
        <w:rPr>
          <w:color w:val="231F20"/>
          <w:spacing w:val="1"/>
          <w:vertAlign w:val="baseline"/>
        </w:rPr>
        <w:t> </w:t>
      </w:r>
      <w:r>
        <w:rPr>
          <w:color w:val="231F20"/>
          <w:vertAlign w:val="baseline"/>
        </w:rPr>
        <w:t>of PTSD and depression in OIF/OEF veterans:</w:t>
      </w:r>
      <w:r>
        <w:rPr>
          <w:color w:val="231F20"/>
          <w:spacing w:val="1"/>
          <w:vertAlign w:val="baseline"/>
        </w:rPr>
        <w:t> </w:t>
      </w:r>
      <w:r>
        <w:rPr>
          <w:color w:val="231F20"/>
          <w:vertAlign w:val="baseline"/>
        </w:rPr>
        <w:t>Preliminary findings. </w:t>
      </w:r>
      <w:r>
        <w:rPr>
          <w:i/>
          <w:color w:val="231F20"/>
          <w:vertAlign w:val="baseline"/>
        </w:rPr>
        <w:t>Behavior Therapy, 43</w:t>
      </w:r>
      <w:r>
        <w:rPr>
          <w:color w:val="231F20"/>
          <w:vertAlign w:val="baseline"/>
        </w:rPr>
        <w:t>(3), 560-</w:t>
      </w:r>
      <w:r>
        <w:rPr>
          <w:color w:val="231F20"/>
          <w:spacing w:val="1"/>
          <w:vertAlign w:val="baseline"/>
        </w:rPr>
        <w:t> </w:t>
      </w:r>
      <w:r>
        <w:rPr>
          <w:color w:val="231F20"/>
          <w:vertAlign w:val="baseline"/>
        </w:rPr>
        <w:t>569.</w:t>
      </w:r>
      <w:r>
        <w:rPr>
          <w:color w:val="231F20"/>
          <w:spacing w:val="-2"/>
          <w:vertAlign w:val="baseline"/>
        </w:rPr>
        <w:t> </w:t>
      </w:r>
      <w:hyperlink r:id="rId176">
        <w:r>
          <w:rPr>
            <w:color w:val="3953A4"/>
            <w:u w:val="single" w:color="3953A4"/>
            <w:vertAlign w:val="baseline"/>
          </w:rPr>
          <w:t>https://doi.org/10.1016/j.beth.2011.03.003</w:t>
        </w:r>
      </w:hyperlink>
    </w:p>
    <w:p>
      <w:pPr>
        <w:pStyle w:val="BodyText"/>
        <w:tabs>
          <w:tab w:pos="479" w:val="left" w:leader="none"/>
        </w:tabs>
        <w:spacing w:line="228" w:lineRule="auto" w:before="88"/>
        <w:ind w:left="480" w:right="776" w:hanging="360"/>
      </w:pPr>
      <w:r>
        <w:rPr>
          <w:color w:val="231F20"/>
          <w:vertAlign w:val="superscript"/>
        </w:rPr>
        <w:t>46</w:t>
      </w:r>
      <w:r>
        <w:rPr>
          <w:color w:val="231F20"/>
          <w:vertAlign w:val="baseline"/>
        </w:rPr>
        <w:tab/>
        <w:t>Fenn,</w:t>
      </w:r>
      <w:r>
        <w:rPr>
          <w:color w:val="231F20"/>
          <w:spacing w:val="-2"/>
          <w:vertAlign w:val="baseline"/>
        </w:rPr>
        <w:t> </w:t>
      </w:r>
      <w:r>
        <w:rPr>
          <w:color w:val="231F20"/>
          <w:vertAlign w:val="baseline"/>
        </w:rPr>
        <w:t>K.,</w:t>
      </w:r>
      <w:r>
        <w:rPr>
          <w:color w:val="231F20"/>
          <w:spacing w:val="-2"/>
          <w:vertAlign w:val="baseline"/>
        </w:rPr>
        <w:t> </w:t>
      </w:r>
      <w:r>
        <w:rPr>
          <w:color w:val="231F20"/>
          <w:vertAlign w:val="baseline"/>
        </w:rPr>
        <w:t>&amp;</w:t>
      </w:r>
      <w:r>
        <w:rPr>
          <w:color w:val="231F20"/>
          <w:spacing w:val="-2"/>
          <w:vertAlign w:val="baseline"/>
        </w:rPr>
        <w:t> </w:t>
      </w:r>
      <w:r>
        <w:rPr>
          <w:color w:val="231F20"/>
          <w:vertAlign w:val="baseline"/>
        </w:rPr>
        <w:t>Byrne,</w:t>
      </w:r>
      <w:r>
        <w:rPr>
          <w:color w:val="231F20"/>
          <w:spacing w:val="-1"/>
          <w:vertAlign w:val="baseline"/>
        </w:rPr>
        <w:t> </w:t>
      </w:r>
      <w:r>
        <w:rPr>
          <w:color w:val="231F20"/>
          <w:vertAlign w:val="baseline"/>
        </w:rPr>
        <w:t>M.</w:t>
      </w:r>
      <w:r>
        <w:rPr>
          <w:color w:val="231F20"/>
          <w:spacing w:val="-2"/>
          <w:vertAlign w:val="baseline"/>
        </w:rPr>
        <w:t> </w:t>
      </w:r>
      <w:r>
        <w:rPr>
          <w:color w:val="231F20"/>
          <w:vertAlign w:val="baseline"/>
        </w:rPr>
        <w:t>(2013).</w:t>
      </w:r>
      <w:r>
        <w:rPr>
          <w:color w:val="231F20"/>
          <w:spacing w:val="-6"/>
          <w:vertAlign w:val="baseline"/>
        </w:rPr>
        <w:t> </w:t>
      </w:r>
      <w:r>
        <w:rPr>
          <w:color w:val="231F20"/>
          <w:vertAlign w:val="baseline"/>
        </w:rPr>
        <w:t>The</w:t>
      </w:r>
      <w:r>
        <w:rPr>
          <w:color w:val="231F20"/>
          <w:spacing w:val="-2"/>
          <w:vertAlign w:val="baseline"/>
        </w:rPr>
        <w:t> </w:t>
      </w:r>
      <w:r>
        <w:rPr>
          <w:color w:val="231F20"/>
          <w:vertAlign w:val="baseline"/>
        </w:rPr>
        <w:t>key</w:t>
      </w:r>
      <w:r>
        <w:rPr>
          <w:color w:val="231F20"/>
          <w:spacing w:val="-1"/>
          <w:vertAlign w:val="baseline"/>
        </w:rPr>
        <w:t> </w:t>
      </w:r>
      <w:r>
        <w:rPr>
          <w:color w:val="231F20"/>
          <w:vertAlign w:val="baseline"/>
        </w:rPr>
        <w:t>principles</w:t>
      </w:r>
      <w:r>
        <w:rPr>
          <w:color w:val="231F20"/>
          <w:spacing w:val="-2"/>
          <w:vertAlign w:val="baseline"/>
        </w:rPr>
        <w:t> </w:t>
      </w:r>
      <w:r>
        <w:rPr>
          <w:color w:val="231F20"/>
          <w:vertAlign w:val="baseline"/>
        </w:rPr>
        <w:t>of</w:t>
      </w:r>
      <w:r>
        <w:rPr>
          <w:color w:val="231F20"/>
          <w:spacing w:val="-52"/>
          <w:vertAlign w:val="baseline"/>
        </w:rPr>
        <w:t> </w:t>
      </w:r>
      <w:r>
        <w:rPr>
          <w:color w:val="231F20"/>
          <w:vertAlign w:val="baseline"/>
        </w:rPr>
        <w:t>cognitive behavioural therapy. </w:t>
      </w:r>
      <w:r>
        <w:rPr>
          <w:i/>
          <w:color w:val="231F20"/>
          <w:vertAlign w:val="baseline"/>
        </w:rPr>
        <w:t>InnovAiT, 6</w:t>
      </w:r>
      <w:r>
        <w:rPr>
          <w:color w:val="231F20"/>
          <w:vertAlign w:val="baseline"/>
        </w:rPr>
        <w:t>(9), 579-</w:t>
      </w:r>
      <w:r>
        <w:rPr>
          <w:color w:val="231F20"/>
          <w:spacing w:val="1"/>
          <w:vertAlign w:val="baseline"/>
        </w:rPr>
        <w:t> </w:t>
      </w:r>
      <w:r>
        <w:rPr>
          <w:color w:val="231F20"/>
          <w:vertAlign w:val="baseline"/>
        </w:rPr>
        <w:t>585.</w:t>
      </w:r>
      <w:r>
        <w:rPr>
          <w:color w:val="231F20"/>
          <w:spacing w:val="-2"/>
          <w:vertAlign w:val="baseline"/>
        </w:rPr>
        <w:t> </w:t>
      </w:r>
      <w:hyperlink r:id="rId177">
        <w:r>
          <w:rPr>
            <w:color w:val="3953A4"/>
            <w:u w:val="single" w:color="3953A4"/>
            <w:vertAlign w:val="baseline"/>
          </w:rPr>
          <w:t>https://doi.org/10.1177/1755738012471029</w:t>
        </w:r>
      </w:hyperlink>
    </w:p>
    <w:p>
      <w:pPr>
        <w:tabs>
          <w:tab w:pos="479" w:val="left" w:leader="none"/>
        </w:tabs>
        <w:spacing w:line="228" w:lineRule="auto" w:before="89"/>
        <w:ind w:left="480" w:right="980" w:hanging="360"/>
        <w:jc w:val="left"/>
        <w:rPr>
          <w:sz w:val="22"/>
        </w:rPr>
      </w:pPr>
      <w:r>
        <w:rPr>
          <w:color w:val="231F20"/>
          <w:sz w:val="22"/>
          <w:vertAlign w:val="superscript"/>
        </w:rPr>
        <w:t>47</w:t>
      </w:r>
      <w:r>
        <w:rPr>
          <w:color w:val="231F20"/>
          <w:sz w:val="22"/>
          <w:vertAlign w:val="baseline"/>
        </w:rPr>
        <w:tab/>
        <w:t>American Psychological Association. (2021).</w:t>
      </w:r>
      <w:r>
        <w:rPr>
          <w:color w:val="231F20"/>
          <w:spacing w:val="1"/>
          <w:sz w:val="22"/>
          <w:vertAlign w:val="baseline"/>
        </w:rPr>
        <w:t> </w:t>
      </w:r>
      <w:r>
        <w:rPr>
          <w:i/>
          <w:color w:val="231F20"/>
          <w:sz w:val="22"/>
          <w:vertAlign w:val="baseline"/>
        </w:rPr>
        <w:t>Cognitive behavioral therapy (CBT)</w:t>
      </w:r>
      <w:r>
        <w:rPr>
          <w:color w:val="231F20"/>
          <w:sz w:val="22"/>
          <w:vertAlign w:val="baseline"/>
        </w:rPr>
        <w:t>. </w:t>
      </w:r>
      <w:hyperlink r:id="rId178">
        <w:r>
          <w:rPr>
            <w:color w:val="3953A4"/>
            <w:sz w:val="22"/>
            <w:u w:val="single" w:color="3953A4"/>
            <w:vertAlign w:val="baseline"/>
          </w:rPr>
          <w:t>https://</w:t>
        </w:r>
      </w:hyperlink>
      <w:r>
        <w:rPr>
          <w:color w:val="3953A4"/>
          <w:spacing w:val="1"/>
          <w:sz w:val="22"/>
          <w:vertAlign w:val="baseline"/>
        </w:rPr>
        <w:t> </w:t>
      </w:r>
      <w:hyperlink r:id="rId178">
        <w:r>
          <w:rPr>
            <w:color w:val="3953A4"/>
            <w:spacing w:val="-1"/>
            <w:sz w:val="22"/>
            <w:u w:val="single" w:color="3953A4"/>
            <w:vertAlign w:val="baseline"/>
          </w:rPr>
          <w:t>www.apa.org/ptsd-guideline/treatments/cognitive-</w:t>
        </w:r>
      </w:hyperlink>
      <w:r>
        <w:rPr>
          <w:color w:val="3953A4"/>
          <w:spacing w:val="-52"/>
          <w:sz w:val="22"/>
          <w:vertAlign w:val="baseline"/>
        </w:rPr>
        <w:t> </w:t>
      </w:r>
      <w:hyperlink r:id="rId178">
        <w:r>
          <w:rPr>
            <w:color w:val="3953A4"/>
            <w:sz w:val="22"/>
            <w:u w:val="single" w:color="3953A4"/>
            <w:vertAlign w:val="baseline"/>
          </w:rPr>
          <w:t>behavioral-therapy</w:t>
        </w:r>
      </w:hyperlink>
    </w:p>
    <w:p>
      <w:pPr>
        <w:pStyle w:val="BodyText"/>
        <w:tabs>
          <w:tab w:pos="479" w:val="left" w:leader="none"/>
        </w:tabs>
        <w:spacing w:line="228" w:lineRule="auto" w:before="89"/>
        <w:ind w:left="480" w:right="747" w:hanging="360"/>
      </w:pPr>
      <w:r>
        <w:rPr>
          <w:color w:val="231F20"/>
          <w:vertAlign w:val="superscript"/>
        </w:rPr>
        <w:t>48</w:t>
      </w:r>
      <w:r>
        <w:rPr>
          <w:color w:val="231F20"/>
          <w:vertAlign w:val="baseline"/>
        </w:rPr>
        <w:tab/>
        <w:t>Anxiety and Depression Association of America.</w:t>
      </w:r>
      <w:r>
        <w:rPr>
          <w:color w:val="231F20"/>
          <w:spacing w:val="1"/>
          <w:vertAlign w:val="baseline"/>
        </w:rPr>
        <w:t> </w:t>
      </w:r>
      <w:r>
        <w:rPr>
          <w:color w:val="231F20"/>
          <w:vertAlign w:val="baseline"/>
        </w:rPr>
        <w:t>(2020). </w:t>
      </w:r>
      <w:r>
        <w:rPr>
          <w:i/>
          <w:color w:val="231F20"/>
          <w:vertAlign w:val="baseline"/>
        </w:rPr>
        <w:t>PTSD facts &amp; treatment</w:t>
      </w:r>
      <w:r>
        <w:rPr>
          <w:color w:val="231F20"/>
          <w:vertAlign w:val="baseline"/>
        </w:rPr>
        <w:t>. </w:t>
      </w:r>
      <w:hyperlink r:id="rId179">
        <w:r>
          <w:rPr>
            <w:color w:val="3953A4"/>
            <w:u w:val="single" w:color="3953A4"/>
            <w:vertAlign w:val="baseline"/>
          </w:rPr>
          <w:t>https://adaa.org/</w:t>
        </w:r>
      </w:hyperlink>
      <w:r>
        <w:rPr>
          <w:color w:val="3953A4"/>
          <w:spacing w:val="1"/>
          <w:vertAlign w:val="baseline"/>
        </w:rPr>
        <w:t> </w:t>
      </w:r>
      <w:hyperlink r:id="rId179">
        <w:r>
          <w:rPr>
            <w:color w:val="3953A4"/>
            <w:spacing w:val="-1"/>
            <w:u w:val="single" w:color="3953A4"/>
            <w:vertAlign w:val="baseline"/>
          </w:rPr>
          <w:t>understanding-anxiety/posttraumatic-stress-disorder-</w:t>
        </w:r>
      </w:hyperlink>
      <w:r>
        <w:rPr>
          <w:color w:val="3953A4"/>
          <w:spacing w:val="-52"/>
          <w:vertAlign w:val="baseline"/>
        </w:rPr>
        <w:t> </w:t>
      </w:r>
      <w:hyperlink r:id="rId179">
        <w:r>
          <w:rPr>
            <w:color w:val="3953A4"/>
            <w:u w:val="single" w:color="3953A4"/>
            <w:vertAlign w:val="baseline"/>
          </w:rPr>
          <w:t>ptsd/treatment</w:t>
        </w:r>
      </w:hyperlink>
    </w:p>
    <w:p>
      <w:pPr>
        <w:pStyle w:val="BodyText"/>
        <w:tabs>
          <w:tab w:pos="479" w:val="left" w:leader="none"/>
        </w:tabs>
        <w:spacing w:line="228" w:lineRule="auto" w:before="88"/>
        <w:ind w:left="480" w:right="717" w:hanging="360"/>
      </w:pPr>
      <w:r>
        <w:rPr>
          <w:color w:val="231F20"/>
          <w:vertAlign w:val="superscript"/>
        </w:rPr>
        <w:t>49</w:t>
      </w:r>
      <w:r>
        <w:rPr>
          <w:color w:val="231F20"/>
          <w:vertAlign w:val="baseline"/>
        </w:rPr>
        <w:tab/>
        <w:t>Mohr, D. C., Ho, J., Duffecy, J., Reifler, D., Sokol,</w:t>
      </w:r>
      <w:r>
        <w:rPr>
          <w:color w:val="231F20"/>
          <w:spacing w:val="1"/>
          <w:vertAlign w:val="baseline"/>
        </w:rPr>
        <w:t> </w:t>
      </w:r>
      <w:r>
        <w:rPr>
          <w:color w:val="231F20"/>
          <w:vertAlign w:val="baseline"/>
        </w:rPr>
        <w:t>L., Burns, M. N., Jin, L., &amp; Siddique, J. (2012).</w:t>
      </w:r>
      <w:r>
        <w:rPr>
          <w:color w:val="231F20"/>
          <w:spacing w:val="1"/>
          <w:vertAlign w:val="baseline"/>
        </w:rPr>
        <w:t> </w:t>
      </w:r>
      <w:r>
        <w:rPr>
          <w:color w:val="231F20"/>
          <w:vertAlign w:val="baseline"/>
        </w:rPr>
        <w:t>Effect of telephone-administered vs face-to-face</w:t>
      </w:r>
      <w:r>
        <w:rPr>
          <w:color w:val="231F20"/>
          <w:spacing w:val="1"/>
          <w:vertAlign w:val="baseline"/>
        </w:rPr>
        <w:t> </w:t>
      </w:r>
      <w:r>
        <w:rPr>
          <w:color w:val="231F20"/>
          <w:vertAlign w:val="baseline"/>
        </w:rPr>
        <w:t>cognitive behavioral therapy on adherence to therapy</w:t>
      </w:r>
      <w:r>
        <w:rPr>
          <w:color w:val="231F20"/>
          <w:spacing w:val="-52"/>
          <w:vertAlign w:val="baseline"/>
        </w:rPr>
        <w:t> </w:t>
      </w:r>
      <w:r>
        <w:rPr>
          <w:color w:val="231F20"/>
          <w:vertAlign w:val="baseline"/>
        </w:rPr>
        <w:t>and depression outcomes among primary care</w:t>
      </w:r>
      <w:r>
        <w:rPr>
          <w:color w:val="231F20"/>
          <w:spacing w:val="1"/>
          <w:vertAlign w:val="baseline"/>
        </w:rPr>
        <w:t> </w:t>
      </w:r>
      <w:r>
        <w:rPr>
          <w:color w:val="231F20"/>
          <w:vertAlign w:val="baseline"/>
        </w:rPr>
        <w:t>patients: A randomized trial. </w:t>
      </w:r>
      <w:r>
        <w:rPr>
          <w:i/>
          <w:color w:val="231F20"/>
          <w:vertAlign w:val="baseline"/>
        </w:rPr>
        <w:t>JAMA, 307</w:t>
      </w:r>
      <w:r>
        <w:rPr>
          <w:color w:val="231F20"/>
          <w:vertAlign w:val="baseline"/>
        </w:rPr>
        <w:t>(21), 2278-</w:t>
      </w:r>
      <w:r>
        <w:rPr>
          <w:color w:val="231F20"/>
          <w:spacing w:val="1"/>
          <w:vertAlign w:val="baseline"/>
        </w:rPr>
        <w:t> </w:t>
      </w:r>
      <w:r>
        <w:rPr>
          <w:color w:val="231F20"/>
          <w:vertAlign w:val="baseline"/>
        </w:rPr>
        <w:t>2285.</w:t>
      </w:r>
      <w:r>
        <w:rPr>
          <w:color w:val="231F20"/>
          <w:spacing w:val="-1"/>
          <w:vertAlign w:val="baseline"/>
        </w:rPr>
        <w:t> </w:t>
      </w:r>
      <w:hyperlink r:id="rId180">
        <w:r>
          <w:rPr>
            <w:color w:val="3953A4"/>
            <w:u w:val="single" w:color="3953A4"/>
            <w:vertAlign w:val="baseline"/>
          </w:rPr>
          <w:t>https://doi.org/10.1001/jama.2012.5588</w:t>
        </w:r>
      </w:hyperlink>
    </w:p>
    <w:p>
      <w:pPr>
        <w:pStyle w:val="BodyText"/>
        <w:tabs>
          <w:tab w:pos="479" w:val="left" w:leader="none"/>
        </w:tabs>
        <w:spacing w:line="246" w:lineRule="exact" w:before="78"/>
        <w:ind w:left="120"/>
      </w:pPr>
      <w:r>
        <w:rPr>
          <w:color w:val="231F20"/>
          <w:vertAlign w:val="superscript"/>
        </w:rPr>
        <w:t>50</w:t>
      </w:r>
      <w:r>
        <w:rPr>
          <w:color w:val="231F20"/>
          <w:vertAlign w:val="baseline"/>
        </w:rPr>
        <w:tab/>
      </w:r>
      <w:r>
        <w:rPr>
          <w:color w:val="231F20"/>
          <w:spacing w:val="-1"/>
          <w:vertAlign w:val="baseline"/>
        </w:rPr>
        <w:t>Dwight-Johnson,</w:t>
      </w:r>
      <w:r>
        <w:rPr>
          <w:color w:val="231F20"/>
          <w:spacing w:val="2"/>
          <w:vertAlign w:val="baseline"/>
        </w:rPr>
        <w:t> </w:t>
      </w:r>
      <w:r>
        <w:rPr>
          <w:color w:val="231F20"/>
          <w:vertAlign w:val="baseline"/>
        </w:rPr>
        <w:t>M.,</w:t>
      </w:r>
      <w:r>
        <w:rPr>
          <w:color w:val="231F20"/>
          <w:spacing w:val="-10"/>
          <w:vertAlign w:val="baseline"/>
        </w:rPr>
        <w:t> </w:t>
      </w:r>
      <w:r>
        <w:rPr>
          <w:color w:val="231F20"/>
          <w:vertAlign w:val="baseline"/>
        </w:rPr>
        <w:t>Aisenberg,</w:t>
      </w:r>
      <w:r>
        <w:rPr>
          <w:color w:val="231F20"/>
          <w:spacing w:val="3"/>
          <w:vertAlign w:val="baseline"/>
        </w:rPr>
        <w:t> </w:t>
      </w:r>
      <w:r>
        <w:rPr>
          <w:color w:val="231F20"/>
          <w:vertAlign w:val="baseline"/>
        </w:rPr>
        <w:t>E.,</w:t>
      </w:r>
      <w:r>
        <w:rPr>
          <w:color w:val="231F20"/>
          <w:spacing w:val="2"/>
          <w:vertAlign w:val="baseline"/>
        </w:rPr>
        <w:t> </w:t>
      </w:r>
      <w:r>
        <w:rPr>
          <w:color w:val="231F20"/>
          <w:vertAlign w:val="baseline"/>
        </w:rPr>
        <w:t>Golinelli,</w:t>
      </w:r>
    </w:p>
    <w:p>
      <w:pPr>
        <w:pStyle w:val="BodyText"/>
        <w:spacing w:line="228" w:lineRule="auto" w:before="4"/>
        <w:ind w:left="480" w:right="967"/>
      </w:pPr>
      <w:r>
        <w:rPr>
          <w:color w:val="231F20"/>
        </w:rPr>
        <w:t>D., Hong, S., O’Brien, M., &amp; Ludman, E. (2011).</w:t>
      </w:r>
      <w:r>
        <w:rPr>
          <w:color w:val="231F20"/>
          <w:spacing w:val="1"/>
        </w:rPr>
        <w:t> </w:t>
      </w:r>
      <w:r>
        <w:rPr>
          <w:color w:val="231F20"/>
        </w:rPr>
        <w:t>Telephone-based cognitive-behavioral therapy for</w:t>
      </w:r>
      <w:r>
        <w:rPr>
          <w:color w:val="231F20"/>
          <w:spacing w:val="-52"/>
        </w:rPr>
        <w:t> </w:t>
      </w:r>
      <w:r>
        <w:rPr>
          <w:color w:val="231F20"/>
          <w:spacing w:val="-1"/>
        </w:rPr>
        <w:t>Latino patients</w:t>
      </w:r>
      <w:r>
        <w:rPr>
          <w:color w:val="231F20"/>
        </w:rPr>
        <w:t> living in rural areas:</w:t>
      </w:r>
      <w:r>
        <w:rPr>
          <w:color w:val="231F20"/>
          <w:spacing w:val="-13"/>
        </w:rPr>
        <w:t> </w:t>
      </w:r>
      <w:r>
        <w:rPr>
          <w:color w:val="231F20"/>
        </w:rPr>
        <w:t>A</w:t>
      </w:r>
      <w:r>
        <w:rPr>
          <w:color w:val="231F20"/>
          <w:spacing w:val="-13"/>
        </w:rPr>
        <w:t> </w:t>
      </w:r>
      <w:r>
        <w:rPr>
          <w:color w:val="231F20"/>
        </w:rPr>
        <w:t>randomized</w:t>
      </w:r>
      <w:r>
        <w:rPr>
          <w:color w:val="231F20"/>
          <w:spacing w:val="-52"/>
        </w:rPr>
        <w:t> </w:t>
      </w:r>
      <w:r>
        <w:rPr>
          <w:color w:val="231F20"/>
        </w:rPr>
        <w:t>pilot study. </w:t>
      </w:r>
      <w:r>
        <w:rPr>
          <w:i/>
          <w:color w:val="231F20"/>
        </w:rPr>
        <w:t>Psychiatric Services, 62</w:t>
      </w:r>
      <w:r>
        <w:rPr>
          <w:color w:val="231F20"/>
        </w:rPr>
        <w:t>(8), 936-942.</w:t>
      </w:r>
      <w:r>
        <w:rPr>
          <w:color w:val="3953A4"/>
          <w:spacing w:val="1"/>
        </w:rPr>
        <w:t> </w:t>
      </w:r>
      <w:hyperlink r:id="rId181">
        <w:r>
          <w:rPr>
            <w:color w:val="3953A4"/>
            <w:u w:val="single" w:color="3953A4"/>
          </w:rPr>
          <w:t>https://doi.org/10.1176/ps.62.8.pss6208_0936</w:t>
        </w:r>
      </w:hyperlink>
    </w:p>
    <w:p>
      <w:pPr>
        <w:pStyle w:val="BodyText"/>
        <w:tabs>
          <w:tab w:pos="479" w:val="left" w:leader="none"/>
        </w:tabs>
        <w:spacing w:line="246" w:lineRule="exact" w:before="78"/>
        <w:ind w:left="120"/>
      </w:pPr>
      <w:r>
        <w:rPr>
          <w:color w:val="231F20"/>
          <w:vertAlign w:val="superscript"/>
        </w:rPr>
        <w:t>51</w:t>
      </w:r>
      <w:r>
        <w:rPr>
          <w:color w:val="231F20"/>
          <w:vertAlign w:val="baseline"/>
        </w:rPr>
        <w:tab/>
        <w:t>Littleton,</w:t>
      </w:r>
      <w:r>
        <w:rPr>
          <w:color w:val="231F20"/>
          <w:spacing w:val="-1"/>
          <w:vertAlign w:val="baseline"/>
        </w:rPr>
        <w:t> </w:t>
      </w:r>
      <w:r>
        <w:rPr>
          <w:color w:val="231F20"/>
          <w:vertAlign w:val="baseline"/>
        </w:rPr>
        <w:t>H., Grills,</w:t>
      </w:r>
      <w:r>
        <w:rPr>
          <w:color w:val="231F20"/>
          <w:spacing w:val="-13"/>
          <w:vertAlign w:val="baseline"/>
        </w:rPr>
        <w:t> </w:t>
      </w:r>
      <w:r>
        <w:rPr>
          <w:color w:val="231F20"/>
          <w:vertAlign w:val="baseline"/>
        </w:rPr>
        <w:t>A. E., Kline, K. D., Schoemann,</w:t>
      </w:r>
    </w:p>
    <w:p>
      <w:pPr>
        <w:pStyle w:val="ListParagraph"/>
        <w:numPr>
          <w:ilvl w:val="0"/>
          <w:numId w:val="50"/>
        </w:numPr>
        <w:tabs>
          <w:tab w:pos="749" w:val="left" w:leader="none"/>
        </w:tabs>
        <w:spacing w:line="228" w:lineRule="auto" w:before="4" w:after="0"/>
        <w:ind w:left="480" w:right="913" w:firstLine="0"/>
        <w:jc w:val="left"/>
        <w:rPr>
          <w:sz w:val="22"/>
        </w:rPr>
      </w:pPr>
      <w:r>
        <w:rPr>
          <w:color w:val="231F20"/>
          <w:sz w:val="22"/>
        </w:rPr>
        <w:t>M.,</w:t>
      </w:r>
      <w:r>
        <w:rPr>
          <w:color w:val="231F20"/>
          <w:spacing w:val="2"/>
          <w:sz w:val="22"/>
        </w:rPr>
        <w:t> </w:t>
      </w:r>
      <w:r>
        <w:rPr>
          <w:color w:val="231F20"/>
          <w:sz w:val="22"/>
        </w:rPr>
        <w:t>&amp;</w:t>
      </w:r>
      <w:r>
        <w:rPr>
          <w:color w:val="231F20"/>
          <w:spacing w:val="2"/>
          <w:sz w:val="22"/>
        </w:rPr>
        <w:t> </w:t>
      </w:r>
      <w:r>
        <w:rPr>
          <w:color w:val="231F20"/>
          <w:sz w:val="22"/>
        </w:rPr>
        <w:t>Dodd,</w:t>
      </w:r>
      <w:r>
        <w:rPr>
          <w:color w:val="231F20"/>
          <w:spacing w:val="2"/>
          <w:sz w:val="22"/>
        </w:rPr>
        <w:t> </w:t>
      </w:r>
      <w:r>
        <w:rPr>
          <w:color w:val="231F20"/>
          <w:sz w:val="22"/>
        </w:rPr>
        <w:t>J.</w:t>
      </w:r>
      <w:r>
        <w:rPr>
          <w:color w:val="231F20"/>
          <w:spacing w:val="3"/>
          <w:sz w:val="22"/>
        </w:rPr>
        <w:t> </w:t>
      </w:r>
      <w:r>
        <w:rPr>
          <w:color w:val="231F20"/>
          <w:sz w:val="22"/>
        </w:rPr>
        <w:t>C.</w:t>
      </w:r>
      <w:r>
        <w:rPr>
          <w:color w:val="231F20"/>
          <w:spacing w:val="2"/>
          <w:sz w:val="22"/>
        </w:rPr>
        <w:t> </w:t>
      </w:r>
      <w:r>
        <w:rPr>
          <w:color w:val="231F20"/>
          <w:sz w:val="22"/>
        </w:rPr>
        <w:t>(2016).</w:t>
      </w:r>
      <w:r>
        <w:rPr>
          <w:color w:val="231F20"/>
          <w:spacing w:val="-2"/>
          <w:sz w:val="22"/>
        </w:rPr>
        <w:t> </w:t>
      </w:r>
      <w:r>
        <w:rPr>
          <w:color w:val="231F20"/>
          <w:sz w:val="22"/>
        </w:rPr>
        <w:t>The</w:t>
      </w:r>
      <w:r>
        <w:rPr>
          <w:color w:val="231F20"/>
          <w:spacing w:val="3"/>
          <w:sz w:val="22"/>
        </w:rPr>
        <w:t> </w:t>
      </w:r>
      <w:r>
        <w:rPr>
          <w:color w:val="231F20"/>
          <w:sz w:val="22"/>
        </w:rPr>
        <w:t>From</w:t>
      </w:r>
      <w:r>
        <w:rPr>
          <w:color w:val="231F20"/>
          <w:spacing w:val="2"/>
          <w:sz w:val="22"/>
        </w:rPr>
        <w:t> </w:t>
      </w:r>
      <w:r>
        <w:rPr>
          <w:color w:val="231F20"/>
          <w:sz w:val="22"/>
        </w:rPr>
        <w:t>Survivor</w:t>
      </w:r>
      <w:r>
        <w:rPr>
          <w:color w:val="231F20"/>
          <w:spacing w:val="1"/>
          <w:sz w:val="22"/>
        </w:rPr>
        <w:t> </w:t>
      </w:r>
      <w:r>
        <w:rPr>
          <w:color w:val="231F20"/>
          <w:sz w:val="22"/>
        </w:rPr>
        <w:t>to Thriver program: RCT of an online therapist-</w:t>
      </w:r>
      <w:r>
        <w:rPr>
          <w:color w:val="231F20"/>
          <w:spacing w:val="1"/>
          <w:sz w:val="22"/>
        </w:rPr>
        <w:t> </w:t>
      </w:r>
      <w:r>
        <w:rPr>
          <w:color w:val="231F20"/>
          <w:sz w:val="22"/>
        </w:rPr>
        <w:t>facilitated program for rape-related PTSD. </w:t>
      </w:r>
      <w:r>
        <w:rPr>
          <w:i/>
          <w:color w:val="231F20"/>
          <w:sz w:val="22"/>
        </w:rPr>
        <w:t>Journal</w:t>
      </w:r>
      <w:r>
        <w:rPr>
          <w:i/>
          <w:color w:val="231F20"/>
          <w:spacing w:val="-52"/>
          <w:sz w:val="22"/>
        </w:rPr>
        <w:t> </w:t>
      </w:r>
      <w:r>
        <w:rPr>
          <w:i/>
          <w:color w:val="231F20"/>
          <w:sz w:val="22"/>
        </w:rPr>
        <w:t>of Anxiety Disorders, 43</w:t>
      </w:r>
      <w:r>
        <w:rPr>
          <w:color w:val="231F20"/>
          <w:sz w:val="22"/>
        </w:rPr>
        <w:t>, 41-51.</w:t>
      </w:r>
      <w:r>
        <w:rPr>
          <w:color w:val="3953A4"/>
          <w:sz w:val="22"/>
        </w:rPr>
        <w:t> </w:t>
      </w:r>
      <w:hyperlink r:id="rId182">
        <w:r>
          <w:rPr>
            <w:color w:val="3953A4"/>
            <w:sz w:val="22"/>
            <w:u w:val="single" w:color="3953A4"/>
          </w:rPr>
          <w:t>https://doi.</w:t>
        </w:r>
      </w:hyperlink>
      <w:r>
        <w:rPr>
          <w:color w:val="3953A4"/>
          <w:spacing w:val="1"/>
          <w:sz w:val="22"/>
        </w:rPr>
        <w:t> </w:t>
      </w:r>
      <w:hyperlink r:id="rId182">
        <w:r>
          <w:rPr>
            <w:color w:val="3953A4"/>
            <w:sz w:val="22"/>
            <w:u w:val="single" w:color="3953A4"/>
          </w:rPr>
          <w:t>org/10.1016/j.janxdis.2016.07.010</w:t>
        </w:r>
      </w:hyperlink>
    </w:p>
    <w:p>
      <w:pPr>
        <w:tabs>
          <w:tab w:pos="479" w:val="left" w:leader="none"/>
        </w:tabs>
        <w:spacing w:line="228" w:lineRule="auto" w:before="88"/>
        <w:ind w:left="480" w:right="741" w:hanging="360"/>
        <w:jc w:val="left"/>
        <w:rPr>
          <w:sz w:val="22"/>
        </w:rPr>
      </w:pPr>
      <w:r>
        <w:rPr>
          <w:color w:val="231F20"/>
          <w:sz w:val="22"/>
          <w:vertAlign w:val="superscript"/>
        </w:rPr>
        <w:t>52</w:t>
      </w:r>
      <w:r>
        <w:rPr>
          <w:color w:val="231F20"/>
          <w:sz w:val="22"/>
          <w:vertAlign w:val="baseline"/>
        </w:rPr>
        <w:tab/>
        <w:t>Resick, P.A. &amp; Monson, C. (2021). </w:t>
      </w:r>
      <w:r>
        <w:rPr>
          <w:i/>
          <w:color w:val="231F20"/>
          <w:sz w:val="22"/>
          <w:vertAlign w:val="baseline"/>
        </w:rPr>
        <w:t>Cognitive</w:t>
      </w:r>
      <w:r>
        <w:rPr>
          <w:i/>
          <w:color w:val="231F20"/>
          <w:spacing w:val="1"/>
          <w:sz w:val="22"/>
          <w:vertAlign w:val="baseline"/>
        </w:rPr>
        <w:t> </w:t>
      </w:r>
      <w:r>
        <w:rPr>
          <w:i/>
          <w:color w:val="231F20"/>
          <w:sz w:val="22"/>
          <w:vertAlign w:val="baseline"/>
        </w:rPr>
        <w:t>processing</w:t>
      </w:r>
      <w:r>
        <w:rPr>
          <w:i/>
          <w:color w:val="231F20"/>
          <w:spacing w:val="-8"/>
          <w:sz w:val="22"/>
          <w:vertAlign w:val="baseline"/>
        </w:rPr>
        <w:t> </w:t>
      </w:r>
      <w:r>
        <w:rPr>
          <w:i/>
          <w:color w:val="231F20"/>
          <w:sz w:val="22"/>
          <w:vertAlign w:val="baseline"/>
        </w:rPr>
        <w:t>therapy</w:t>
      </w:r>
      <w:r>
        <w:rPr>
          <w:i/>
          <w:color w:val="231F20"/>
          <w:spacing w:val="-8"/>
          <w:sz w:val="22"/>
          <w:vertAlign w:val="baseline"/>
        </w:rPr>
        <w:t> </w:t>
      </w:r>
      <w:r>
        <w:rPr>
          <w:i/>
          <w:color w:val="231F20"/>
          <w:sz w:val="22"/>
          <w:vertAlign w:val="baseline"/>
        </w:rPr>
        <w:t>for</w:t>
      </w:r>
      <w:r>
        <w:rPr>
          <w:i/>
          <w:color w:val="231F20"/>
          <w:spacing w:val="-8"/>
          <w:sz w:val="22"/>
          <w:vertAlign w:val="baseline"/>
        </w:rPr>
        <w:t> </w:t>
      </w:r>
      <w:r>
        <w:rPr>
          <w:i/>
          <w:color w:val="231F20"/>
          <w:sz w:val="22"/>
          <w:vertAlign w:val="baseline"/>
        </w:rPr>
        <w:t>posttraumatic</w:t>
      </w:r>
      <w:r>
        <w:rPr>
          <w:i/>
          <w:color w:val="231F20"/>
          <w:spacing w:val="-8"/>
          <w:sz w:val="22"/>
          <w:vertAlign w:val="baseline"/>
        </w:rPr>
        <w:t> </w:t>
      </w:r>
      <w:r>
        <w:rPr>
          <w:i/>
          <w:color w:val="231F20"/>
          <w:sz w:val="22"/>
          <w:vertAlign w:val="baseline"/>
        </w:rPr>
        <w:t>stress</w:t>
      </w:r>
      <w:r>
        <w:rPr>
          <w:i/>
          <w:color w:val="231F20"/>
          <w:spacing w:val="-8"/>
          <w:sz w:val="22"/>
          <w:vertAlign w:val="baseline"/>
        </w:rPr>
        <w:t> </w:t>
      </w:r>
      <w:r>
        <w:rPr>
          <w:i/>
          <w:color w:val="231F20"/>
          <w:sz w:val="22"/>
          <w:vertAlign w:val="baseline"/>
        </w:rPr>
        <w:t>disorder</w:t>
      </w:r>
      <w:r>
        <w:rPr>
          <w:color w:val="231F20"/>
          <w:sz w:val="22"/>
          <w:vertAlign w:val="baseline"/>
        </w:rPr>
        <w:t>.</w:t>
      </w:r>
      <w:r>
        <w:rPr>
          <w:color w:val="231F20"/>
          <w:spacing w:val="-52"/>
          <w:sz w:val="22"/>
          <w:vertAlign w:val="baseline"/>
        </w:rPr>
        <w:t> </w:t>
      </w:r>
      <w:hyperlink r:id="rId183">
        <w:r>
          <w:rPr>
            <w:color w:val="3953A4"/>
            <w:sz w:val="22"/>
            <w:u w:val="single" w:color="3953A4"/>
            <w:vertAlign w:val="baseline"/>
          </w:rPr>
          <w:t>https://cptforptsd.com/</w:t>
        </w:r>
      </w:hyperlink>
    </w:p>
    <w:p>
      <w:pPr>
        <w:tabs>
          <w:tab w:pos="479" w:val="left" w:leader="none"/>
        </w:tabs>
        <w:spacing w:line="228" w:lineRule="auto" w:before="89"/>
        <w:ind w:left="480" w:right="778" w:hanging="360"/>
        <w:jc w:val="left"/>
        <w:rPr>
          <w:sz w:val="22"/>
        </w:rPr>
      </w:pPr>
      <w:r>
        <w:rPr>
          <w:color w:val="231F20"/>
          <w:sz w:val="22"/>
          <w:vertAlign w:val="superscript"/>
        </w:rPr>
        <w:t>53</w:t>
      </w:r>
      <w:r>
        <w:rPr>
          <w:color w:val="231F20"/>
          <w:sz w:val="22"/>
          <w:vertAlign w:val="baseline"/>
        </w:rPr>
        <w:tab/>
      </w:r>
      <w:r>
        <w:rPr>
          <w:color w:val="231F20"/>
          <w:spacing w:val="-1"/>
          <w:sz w:val="22"/>
          <w:vertAlign w:val="baseline"/>
        </w:rPr>
        <w:t>Resnick, P. A., &amp; Schnicke, M. K. (1992). Cognitive</w:t>
      </w:r>
      <w:r>
        <w:rPr>
          <w:color w:val="231F20"/>
          <w:spacing w:val="-52"/>
          <w:sz w:val="22"/>
          <w:vertAlign w:val="baseline"/>
        </w:rPr>
        <w:t> </w:t>
      </w:r>
      <w:r>
        <w:rPr>
          <w:color w:val="231F20"/>
          <w:sz w:val="22"/>
          <w:vertAlign w:val="baseline"/>
        </w:rPr>
        <w:t>processing therapy for sexual assault victims.</w:t>
      </w:r>
      <w:r>
        <w:rPr>
          <w:color w:val="231F20"/>
          <w:spacing w:val="1"/>
          <w:sz w:val="22"/>
          <w:vertAlign w:val="baseline"/>
        </w:rPr>
        <w:t> </w:t>
      </w:r>
      <w:r>
        <w:rPr>
          <w:i/>
          <w:color w:val="231F20"/>
          <w:sz w:val="22"/>
          <w:vertAlign w:val="baseline"/>
        </w:rPr>
        <w:t>Journal</w:t>
      </w:r>
      <w:r>
        <w:rPr>
          <w:i/>
          <w:color w:val="231F20"/>
          <w:spacing w:val="-5"/>
          <w:sz w:val="22"/>
          <w:vertAlign w:val="baseline"/>
        </w:rPr>
        <w:t> </w:t>
      </w:r>
      <w:r>
        <w:rPr>
          <w:i/>
          <w:color w:val="231F20"/>
          <w:sz w:val="22"/>
          <w:vertAlign w:val="baseline"/>
        </w:rPr>
        <w:t>of</w:t>
      </w:r>
      <w:r>
        <w:rPr>
          <w:i/>
          <w:color w:val="231F20"/>
          <w:spacing w:val="-5"/>
          <w:sz w:val="22"/>
          <w:vertAlign w:val="baseline"/>
        </w:rPr>
        <w:t> </w:t>
      </w:r>
      <w:r>
        <w:rPr>
          <w:i/>
          <w:color w:val="231F20"/>
          <w:sz w:val="22"/>
          <w:vertAlign w:val="baseline"/>
        </w:rPr>
        <w:t>Consulting</w:t>
      </w:r>
      <w:r>
        <w:rPr>
          <w:i/>
          <w:color w:val="231F20"/>
          <w:spacing w:val="-5"/>
          <w:sz w:val="22"/>
          <w:vertAlign w:val="baseline"/>
        </w:rPr>
        <w:t> </w:t>
      </w:r>
      <w:r>
        <w:rPr>
          <w:i/>
          <w:color w:val="231F20"/>
          <w:sz w:val="22"/>
          <w:vertAlign w:val="baseline"/>
        </w:rPr>
        <w:t>&amp;</w:t>
      </w:r>
      <w:r>
        <w:rPr>
          <w:i/>
          <w:color w:val="231F20"/>
          <w:spacing w:val="-4"/>
          <w:sz w:val="22"/>
          <w:vertAlign w:val="baseline"/>
        </w:rPr>
        <w:t> </w:t>
      </w:r>
      <w:r>
        <w:rPr>
          <w:i/>
          <w:color w:val="231F20"/>
          <w:sz w:val="22"/>
          <w:vertAlign w:val="baseline"/>
        </w:rPr>
        <w:t>Clinical</w:t>
      </w:r>
      <w:r>
        <w:rPr>
          <w:i/>
          <w:color w:val="231F20"/>
          <w:spacing w:val="-5"/>
          <w:sz w:val="22"/>
          <w:vertAlign w:val="baseline"/>
        </w:rPr>
        <w:t> </w:t>
      </w:r>
      <w:r>
        <w:rPr>
          <w:i/>
          <w:color w:val="231F20"/>
          <w:sz w:val="22"/>
          <w:vertAlign w:val="baseline"/>
        </w:rPr>
        <w:t>Psychology,</w:t>
      </w:r>
      <w:r>
        <w:rPr>
          <w:i/>
          <w:color w:val="231F20"/>
          <w:spacing w:val="-5"/>
          <w:sz w:val="22"/>
          <w:vertAlign w:val="baseline"/>
        </w:rPr>
        <w:t> </w:t>
      </w:r>
      <w:r>
        <w:rPr>
          <w:i/>
          <w:color w:val="231F20"/>
          <w:sz w:val="22"/>
          <w:vertAlign w:val="baseline"/>
        </w:rPr>
        <w:t>60</w:t>
      </w:r>
      <w:r>
        <w:rPr>
          <w:color w:val="231F20"/>
          <w:sz w:val="22"/>
          <w:vertAlign w:val="baseline"/>
        </w:rPr>
        <w:t>(5),</w:t>
      </w:r>
      <w:r>
        <w:rPr>
          <w:color w:val="231F20"/>
          <w:spacing w:val="-52"/>
          <w:sz w:val="22"/>
          <w:vertAlign w:val="baseline"/>
        </w:rPr>
        <w:t> </w:t>
      </w:r>
      <w:r>
        <w:rPr>
          <w:color w:val="231F20"/>
          <w:sz w:val="22"/>
          <w:vertAlign w:val="baseline"/>
        </w:rPr>
        <w:t>748.</w:t>
      </w:r>
      <w:r>
        <w:rPr>
          <w:color w:val="231F20"/>
          <w:spacing w:val="-1"/>
          <w:sz w:val="22"/>
          <w:vertAlign w:val="baseline"/>
        </w:rPr>
        <w:t> </w:t>
      </w:r>
      <w:hyperlink r:id="rId184">
        <w:r>
          <w:rPr>
            <w:color w:val="3953A4"/>
            <w:sz w:val="22"/>
            <w:u w:val="single" w:color="3953A4"/>
            <w:vertAlign w:val="baseline"/>
          </w:rPr>
          <w:t>https://doi.org/10.1037/0022-006X.60.5.748</w:t>
        </w:r>
      </w:hyperlink>
    </w:p>
    <w:p>
      <w:pPr>
        <w:tabs>
          <w:tab w:pos="479" w:val="left" w:leader="none"/>
        </w:tabs>
        <w:spacing w:line="228" w:lineRule="auto" w:before="89"/>
        <w:ind w:left="480" w:right="730" w:hanging="360"/>
        <w:jc w:val="left"/>
        <w:rPr>
          <w:i/>
          <w:sz w:val="22"/>
        </w:rPr>
      </w:pPr>
      <w:r>
        <w:rPr>
          <w:color w:val="231F20"/>
          <w:sz w:val="22"/>
          <w:vertAlign w:val="superscript"/>
        </w:rPr>
        <w:t>54</w:t>
      </w:r>
      <w:r>
        <w:rPr>
          <w:color w:val="231F20"/>
          <w:sz w:val="22"/>
          <w:vertAlign w:val="baseline"/>
        </w:rPr>
        <w:tab/>
        <w:t>Chard, K. M. (2005). An evaluation of cognitive</w:t>
      </w:r>
      <w:r>
        <w:rPr>
          <w:color w:val="231F20"/>
          <w:spacing w:val="1"/>
          <w:sz w:val="22"/>
          <w:vertAlign w:val="baseline"/>
        </w:rPr>
        <w:t> </w:t>
      </w:r>
      <w:r>
        <w:rPr>
          <w:color w:val="231F20"/>
          <w:sz w:val="22"/>
          <w:vertAlign w:val="baseline"/>
        </w:rPr>
        <w:t>processing therapy for the treatment of posttraumatic</w:t>
      </w:r>
      <w:r>
        <w:rPr>
          <w:color w:val="231F20"/>
          <w:spacing w:val="-53"/>
          <w:sz w:val="22"/>
          <w:vertAlign w:val="baseline"/>
        </w:rPr>
        <w:t> </w:t>
      </w:r>
      <w:r>
        <w:rPr>
          <w:color w:val="231F20"/>
          <w:sz w:val="22"/>
          <w:vertAlign w:val="baseline"/>
        </w:rPr>
        <w:t>stress disorder related to childhood sexual abuse.</w:t>
      </w:r>
      <w:r>
        <w:rPr>
          <w:color w:val="231F20"/>
          <w:spacing w:val="1"/>
          <w:sz w:val="22"/>
          <w:vertAlign w:val="baseline"/>
        </w:rPr>
        <w:t> </w:t>
      </w:r>
      <w:r>
        <w:rPr>
          <w:i/>
          <w:color w:val="231F20"/>
          <w:sz w:val="22"/>
          <w:vertAlign w:val="baseline"/>
        </w:rPr>
        <w:t>Journal</w:t>
      </w:r>
      <w:r>
        <w:rPr>
          <w:i/>
          <w:color w:val="231F20"/>
          <w:spacing w:val="-1"/>
          <w:sz w:val="22"/>
          <w:vertAlign w:val="baseline"/>
        </w:rPr>
        <w:t> </w:t>
      </w:r>
      <w:r>
        <w:rPr>
          <w:i/>
          <w:color w:val="231F20"/>
          <w:sz w:val="22"/>
          <w:vertAlign w:val="baseline"/>
        </w:rPr>
        <w:t>of</w:t>
      </w:r>
      <w:r>
        <w:rPr>
          <w:i/>
          <w:color w:val="231F20"/>
          <w:spacing w:val="-1"/>
          <w:sz w:val="22"/>
          <w:vertAlign w:val="baseline"/>
        </w:rPr>
        <w:t> </w:t>
      </w:r>
      <w:r>
        <w:rPr>
          <w:i/>
          <w:color w:val="231F20"/>
          <w:sz w:val="22"/>
          <w:vertAlign w:val="baseline"/>
        </w:rPr>
        <w:t>Consulting</w:t>
      </w:r>
      <w:r>
        <w:rPr>
          <w:i/>
          <w:color w:val="231F20"/>
          <w:spacing w:val="-1"/>
          <w:sz w:val="22"/>
          <w:vertAlign w:val="baseline"/>
        </w:rPr>
        <w:t> </w:t>
      </w:r>
      <w:r>
        <w:rPr>
          <w:i/>
          <w:color w:val="231F20"/>
          <w:sz w:val="22"/>
          <w:vertAlign w:val="baseline"/>
        </w:rPr>
        <w:t>&amp;</w:t>
      </w:r>
      <w:r>
        <w:rPr>
          <w:i/>
          <w:color w:val="231F20"/>
          <w:spacing w:val="-1"/>
          <w:sz w:val="22"/>
          <w:vertAlign w:val="baseline"/>
        </w:rPr>
        <w:t> </w:t>
      </w:r>
      <w:r>
        <w:rPr>
          <w:i/>
          <w:color w:val="231F20"/>
          <w:sz w:val="22"/>
          <w:vertAlign w:val="baseline"/>
        </w:rPr>
        <w:t>Clinical Psychology,</w:t>
      </w:r>
    </w:p>
    <w:p>
      <w:pPr>
        <w:pStyle w:val="BodyText"/>
        <w:spacing w:line="235" w:lineRule="exact"/>
        <w:ind w:left="480"/>
      </w:pPr>
      <w:r>
        <w:rPr>
          <w:i/>
          <w:color w:val="231F20"/>
        </w:rPr>
        <w:t>73</w:t>
      </w:r>
      <w:r>
        <w:rPr>
          <w:color w:val="231F20"/>
        </w:rPr>
        <w:t>(5),</w:t>
      </w:r>
      <w:r>
        <w:rPr>
          <w:color w:val="231F20"/>
          <w:spacing w:val="-3"/>
        </w:rPr>
        <w:t> </w:t>
      </w:r>
      <w:r>
        <w:rPr>
          <w:color w:val="231F20"/>
        </w:rPr>
        <w:t>965-971.</w:t>
      </w:r>
      <w:r>
        <w:rPr>
          <w:color w:val="231F20"/>
          <w:spacing w:val="-2"/>
        </w:rPr>
        <w:t> </w:t>
      </w:r>
      <w:hyperlink r:id="rId185">
        <w:r>
          <w:rPr>
            <w:color w:val="3953A4"/>
            <w:u w:val="single" w:color="3953A4"/>
          </w:rPr>
          <w:t>https://doi.org/10.1037/0022-</w:t>
        </w:r>
      </w:hyperlink>
    </w:p>
    <w:p>
      <w:pPr>
        <w:pStyle w:val="BodyText"/>
        <w:spacing w:line="246" w:lineRule="exact"/>
        <w:ind w:left="480"/>
      </w:pPr>
      <w:hyperlink r:id="rId185">
        <w:r>
          <w:rPr>
            <w:color w:val="3953A4"/>
            <w:u w:val="single" w:color="3953A4"/>
          </w:rPr>
          <w:t>006X.73.5.965</w:t>
        </w:r>
      </w:hyperlink>
    </w:p>
    <w:p>
      <w:pPr>
        <w:spacing w:after="0" w:line="246" w:lineRule="exact"/>
        <w:sectPr>
          <w:type w:val="continuous"/>
          <w:pgSz w:w="12240" w:h="15840"/>
          <w:pgMar w:header="0" w:footer="666" w:top="1500" w:bottom="0" w:left="600" w:right="0"/>
          <w:cols w:num="2" w:equalWidth="0">
            <w:col w:w="5201" w:space="559"/>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tabs>
          <w:tab w:pos="479" w:val="left" w:leader="none"/>
        </w:tabs>
        <w:spacing w:line="228" w:lineRule="auto" w:before="101"/>
        <w:ind w:left="480" w:right="338" w:hanging="360"/>
      </w:pPr>
      <w:r>
        <w:rPr>
          <w:color w:val="231F20"/>
          <w:vertAlign w:val="superscript"/>
        </w:rPr>
        <w:t>55</w:t>
      </w:r>
      <w:r>
        <w:rPr>
          <w:color w:val="231F20"/>
          <w:vertAlign w:val="baseline"/>
        </w:rPr>
        <w:tab/>
      </w:r>
      <w:r>
        <w:rPr>
          <w:color w:val="231F20"/>
          <w:spacing w:val="-1"/>
          <w:vertAlign w:val="baseline"/>
        </w:rPr>
        <w:t>Morland, </w:t>
      </w:r>
      <w:r>
        <w:rPr>
          <w:color w:val="231F20"/>
          <w:vertAlign w:val="baseline"/>
        </w:rPr>
        <w:t>L.</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Mackintosh,</w:t>
      </w:r>
      <w:r>
        <w:rPr>
          <w:color w:val="231F20"/>
          <w:spacing w:val="-1"/>
          <w:vertAlign w:val="baseline"/>
        </w:rPr>
        <w:t> </w:t>
      </w:r>
      <w:r>
        <w:rPr>
          <w:color w:val="231F20"/>
          <w:vertAlign w:val="baseline"/>
        </w:rPr>
        <w:t>M.</w:t>
      </w:r>
      <w:r>
        <w:rPr>
          <w:color w:val="231F20"/>
          <w:spacing w:val="-14"/>
          <w:vertAlign w:val="baseline"/>
        </w:rPr>
        <w:t> </w:t>
      </w:r>
      <w:r>
        <w:rPr>
          <w:color w:val="231F20"/>
          <w:vertAlign w:val="baseline"/>
        </w:rPr>
        <w:t>A., Rosen,</w:t>
      </w:r>
      <w:r>
        <w:rPr>
          <w:color w:val="231F20"/>
          <w:spacing w:val="-1"/>
          <w:vertAlign w:val="baseline"/>
        </w:rPr>
        <w:t> </w:t>
      </w:r>
      <w:r>
        <w:rPr>
          <w:color w:val="231F20"/>
          <w:vertAlign w:val="baseline"/>
        </w:rPr>
        <w:t>C.</w:t>
      </w:r>
      <w:r>
        <w:rPr>
          <w:color w:val="231F20"/>
          <w:spacing w:val="-1"/>
          <w:vertAlign w:val="baseline"/>
        </w:rPr>
        <w:t> </w:t>
      </w:r>
      <w:r>
        <w:rPr>
          <w:color w:val="231F20"/>
          <w:vertAlign w:val="baseline"/>
        </w:rPr>
        <w:t>S.,</w:t>
      </w:r>
      <w:r>
        <w:rPr>
          <w:color w:val="231F20"/>
          <w:spacing w:val="-52"/>
          <w:vertAlign w:val="baseline"/>
        </w:rPr>
        <w:t> </w:t>
      </w:r>
      <w:r>
        <w:rPr>
          <w:color w:val="231F20"/>
          <w:vertAlign w:val="baseline"/>
        </w:rPr>
        <w:t>Willis, E., Resick, P., Chard, K., &amp; Frueh, B. C.</w:t>
      </w:r>
      <w:r>
        <w:rPr>
          <w:color w:val="231F20"/>
          <w:spacing w:val="1"/>
          <w:vertAlign w:val="baseline"/>
        </w:rPr>
        <w:t> </w:t>
      </w:r>
      <w:r>
        <w:rPr>
          <w:color w:val="231F20"/>
          <w:vertAlign w:val="baseline"/>
        </w:rPr>
        <w:t>(2015). Telemedicine versus in-person delivery</w:t>
      </w:r>
      <w:r>
        <w:rPr>
          <w:color w:val="231F20"/>
          <w:spacing w:val="1"/>
          <w:vertAlign w:val="baseline"/>
        </w:rPr>
        <w:t> </w:t>
      </w:r>
      <w:r>
        <w:rPr>
          <w:color w:val="231F20"/>
          <w:vertAlign w:val="baseline"/>
        </w:rPr>
        <w:t>of cognitive processing therapy for women with</w:t>
      </w:r>
      <w:r>
        <w:rPr>
          <w:color w:val="231F20"/>
          <w:spacing w:val="1"/>
          <w:vertAlign w:val="baseline"/>
        </w:rPr>
        <w:t> </w:t>
      </w:r>
      <w:r>
        <w:rPr>
          <w:color w:val="231F20"/>
          <w:vertAlign w:val="baseline"/>
        </w:rPr>
        <w:t>posttraumatic</w:t>
      </w:r>
      <w:r>
        <w:rPr>
          <w:color w:val="231F20"/>
          <w:spacing w:val="-1"/>
          <w:vertAlign w:val="baseline"/>
        </w:rPr>
        <w:t> </w:t>
      </w:r>
      <w:r>
        <w:rPr>
          <w:color w:val="231F20"/>
          <w:vertAlign w:val="baseline"/>
        </w:rPr>
        <w:t>stress</w:t>
      </w:r>
      <w:r>
        <w:rPr>
          <w:color w:val="231F20"/>
          <w:spacing w:val="-1"/>
          <w:vertAlign w:val="baseline"/>
        </w:rPr>
        <w:t> </w:t>
      </w:r>
      <w:r>
        <w:rPr>
          <w:color w:val="231F20"/>
          <w:vertAlign w:val="baseline"/>
        </w:rPr>
        <w:t>disorder:</w:t>
      </w:r>
      <w:r>
        <w:rPr>
          <w:color w:val="231F20"/>
          <w:spacing w:val="-14"/>
          <w:vertAlign w:val="baseline"/>
        </w:rPr>
        <w:t> </w:t>
      </w:r>
      <w:r>
        <w:rPr>
          <w:color w:val="231F20"/>
          <w:vertAlign w:val="baseline"/>
        </w:rPr>
        <w:t>A</w:t>
      </w:r>
      <w:r>
        <w:rPr>
          <w:color w:val="231F20"/>
          <w:spacing w:val="-13"/>
          <w:vertAlign w:val="baseline"/>
        </w:rPr>
        <w:t> </w:t>
      </w:r>
      <w:r>
        <w:rPr>
          <w:color w:val="231F20"/>
          <w:vertAlign w:val="baseline"/>
        </w:rPr>
        <w:t>randomized</w:t>
      </w:r>
    </w:p>
    <w:p>
      <w:pPr>
        <w:spacing w:line="228" w:lineRule="auto" w:before="0"/>
        <w:ind w:left="480" w:right="115" w:firstLine="0"/>
        <w:jc w:val="left"/>
        <w:rPr>
          <w:sz w:val="22"/>
        </w:rPr>
      </w:pPr>
      <w:r>
        <w:rPr>
          <w:color w:val="231F20"/>
          <w:sz w:val="22"/>
        </w:rPr>
        <w:t>noninferiority</w:t>
      </w:r>
      <w:r>
        <w:rPr>
          <w:color w:val="231F20"/>
          <w:spacing w:val="-9"/>
          <w:sz w:val="22"/>
        </w:rPr>
        <w:t> </w:t>
      </w:r>
      <w:r>
        <w:rPr>
          <w:color w:val="231F20"/>
          <w:sz w:val="22"/>
        </w:rPr>
        <w:t>trial.</w:t>
      </w:r>
      <w:r>
        <w:rPr>
          <w:color w:val="231F20"/>
          <w:spacing w:val="-9"/>
          <w:sz w:val="22"/>
        </w:rPr>
        <w:t> </w:t>
      </w:r>
      <w:r>
        <w:rPr>
          <w:i/>
          <w:color w:val="231F20"/>
          <w:sz w:val="22"/>
        </w:rPr>
        <w:t>Depression</w:t>
      </w:r>
      <w:r>
        <w:rPr>
          <w:i/>
          <w:color w:val="231F20"/>
          <w:spacing w:val="-9"/>
          <w:sz w:val="22"/>
        </w:rPr>
        <w:t> </w:t>
      </w:r>
      <w:r>
        <w:rPr>
          <w:i/>
          <w:color w:val="231F20"/>
          <w:sz w:val="22"/>
        </w:rPr>
        <w:t>and</w:t>
      </w:r>
      <w:r>
        <w:rPr>
          <w:i/>
          <w:color w:val="231F20"/>
          <w:spacing w:val="-12"/>
          <w:sz w:val="22"/>
        </w:rPr>
        <w:t> </w:t>
      </w:r>
      <w:r>
        <w:rPr>
          <w:i/>
          <w:color w:val="231F20"/>
          <w:sz w:val="22"/>
        </w:rPr>
        <w:t>Anxiety,</w:t>
      </w:r>
      <w:r>
        <w:rPr>
          <w:i/>
          <w:color w:val="231F20"/>
          <w:spacing w:val="-9"/>
          <w:sz w:val="22"/>
        </w:rPr>
        <w:t> </w:t>
      </w:r>
      <w:r>
        <w:rPr>
          <w:i/>
          <w:color w:val="231F20"/>
          <w:sz w:val="22"/>
        </w:rPr>
        <w:t>32</w:t>
      </w:r>
      <w:r>
        <w:rPr>
          <w:color w:val="231F20"/>
          <w:sz w:val="22"/>
        </w:rPr>
        <w:t>(11),</w:t>
      </w:r>
      <w:r>
        <w:rPr>
          <w:color w:val="231F20"/>
          <w:spacing w:val="-52"/>
          <w:sz w:val="22"/>
        </w:rPr>
        <w:t> </w:t>
      </w:r>
      <w:r>
        <w:rPr>
          <w:color w:val="231F20"/>
          <w:sz w:val="22"/>
        </w:rPr>
        <w:t>811-820.</w:t>
      </w:r>
      <w:r>
        <w:rPr>
          <w:color w:val="231F20"/>
          <w:spacing w:val="-1"/>
          <w:sz w:val="22"/>
        </w:rPr>
        <w:t> </w:t>
      </w:r>
      <w:hyperlink r:id="rId186">
        <w:r>
          <w:rPr>
            <w:color w:val="3953A4"/>
            <w:sz w:val="22"/>
            <w:u w:val="single" w:color="3953A4"/>
          </w:rPr>
          <w:t>https://doi.org/10.1002/da.22397</w:t>
        </w:r>
      </w:hyperlink>
    </w:p>
    <w:p>
      <w:pPr>
        <w:pStyle w:val="BodyText"/>
        <w:tabs>
          <w:tab w:pos="479" w:val="left" w:leader="none"/>
        </w:tabs>
        <w:spacing w:line="228" w:lineRule="auto" w:before="88"/>
        <w:ind w:left="480" w:right="145" w:hanging="360"/>
      </w:pPr>
      <w:r>
        <w:rPr>
          <w:color w:val="231F20"/>
          <w:vertAlign w:val="superscript"/>
        </w:rPr>
        <w:t>56</w:t>
      </w:r>
      <w:r>
        <w:rPr>
          <w:color w:val="231F20"/>
          <w:vertAlign w:val="baseline"/>
        </w:rPr>
        <w:tab/>
        <w:t>American Psychological Association. (2021).</w:t>
      </w:r>
      <w:r>
        <w:rPr>
          <w:color w:val="231F20"/>
          <w:spacing w:val="1"/>
          <w:vertAlign w:val="baseline"/>
        </w:rPr>
        <w:t> </w:t>
      </w:r>
      <w:r>
        <w:rPr>
          <w:i/>
          <w:color w:val="231F20"/>
          <w:vertAlign w:val="baseline"/>
        </w:rPr>
        <w:t>Cognitive</w:t>
      </w:r>
      <w:r>
        <w:rPr>
          <w:i/>
          <w:color w:val="231F20"/>
          <w:spacing w:val="-14"/>
          <w:vertAlign w:val="baseline"/>
        </w:rPr>
        <w:t> </w:t>
      </w:r>
      <w:r>
        <w:rPr>
          <w:i/>
          <w:color w:val="231F20"/>
          <w:vertAlign w:val="baseline"/>
        </w:rPr>
        <w:t>processing</w:t>
      </w:r>
      <w:r>
        <w:rPr>
          <w:i/>
          <w:color w:val="231F20"/>
          <w:spacing w:val="-13"/>
          <w:vertAlign w:val="baseline"/>
        </w:rPr>
        <w:t> </w:t>
      </w:r>
      <w:r>
        <w:rPr>
          <w:i/>
          <w:color w:val="231F20"/>
          <w:vertAlign w:val="baseline"/>
        </w:rPr>
        <w:t>therapy</w:t>
      </w:r>
      <w:r>
        <w:rPr>
          <w:color w:val="231F20"/>
          <w:vertAlign w:val="baseline"/>
        </w:rPr>
        <w:t>.</w:t>
      </w:r>
      <w:r>
        <w:rPr>
          <w:color w:val="231F20"/>
          <w:spacing w:val="-13"/>
          <w:vertAlign w:val="baseline"/>
        </w:rPr>
        <w:t> </w:t>
      </w:r>
      <w:hyperlink r:id="rId187">
        <w:r>
          <w:rPr>
            <w:color w:val="3953A4"/>
            <w:u w:val="single" w:color="3953A4"/>
            <w:vertAlign w:val="baseline"/>
          </w:rPr>
          <w:t>https://www.apa.org/</w:t>
        </w:r>
      </w:hyperlink>
      <w:r>
        <w:rPr>
          <w:color w:val="3953A4"/>
          <w:spacing w:val="-52"/>
          <w:vertAlign w:val="baseline"/>
        </w:rPr>
        <w:t> </w:t>
      </w:r>
      <w:hyperlink r:id="rId187">
        <w:r>
          <w:rPr>
            <w:color w:val="3953A4"/>
            <w:u w:val="single" w:color="3953A4"/>
            <w:vertAlign w:val="baseline"/>
          </w:rPr>
          <w:t>ptsd-guideline/treatments/cognitive-processing-</w:t>
        </w:r>
      </w:hyperlink>
      <w:r>
        <w:rPr>
          <w:color w:val="3953A4"/>
          <w:spacing w:val="1"/>
          <w:vertAlign w:val="baseline"/>
        </w:rPr>
        <w:t> </w:t>
      </w:r>
      <w:hyperlink r:id="rId187">
        <w:r>
          <w:rPr>
            <w:color w:val="3953A4"/>
            <w:u w:val="single" w:color="3953A4"/>
            <w:vertAlign w:val="baseline"/>
          </w:rPr>
          <w:t>therapy</w:t>
        </w:r>
      </w:hyperlink>
    </w:p>
    <w:p>
      <w:pPr>
        <w:tabs>
          <w:tab w:pos="479" w:val="left" w:leader="none"/>
        </w:tabs>
        <w:spacing w:line="228" w:lineRule="auto" w:before="88"/>
        <w:ind w:left="480" w:right="141" w:hanging="360"/>
        <w:jc w:val="left"/>
        <w:rPr>
          <w:sz w:val="22"/>
        </w:rPr>
      </w:pPr>
      <w:r>
        <w:rPr>
          <w:color w:val="231F20"/>
          <w:sz w:val="22"/>
          <w:vertAlign w:val="superscript"/>
        </w:rPr>
        <w:t>57</w:t>
      </w:r>
      <w:r>
        <w:rPr>
          <w:color w:val="231F20"/>
          <w:sz w:val="22"/>
          <w:vertAlign w:val="baseline"/>
        </w:rPr>
        <w:tab/>
        <w:t>National Center for Posttraumatic Stress Disorder.</w:t>
      </w:r>
      <w:r>
        <w:rPr>
          <w:color w:val="231F20"/>
          <w:spacing w:val="1"/>
          <w:sz w:val="22"/>
          <w:vertAlign w:val="baseline"/>
        </w:rPr>
        <w:t> </w:t>
      </w:r>
      <w:r>
        <w:rPr>
          <w:color w:val="231F20"/>
          <w:sz w:val="22"/>
          <w:vertAlign w:val="baseline"/>
        </w:rPr>
        <w:t>(2021). </w:t>
      </w:r>
      <w:r>
        <w:rPr>
          <w:i/>
          <w:color w:val="231F20"/>
          <w:sz w:val="22"/>
          <w:vertAlign w:val="baseline"/>
        </w:rPr>
        <w:t>Cognitive processing therapy: Helping</w:t>
      </w:r>
      <w:r>
        <w:rPr>
          <w:i/>
          <w:color w:val="231F20"/>
          <w:spacing w:val="1"/>
          <w:sz w:val="22"/>
          <w:vertAlign w:val="baseline"/>
        </w:rPr>
        <w:t> </w:t>
      </w:r>
      <w:r>
        <w:rPr>
          <w:i/>
          <w:color w:val="231F20"/>
          <w:sz w:val="22"/>
          <w:vertAlign w:val="baseline"/>
        </w:rPr>
        <w:t>during treatment</w:t>
      </w:r>
      <w:r>
        <w:rPr>
          <w:color w:val="231F20"/>
          <w:sz w:val="22"/>
          <w:vertAlign w:val="baseline"/>
        </w:rPr>
        <w:t>. U.S. Deparment of Veterans</w:t>
      </w:r>
      <w:r>
        <w:rPr>
          <w:color w:val="231F20"/>
          <w:spacing w:val="1"/>
          <w:sz w:val="22"/>
          <w:vertAlign w:val="baseline"/>
        </w:rPr>
        <w:t> </w:t>
      </w:r>
      <w:r>
        <w:rPr>
          <w:color w:val="231F20"/>
          <w:spacing w:val="-1"/>
          <w:sz w:val="22"/>
          <w:vertAlign w:val="baseline"/>
        </w:rPr>
        <w:t>Affairs.</w:t>
      </w:r>
      <w:r>
        <w:rPr>
          <w:color w:val="231F20"/>
          <w:spacing w:val="9"/>
          <w:sz w:val="22"/>
          <w:vertAlign w:val="baseline"/>
        </w:rPr>
        <w:t> </w:t>
      </w:r>
      <w:hyperlink r:id="rId188">
        <w:r>
          <w:rPr>
            <w:color w:val="3953A4"/>
            <w:spacing w:val="-1"/>
            <w:sz w:val="22"/>
            <w:u w:val="single" w:color="3953A4"/>
            <w:vertAlign w:val="baseline"/>
          </w:rPr>
          <w:t>https://www.ptsd.va.gov/family/how_help_</w:t>
        </w:r>
      </w:hyperlink>
      <w:r>
        <w:rPr>
          <w:color w:val="3953A4"/>
          <w:spacing w:val="-52"/>
          <w:sz w:val="22"/>
          <w:vertAlign w:val="baseline"/>
        </w:rPr>
        <w:t> </w:t>
      </w:r>
      <w:hyperlink r:id="rId188">
        <w:r>
          <w:rPr>
            <w:color w:val="3953A4"/>
            <w:sz w:val="22"/>
            <w:u w:val="single" w:color="3953A4"/>
            <w:vertAlign w:val="baseline"/>
          </w:rPr>
          <w:t>cpt.asp</w:t>
        </w:r>
      </w:hyperlink>
    </w:p>
    <w:p>
      <w:pPr>
        <w:pStyle w:val="BodyText"/>
        <w:tabs>
          <w:tab w:pos="479" w:val="left" w:leader="none"/>
        </w:tabs>
        <w:spacing w:line="228" w:lineRule="auto" w:before="89"/>
        <w:ind w:left="480" w:right="290" w:hanging="360"/>
      </w:pPr>
      <w:r>
        <w:rPr>
          <w:color w:val="231F20"/>
          <w:vertAlign w:val="superscript"/>
        </w:rPr>
        <w:t>58</w:t>
      </w:r>
      <w:r>
        <w:rPr>
          <w:color w:val="231F20"/>
          <w:vertAlign w:val="baseline"/>
        </w:rPr>
        <w:tab/>
      </w:r>
      <w:r>
        <w:rPr>
          <w:color w:val="231F20"/>
          <w:spacing w:val="-1"/>
          <w:vertAlign w:val="baseline"/>
        </w:rPr>
        <w:t>Morland, </w:t>
      </w:r>
      <w:r>
        <w:rPr>
          <w:color w:val="231F20"/>
          <w:vertAlign w:val="baseline"/>
        </w:rPr>
        <w:t>L.</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Mackintosh,</w:t>
      </w:r>
      <w:r>
        <w:rPr>
          <w:color w:val="231F20"/>
          <w:spacing w:val="-1"/>
          <w:vertAlign w:val="baseline"/>
        </w:rPr>
        <w:t> </w:t>
      </w:r>
      <w:r>
        <w:rPr>
          <w:color w:val="231F20"/>
          <w:vertAlign w:val="baseline"/>
        </w:rPr>
        <w:t>M.</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Greene,</w:t>
      </w:r>
      <w:r>
        <w:rPr>
          <w:color w:val="231F20"/>
          <w:spacing w:val="-1"/>
          <w:vertAlign w:val="baseline"/>
        </w:rPr>
        <w:t> </w:t>
      </w:r>
      <w:r>
        <w:rPr>
          <w:color w:val="231F20"/>
          <w:vertAlign w:val="baseline"/>
        </w:rPr>
        <w:t>C.</w:t>
      </w:r>
      <w:r>
        <w:rPr>
          <w:color w:val="231F20"/>
          <w:spacing w:val="-1"/>
          <w:vertAlign w:val="baseline"/>
        </w:rPr>
        <w:t> </w:t>
      </w:r>
      <w:r>
        <w:rPr>
          <w:color w:val="231F20"/>
          <w:vertAlign w:val="baseline"/>
        </w:rPr>
        <w:t>J.,</w:t>
      </w:r>
      <w:r>
        <w:rPr>
          <w:color w:val="231F20"/>
          <w:spacing w:val="-52"/>
          <w:vertAlign w:val="baseline"/>
        </w:rPr>
        <w:t> </w:t>
      </w:r>
      <w:r>
        <w:rPr>
          <w:color w:val="231F20"/>
          <w:vertAlign w:val="baseline"/>
        </w:rPr>
        <w:t>Rosen,</w:t>
      </w:r>
      <w:r>
        <w:rPr>
          <w:color w:val="231F20"/>
          <w:spacing w:val="-3"/>
          <w:vertAlign w:val="baseline"/>
        </w:rPr>
        <w:t> </w:t>
      </w:r>
      <w:r>
        <w:rPr>
          <w:color w:val="231F20"/>
          <w:vertAlign w:val="baseline"/>
        </w:rPr>
        <w:t>C.</w:t>
      </w:r>
      <w:r>
        <w:rPr>
          <w:color w:val="231F20"/>
          <w:spacing w:val="-2"/>
          <w:vertAlign w:val="baseline"/>
        </w:rPr>
        <w:t> </w:t>
      </w:r>
      <w:r>
        <w:rPr>
          <w:color w:val="231F20"/>
          <w:vertAlign w:val="baseline"/>
        </w:rPr>
        <w:t>S.,</w:t>
      </w:r>
      <w:r>
        <w:rPr>
          <w:color w:val="231F20"/>
          <w:spacing w:val="-2"/>
          <w:vertAlign w:val="baseline"/>
        </w:rPr>
        <w:t> </w:t>
      </w:r>
      <w:r>
        <w:rPr>
          <w:color w:val="231F20"/>
          <w:vertAlign w:val="baseline"/>
        </w:rPr>
        <w:t>Chard,</w:t>
      </w:r>
      <w:r>
        <w:rPr>
          <w:color w:val="231F20"/>
          <w:spacing w:val="-2"/>
          <w:vertAlign w:val="baseline"/>
        </w:rPr>
        <w:t> </w:t>
      </w:r>
      <w:r>
        <w:rPr>
          <w:color w:val="231F20"/>
          <w:vertAlign w:val="baseline"/>
        </w:rPr>
        <w:t>K.</w:t>
      </w:r>
      <w:r>
        <w:rPr>
          <w:color w:val="231F20"/>
          <w:spacing w:val="-2"/>
          <w:vertAlign w:val="baseline"/>
        </w:rPr>
        <w:t> </w:t>
      </w:r>
      <w:r>
        <w:rPr>
          <w:color w:val="231F20"/>
          <w:vertAlign w:val="baseline"/>
        </w:rPr>
        <w:t>M.,</w:t>
      </w:r>
      <w:r>
        <w:rPr>
          <w:color w:val="231F20"/>
          <w:spacing w:val="-3"/>
          <w:vertAlign w:val="baseline"/>
        </w:rPr>
        <w:t> </w:t>
      </w:r>
      <w:r>
        <w:rPr>
          <w:color w:val="231F20"/>
          <w:vertAlign w:val="baseline"/>
        </w:rPr>
        <w:t>Resick,</w:t>
      </w:r>
      <w:r>
        <w:rPr>
          <w:color w:val="231F20"/>
          <w:spacing w:val="-2"/>
          <w:vertAlign w:val="baseline"/>
        </w:rPr>
        <w:t> </w:t>
      </w:r>
      <w:r>
        <w:rPr>
          <w:color w:val="231F20"/>
          <w:vertAlign w:val="baseline"/>
        </w:rPr>
        <w:t>P.,</w:t>
      </w:r>
      <w:r>
        <w:rPr>
          <w:color w:val="231F20"/>
          <w:spacing w:val="-2"/>
          <w:vertAlign w:val="baseline"/>
        </w:rPr>
        <w:t> </w:t>
      </w:r>
      <w:r>
        <w:rPr>
          <w:color w:val="231F20"/>
          <w:vertAlign w:val="baseline"/>
        </w:rPr>
        <w:t>&amp;</w:t>
      </w:r>
      <w:r>
        <w:rPr>
          <w:color w:val="231F20"/>
          <w:spacing w:val="-2"/>
          <w:vertAlign w:val="baseline"/>
        </w:rPr>
        <w:t> </w:t>
      </w:r>
      <w:r>
        <w:rPr>
          <w:color w:val="231F20"/>
          <w:vertAlign w:val="baseline"/>
        </w:rPr>
        <w:t>Frueh,</w:t>
      </w:r>
    </w:p>
    <w:p>
      <w:pPr>
        <w:pStyle w:val="ListParagraph"/>
        <w:numPr>
          <w:ilvl w:val="0"/>
          <w:numId w:val="50"/>
        </w:numPr>
        <w:tabs>
          <w:tab w:pos="737" w:val="left" w:leader="none"/>
        </w:tabs>
        <w:spacing w:line="228" w:lineRule="auto" w:before="0" w:after="0"/>
        <w:ind w:left="480" w:right="135" w:firstLine="0"/>
        <w:jc w:val="left"/>
        <w:rPr>
          <w:sz w:val="22"/>
        </w:rPr>
      </w:pPr>
      <w:r>
        <w:rPr>
          <w:color w:val="231F20"/>
          <w:sz w:val="22"/>
        </w:rPr>
        <w:t>C. (2014). Cognitive processing therapy for</w:t>
      </w:r>
      <w:r>
        <w:rPr>
          <w:color w:val="231F20"/>
          <w:spacing w:val="1"/>
          <w:sz w:val="22"/>
        </w:rPr>
        <w:t> </w:t>
      </w:r>
      <w:r>
        <w:rPr>
          <w:color w:val="231F20"/>
          <w:sz w:val="22"/>
        </w:rPr>
        <w:t>posttraumatic stress disorder delivered to rural</w:t>
      </w:r>
      <w:r>
        <w:rPr>
          <w:color w:val="231F20"/>
          <w:spacing w:val="1"/>
          <w:sz w:val="22"/>
        </w:rPr>
        <w:t> </w:t>
      </w:r>
      <w:r>
        <w:rPr>
          <w:color w:val="231F20"/>
          <w:sz w:val="22"/>
        </w:rPr>
        <w:t>veterans via telemental health: A randomized</w:t>
      </w:r>
      <w:r>
        <w:rPr>
          <w:color w:val="231F20"/>
          <w:spacing w:val="1"/>
          <w:sz w:val="22"/>
        </w:rPr>
        <w:t> </w:t>
      </w:r>
      <w:r>
        <w:rPr>
          <w:color w:val="231F20"/>
          <w:sz w:val="22"/>
        </w:rPr>
        <w:t>noninferiority clinical trial. </w:t>
      </w:r>
      <w:r>
        <w:rPr>
          <w:i/>
          <w:color w:val="231F20"/>
          <w:sz w:val="22"/>
        </w:rPr>
        <w:t>Journal of Clinical</w:t>
      </w:r>
      <w:r>
        <w:rPr>
          <w:i/>
          <w:color w:val="231F20"/>
          <w:spacing w:val="1"/>
          <w:sz w:val="22"/>
        </w:rPr>
        <w:t> </w:t>
      </w:r>
      <w:r>
        <w:rPr>
          <w:i/>
          <w:color w:val="231F20"/>
          <w:sz w:val="22"/>
        </w:rPr>
        <w:t>Psychiatry,</w:t>
      </w:r>
      <w:r>
        <w:rPr>
          <w:i/>
          <w:color w:val="231F20"/>
          <w:spacing w:val="-11"/>
          <w:sz w:val="22"/>
        </w:rPr>
        <w:t> </w:t>
      </w:r>
      <w:r>
        <w:rPr>
          <w:i/>
          <w:color w:val="231F20"/>
          <w:sz w:val="22"/>
        </w:rPr>
        <w:t>75</w:t>
      </w:r>
      <w:r>
        <w:rPr>
          <w:color w:val="231F20"/>
          <w:sz w:val="22"/>
        </w:rPr>
        <w:t>(5),</w:t>
      </w:r>
      <w:r>
        <w:rPr>
          <w:color w:val="231F20"/>
          <w:spacing w:val="-10"/>
          <w:sz w:val="22"/>
        </w:rPr>
        <w:t> </w:t>
      </w:r>
      <w:r>
        <w:rPr>
          <w:color w:val="231F20"/>
          <w:sz w:val="22"/>
        </w:rPr>
        <w:t>470-476.</w:t>
      </w:r>
      <w:r>
        <w:rPr>
          <w:color w:val="3953A4"/>
          <w:spacing w:val="-10"/>
          <w:sz w:val="22"/>
        </w:rPr>
        <w:t> </w:t>
      </w:r>
      <w:hyperlink r:id="rId95">
        <w:r>
          <w:rPr>
            <w:color w:val="3953A4"/>
            <w:sz w:val="22"/>
            <w:u w:val="single" w:color="3953A4"/>
          </w:rPr>
          <w:t>https://doi.org/10.4088/</w:t>
        </w:r>
      </w:hyperlink>
      <w:r>
        <w:rPr>
          <w:color w:val="3953A4"/>
          <w:spacing w:val="-52"/>
          <w:sz w:val="22"/>
        </w:rPr>
        <w:t> </w:t>
      </w:r>
      <w:hyperlink r:id="rId95">
        <w:r>
          <w:rPr>
            <w:color w:val="3953A4"/>
            <w:sz w:val="22"/>
            <w:u w:val="single" w:color="3953A4"/>
          </w:rPr>
          <w:t>JCP.13m08842</w:t>
        </w:r>
      </w:hyperlink>
    </w:p>
    <w:p>
      <w:pPr>
        <w:pStyle w:val="BodyText"/>
        <w:tabs>
          <w:tab w:pos="479" w:val="left" w:leader="none"/>
        </w:tabs>
        <w:spacing w:line="228" w:lineRule="auto" w:before="87"/>
        <w:ind w:left="480" w:right="41" w:hanging="360"/>
      </w:pPr>
      <w:r>
        <w:rPr>
          <w:color w:val="231F20"/>
          <w:vertAlign w:val="superscript"/>
        </w:rPr>
        <w:t>59</w:t>
      </w:r>
      <w:r>
        <w:rPr>
          <w:color w:val="231F20"/>
          <w:vertAlign w:val="baseline"/>
        </w:rPr>
        <w:tab/>
        <w:t>Liu, L., Thorp, S. R., Moreno, L., Wells, S. Y.,</w:t>
      </w:r>
      <w:r>
        <w:rPr>
          <w:color w:val="231F20"/>
          <w:spacing w:val="1"/>
          <w:vertAlign w:val="baseline"/>
        </w:rPr>
        <w:t> </w:t>
      </w:r>
      <w:r>
        <w:rPr>
          <w:color w:val="231F20"/>
          <w:spacing w:val="-1"/>
          <w:vertAlign w:val="baseline"/>
        </w:rPr>
        <w:t>Glassman,</w:t>
      </w:r>
      <w:r>
        <w:rPr>
          <w:color w:val="231F20"/>
          <w:vertAlign w:val="baseline"/>
        </w:rPr>
        <w:t> </w:t>
      </w:r>
      <w:r>
        <w:rPr>
          <w:color w:val="231F20"/>
          <w:spacing w:val="-1"/>
          <w:vertAlign w:val="baseline"/>
        </w:rPr>
        <w:t>L.</w:t>
      </w:r>
      <w:r>
        <w:rPr>
          <w:color w:val="231F20"/>
          <w:vertAlign w:val="baseline"/>
        </w:rPr>
        <w:t> </w:t>
      </w:r>
      <w:r>
        <w:rPr>
          <w:color w:val="231F20"/>
          <w:spacing w:val="-1"/>
          <w:vertAlign w:val="baseline"/>
        </w:rPr>
        <w:t>H.,</w:t>
      </w:r>
      <w:r>
        <w:rPr>
          <w:color w:val="231F20"/>
          <w:spacing w:val="1"/>
          <w:vertAlign w:val="baseline"/>
        </w:rPr>
        <w:t> </w:t>
      </w:r>
      <w:r>
        <w:rPr>
          <w:color w:val="231F20"/>
          <w:spacing w:val="-1"/>
          <w:vertAlign w:val="baseline"/>
        </w:rPr>
        <w:t>Busch,</w:t>
      </w:r>
      <w:r>
        <w:rPr>
          <w:color w:val="231F20"/>
          <w:spacing w:val="-13"/>
          <w:vertAlign w:val="baseline"/>
        </w:rPr>
        <w:t> </w:t>
      </w:r>
      <w:r>
        <w:rPr>
          <w:color w:val="231F20"/>
          <w:spacing w:val="-1"/>
          <w:vertAlign w:val="baseline"/>
        </w:rPr>
        <w:t>A.</w:t>
      </w:r>
      <w:r>
        <w:rPr>
          <w:color w:val="231F20"/>
          <w:vertAlign w:val="baseline"/>
        </w:rPr>
        <w:t> </w:t>
      </w:r>
      <w:r>
        <w:rPr>
          <w:color w:val="231F20"/>
          <w:spacing w:val="-1"/>
          <w:vertAlign w:val="baseline"/>
        </w:rPr>
        <w:t>C.,</w:t>
      </w:r>
      <w:r>
        <w:rPr>
          <w:color w:val="231F20"/>
          <w:spacing w:val="1"/>
          <w:vertAlign w:val="baseline"/>
        </w:rPr>
        <w:t> </w:t>
      </w:r>
      <w:r>
        <w:rPr>
          <w:color w:val="231F20"/>
          <w:spacing w:val="-1"/>
          <w:vertAlign w:val="baseline"/>
        </w:rPr>
        <w:t>Zamora,</w:t>
      </w:r>
      <w:r>
        <w:rPr>
          <w:color w:val="231F20"/>
          <w:spacing w:val="-5"/>
          <w:vertAlign w:val="baseline"/>
        </w:rPr>
        <w:t> </w:t>
      </w:r>
      <w:r>
        <w:rPr>
          <w:color w:val="231F20"/>
          <w:spacing w:val="-1"/>
          <w:vertAlign w:val="baseline"/>
        </w:rPr>
        <w:t>T.,</w:t>
      </w:r>
      <w:r>
        <w:rPr>
          <w:color w:val="231F20"/>
          <w:vertAlign w:val="baseline"/>
        </w:rPr>
        <w:t> Rodgers,</w:t>
      </w:r>
    </w:p>
    <w:p>
      <w:pPr>
        <w:pStyle w:val="ListParagraph"/>
        <w:numPr>
          <w:ilvl w:val="0"/>
          <w:numId w:val="50"/>
        </w:numPr>
        <w:tabs>
          <w:tab w:pos="737" w:val="left" w:leader="none"/>
        </w:tabs>
        <w:spacing w:line="228" w:lineRule="auto" w:before="0" w:after="0"/>
        <w:ind w:left="480" w:right="192" w:firstLine="0"/>
        <w:jc w:val="left"/>
        <w:rPr>
          <w:sz w:val="22"/>
        </w:rPr>
      </w:pPr>
      <w:r>
        <w:rPr>
          <w:color w:val="231F20"/>
          <w:sz w:val="22"/>
        </w:rPr>
        <w:t>S., Allard, C. B., Morland, L. A., &amp; Agha, Z.</w:t>
      </w:r>
      <w:r>
        <w:rPr>
          <w:color w:val="231F20"/>
          <w:spacing w:val="1"/>
          <w:sz w:val="22"/>
        </w:rPr>
        <w:t> </w:t>
      </w:r>
      <w:r>
        <w:rPr>
          <w:color w:val="231F20"/>
          <w:sz w:val="22"/>
        </w:rPr>
        <w:t>(2020). Videoconferencing psychotherapy for</w:t>
      </w:r>
      <w:r>
        <w:rPr>
          <w:color w:val="231F20"/>
          <w:spacing w:val="1"/>
          <w:sz w:val="22"/>
        </w:rPr>
        <w:t> </w:t>
      </w:r>
      <w:r>
        <w:rPr>
          <w:color w:val="231F20"/>
          <w:sz w:val="22"/>
        </w:rPr>
        <w:t>veterans with PTSD: Results from a randomized</w:t>
      </w:r>
      <w:r>
        <w:rPr>
          <w:color w:val="231F20"/>
          <w:spacing w:val="1"/>
          <w:sz w:val="22"/>
        </w:rPr>
        <w:t> </w:t>
      </w:r>
      <w:r>
        <w:rPr>
          <w:color w:val="231F20"/>
          <w:sz w:val="22"/>
        </w:rPr>
        <w:t>controlled non-inferiority trial. </w:t>
      </w:r>
      <w:r>
        <w:rPr>
          <w:i/>
          <w:color w:val="231F20"/>
          <w:sz w:val="22"/>
        </w:rPr>
        <w:t>Journal of</w:t>
      </w:r>
      <w:r>
        <w:rPr>
          <w:i/>
          <w:color w:val="231F20"/>
          <w:spacing w:val="1"/>
          <w:sz w:val="22"/>
        </w:rPr>
        <w:t> </w:t>
      </w:r>
      <w:r>
        <w:rPr>
          <w:i/>
          <w:color w:val="231F20"/>
          <w:sz w:val="22"/>
        </w:rPr>
        <w:t>Telemedicine</w:t>
      </w:r>
      <w:r>
        <w:rPr>
          <w:i/>
          <w:color w:val="231F20"/>
          <w:spacing w:val="-13"/>
          <w:sz w:val="22"/>
        </w:rPr>
        <w:t> </w:t>
      </w:r>
      <w:r>
        <w:rPr>
          <w:i/>
          <w:color w:val="231F20"/>
          <w:sz w:val="22"/>
        </w:rPr>
        <w:t>and</w:t>
      </w:r>
      <w:r>
        <w:rPr>
          <w:i/>
          <w:color w:val="231F20"/>
          <w:spacing w:val="-12"/>
          <w:sz w:val="22"/>
        </w:rPr>
        <w:t> </w:t>
      </w:r>
      <w:r>
        <w:rPr>
          <w:i/>
          <w:color w:val="231F20"/>
          <w:sz w:val="22"/>
        </w:rPr>
        <w:t>Telecare,</w:t>
      </w:r>
      <w:r>
        <w:rPr>
          <w:i/>
          <w:color w:val="231F20"/>
          <w:spacing w:val="-12"/>
          <w:sz w:val="22"/>
        </w:rPr>
        <w:t> </w:t>
      </w:r>
      <w:r>
        <w:rPr>
          <w:i/>
          <w:color w:val="231F20"/>
          <w:sz w:val="22"/>
        </w:rPr>
        <w:t>26</w:t>
      </w:r>
      <w:r>
        <w:rPr>
          <w:color w:val="231F20"/>
          <w:sz w:val="22"/>
        </w:rPr>
        <w:t>(9),</w:t>
      </w:r>
      <w:r>
        <w:rPr>
          <w:color w:val="231F20"/>
          <w:spacing w:val="-13"/>
          <w:sz w:val="22"/>
        </w:rPr>
        <w:t> </w:t>
      </w:r>
      <w:r>
        <w:rPr>
          <w:color w:val="231F20"/>
          <w:sz w:val="22"/>
        </w:rPr>
        <w:t>507-519.</w:t>
      </w:r>
      <w:r>
        <w:rPr>
          <w:color w:val="3953A4"/>
          <w:spacing w:val="-12"/>
          <w:sz w:val="22"/>
        </w:rPr>
        <w:t> </w:t>
      </w:r>
      <w:hyperlink r:id="rId189">
        <w:r>
          <w:rPr>
            <w:color w:val="3953A4"/>
            <w:sz w:val="22"/>
            <w:u w:val="single" w:color="3953A4"/>
          </w:rPr>
          <w:t>https://</w:t>
        </w:r>
      </w:hyperlink>
      <w:r>
        <w:rPr>
          <w:color w:val="3953A4"/>
          <w:spacing w:val="-52"/>
          <w:sz w:val="22"/>
        </w:rPr>
        <w:t> </w:t>
      </w:r>
      <w:hyperlink r:id="rId189">
        <w:r>
          <w:rPr>
            <w:color w:val="3953A4"/>
            <w:sz w:val="22"/>
            <w:u w:val="single" w:color="3953A4"/>
          </w:rPr>
          <w:t>doi.org/10.1177/1357633x19853947</w:t>
        </w:r>
      </w:hyperlink>
    </w:p>
    <w:p>
      <w:pPr>
        <w:pStyle w:val="BodyText"/>
        <w:tabs>
          <w:tab w:pos="479" w:val="left" w:leader="none"/>
        </w:tabs>
        <w:spacing w:line="228" w:lineRule="auto" w:before="88"/>
        <w:ind w:left="480" w:right="105" w:hanging="360"/>
      </w:pPr>
      <w:r>
        <w:rPr>
          <w:color w:val="231F20"/>
          <w:vertAlign w:val="superscript"/>
        </w:rPr>
        <w:t>60</w:t>
      </w:r>
      <w:r>
        <w:rPr>
          <w:color w:val="231F20"/>
          <w:vertAlign w:val="baseline"/>
        </w:rPr>
        <w:tab/>
        <w:t>Maieritsch, K. P., Smith, T. L., Hessinger, J. D.,</w:t>
      </w:r>
      <w:r>
        <w:rPr>
          <w:color w:val="231F20"/>
          <w:spacing w:val="1"/>
          <w:vertAlign w:val="baseline"/>
        </w:rPr>
        <w:t> </w:t>
      </w:r>
      <w:r>
        <w:rPr>
          <w:color w:val="231F20"/>
          <w:vertAlign w:val="baseline"/>
        </w:rPr>
        <w:t>Ahearn, E. P., Eickhoff, J. C., &amp; Zhao, Q. (2016).</w:t>
      </w:r>
      <w:r>
        <w:rPr>
          <w:color w:val="231F20"/>
          <w:spacing w:val="1"/>
          <w:vertAlign w:val="baseline"/>
        </w:rPr>
        <w:t> </w:t>
      </w:r>
      <w:r>
        <w:rPr>
          <w:color w:val="231F20"/>
          <w:vertAlign w:val="baseline"/>
        </w:rPr>
        <w:t>Randomized controlled equivalence trial comparing</w:t>
      </w:r>
      <w:r>
        <w:rPr>
          <w:color w:val="231F20"/>
          <w:spacing w:val="-52"/>
          <w:vertAlign w:val="baseline"/>
        </w:rPr>
        <w:t> </w:t>
      </w:r>
      <w:r>
        <w:rPr>
          <w:color w:val="231F20"/>
          <w:vertAlign w:val="baseline"/>
        </w:rPr>
        <w:t>videoconference</w:t>
      </w:r>
      <w:r>
        <w:rPr>
          <w:color w:val="231F20"/>
          <w:spacing w:val="9"/>
          <w:vertAlign w:val="baseline"/>
        </w:rPr>
        <w:t> </w:t>
      </w:r>
      <w:r>
        <w:rPr>
          <w:color w:val="231F20"/>
          <w:vertAlign w:val="baseline"/>
        </w:rPr>
        <w:t>and</w:t>
      </w:r>
      <w:r>
        <w:rPr>
          <w:color w:val="231F20"/>
          <w:spacing w:val="10"/>
          <w:vertAlign w:val="baseline"/>
        </w:rPr>
        <w:t> </w:t>
      </w:r>
      <w:r>
        <w:rPr>
          <w:color w:val="231F20"/>
          <w:vertAlign w:val="baseline"/>
        </w:rPr>
        <w:t>in</w:t>
      </w:r>
      <w:r>
        <w:rPr>
          <w:color w:val="231F20"/>
          <w:spacing w:val="10"/>
          <w:vertAlign w:val="baseline"/>
        </w:rPr>
        <w:t> </w:t>
      </w:r>
      <w:r>
        <w:rPr>
          <w:color w:val="231F20"/>
          <w:vertAlign w:val="baseline"/>
        </w:rPr>
        <w:t>person</w:t>
      </w:r>
      <w:r>
        <w:rPr>
          <w:color w:val="231F20"/>
          <w:spacing w:val="9"/>
          <w:vertAlign w:val="baseline"/>
        </w:rPr>
        <w:t> </w:t>
      </w:r>
      <w:r>
        <w:rPr>
          <w:color w:val="231F20"/>
          <w:vertAlign w:val="baseline"/>
        </w:rPr>
        <w:t>delivery</w:t>
      </w:r>
      <w:r>
        <w:rPr>
          <w:color w:val="231F20"/>
          <w:spacing w:val="10"/>
          <w:vertAlign w:val="baseline"/>
        </w:rPr>
        <w:t> </w:t>
      </w:r>
      <w:r>
        <w:rPr>
          <w:color w:val="231F20"/>
          <w:vertAlign w:val="baseline"/>
        </w:rPr>
        <w:t>of</w:t>
      </w:r>
      <w:r>
        <w:rPr>
          <w:color w:val="231F20"/>
          <w:spacing w:val="1"/>
          <w:vertAlign w:val="baseline"/>
        </w:rPr>
        <w:t> </w:t>
      </w:r>
      <w:r>
        <w:rPr>
          <w:color w:val="231F20"/>
          <w:vertAlign w:val="baseline"/>
        </w:rPr>
        <w:t>cognitive processing therapy for PTSD. </w:t>
      </w:r>
      <w:r>
        <w:rPr>
          <w:i/>
          <w:color w:val="231F20"/>
          <w:vertAlign w:val="baseline"/>
        </w:rPr>
        <w:t>Journal of</w:t>
      </w:r>
      <w:r>
        <w:rPr>
          <w:i/>
          <w:color w:val="231F20"/>
          <w:spacing w:val="1"/>
          <w:vertAlign w:val="baseline"/>
        </w:rPr>
        <w:t> </w:t>
      </w:r>
      <w:r>
        <w:rPr>
          <w:i/>
          <w:color w:val="231F20"/>
          <w:vertAlign w:val="baseline"/>
        </w:rPr>
        <w:t>Telemedicine and Telecare, 22</w:t>
      </w:r>
      <w:r>
        <w:rPr>
          <w:color w:val="231F20"/>
          <w:vertAlign w:val="baseline"/>
        </w:rPr>
        <w:t>(4), 238-243. </w:t>
      </w:r>
      <w:hyperlink r:id="rId190">
        <w:r>
          <w:rPr>
            <w:color w:val="3953A4"/>
            <w:u w:val="single" w:color="3953A4"/>
            <w:vertAlign w:val="baseline"/>
          </w:rPr>
          <w:t>https://</w:t>
        </w:r>
      </w:hyperlink>
      <w:r>
        <w:rPr>
          <w:color w:val="3953A4"/>
          <w:spacing w:val="-52"/>
          <w:vertAlign w:val="baseline"/>
        </w:rPr>
        <w:t> </w:t>
      </w:r>
      <w:hyperlink r:id="rId190">
        <w:r>
          <w:rPr>
            <w:color w:val="3953A4"/>
            <w:u w:val="single" w:color="3953A4"/>
            <w:vertAlign w:val="baseline"/>
          </w:rPr>
          <w:t>doi.org/10.1177/1357633x15596109</w:t>
        </w:r>
      </w:hyperlink>
    </w:p>
    <w:p>
      <w:pPr>
        <w:pStyle w:val="BodyText"/>
        <w:tabs>
          <w:tab w:pos="479" w:val="left" w:leader="none"/>
        </w:tabs>
        <w:spacing w:line="228" w:lineRule="auto" w:before="87"/>
        <w:ind w:left="480" w:right="38" w:hanging="360"/>
      </w:pPr>
      <w:r>
        <w:rPr>
          <w:color w:val="231F20"/>
          <w:vertAlign w:val="superscript"/>
        </w:rPr>
        <w:t>61</w:t>
      </w:r>
      <w:r>
        <w:rPr>
          <w:color w:val="231F20"/>
          <w:vertAlign w:val="baseline"/>
        </w:rPr>
        <w:tab/>
        <w:t>American Psychological Association. (2017, June</w:t>
      </w:r>
      <w:r>
        <w:rPr>
          <w:color w:val="231F20"/>
          <w:spacing w:val="1"/>
          <w:vertAlign w:val="baseline"/>
        </w:rPr>
        <w:t> </w:t>
      </w:r>
      <w:r>
        <w:rPr>
          <w:color w:val="231F20"/>
          <w:spacing w:val="-1"/>
          <w:vertAlign w:val="baseline"/>
        </w:rPr>
        <w:t>2020).</w:t>
      </w:r>
      <w:r>
        <w:rPr>
          <w:color w:val="231F20"/>
          <w:spacing w:val="3"/>
          <w:vertAlign w:val="baseline"/>
        </w:rPr>
        <w:t> </w:t>
      </w:r>
      <w:r>
        <w:rPr>
          <w:i/>
          <w:color w:val="231F20"/>
          <w:spacing w:val="-1"/>
          <w:vertAlign w:val="baseline"/>
        </w:rPr>
        <w:t>Prolonged</w:t>
      </w:r>
      <w:r>
        <w:rPr>
          <w:i/>
          <w:color w:val="231F20"/>
          <w:spacing w:val="2"/>
          <w:vertAlign w:val="baseline"/>
        </w:rPr>
        <w:t> </w:t>
      </w:r>
      <w:r>
        <w:rPr>
          <w:i/>
          <w:color w:val="231F20"/>
          <w:spacing w:val="-1"/>
          <w:vertAlign w:val="baseline"/>
        </w:rPr>
        <w:t>exposure</w:t>
      </w:r>
      <w:r>
        <w:rPr>
          <w:color w:val="231F20"/>
          <w:spacing w:val="-1"/>
          <w:vertAlign w:val="baseline"/>
        </w:rPr>
        <w:t>.</w:t>
      </w:r>
      <w:r>
        <w:rPr>
          <w:color w:val="231F20"/>
          <w:spacing w:val="-10"/>
          <w:vertAlign w:val="baseline"/>
        </w:rPr>
        <w:t> </w:t>
      </w:r>
      <w:r>
        <w:rPr>
          <w:color w:val="231F20"/>
          <w:spacing w:val="-1"/>
          <w:vertAlign w:val="baseline"/>
        </w:rPr>
        <w:t>American</w:t>
      </w:r>
      <w:r>
        <w:rPr>
          <w:color w:val="231F20"/>
          <w:spacing w:val="2"/>
          <w:vertAlign w:val="baseline"/>
        </w:rPr>
        <w:t> </w:t>
      </w:r>
      <w:r>
        <w:rPr>
          <w:color w:val="231F20"/>
          <w:spacing w:val="-1"/>
          <w:vertAlign w:val="baseline"/>
        </w:rPr>
        <w:t>Psychological</w:t>
      </w:r>
      <w:r>
        <w:rPr>
          <w:color w:val="231F20"/>
          <w:spacing w:val="-52"/>
          <w:vertAlign w:val="baseline"/>
        </w:rPr>
        <w:t> </w:t>
      </w:r>
      <w:r>
        <w:rPr>
          <w:color w:val="231F20"/>
          <w:vertAlign w:val="baseline"/>
        </w:rPr>
        <w:t>Association. </w:t>
      </w:r>
      <w:hyperlink r:id="rId191">
        <w:r>
          <w:rPr>
            <w:color w:val="3953A4"/>
            <w:u w:val="single" w:color="3953A4"/>
            <w:vertAlign w:val="baseline"/>
          </w:rPr>
          <w:t>https://www.apa.org/ptsd-guideline/</w:t>
        </w:r>
      </w:hyperlink>
      <w:r>
        <w:rPr>
          <w:color w:val="3953A4"/>
          <w:spacing w:val="1"/>
          <w:vertAlign w:val="baseline"/>
        </w:rPr>
        <w:t> </w:t>
      </w:r>
      <w:hyperlink r:id="rId191">
        <w:r>
          <w:rPr>
            <w:color w:val="3953A4"/>
            <w:u w:val="single" w:color="3953A4"/>
            <w:vertAlign w:val="baseline"/>
          </w:rPr>
          <w:t>treatments/prolonged-exposure</w:t>
        </w:r>
      </w:hyperlink>
    </w:p>
    <w:p>
      <w:pPr>
        <w:pStyle w:val="BodyText"/>
        <w:tabs>
          <w:tab w:pos="479" w:val="left" w:leader="none"/>
        </w:tabs>
        <w:spacing w:line="228" w:lineRule="auto" w:before="89"/>
        <w:ind w:left="480" w:right="70" w:hanging="360"/>
      </w:pPr>
      <w:r>
        <w:rPr>
          <w:color w:val="231F20"/>
          <w:vertAlign w:val="superscript"/>
        </w:rPr>
        <w:t>62</w:t>
      </w:r>
      <w:r>
        <w:rPr>
          <w:color w:val="231F20"/>
          <w:vertAlign w:val="baseline"/>
        </w:rPr>
        <w:tab/>
        <w:t>UPenn Perelman School of Medicine. (2020). </w:t>
      </w:r>
      <w:r>
        <w:rPr>
          <w:i/>
          <w:color w:val="231F20"/>
          <w:vertAlign w:val="baseline"/>
        </w:rPr>
        <w:t>About</w:t>
      </w:r>
      <w:r>
        <w:rPr>
          <w:i/>
          <w:color w:val="231F20"/>
          <w:spacing w:val="-52"/>
          <w:vertAlign w:val="baseline"/>
        </w:rPr>
        <w:t> </w:t>
      </w:r>
      <w:r>
        <w:rPr>
          <w:i/>
          <w:color w:val="231F20"/>
          <w:vertAlign w:val="baseline"/>
        </w:rPr>
        <w:t>prolonged exposure therapy</w:t>
      </w:r>
      <w:r>
        <w:rPr>
          <w:color w:val="231F20"/>
          <w:vertAlign w:val="baseline"/>
        </w:rPr>
        <w:t>. UPenn Perelman</w:t>
      </w:r>
      <w:r>
        <w:rPr>
          <w:color w:val="231F20"/>
          <w:spacing w:val="1"/>
          <w:vertAlign w:val="baseline"/>
        </w:rPr>
        <w:t> </w:t>
      </w:r>
      <w:r>
        <w:rPr>
          <w:color w:val="231F20"/>
          <w:vertAlign w:val="baseline"/>
        </w:rPr>
        <w:t>School of Medicine. </w:t>
      </w:r>
      <w:hyperlink r:id="rId192">
        <w:r>
          <w:rPr>
            <w:color w:val="3953A4"/>
            <w:u w:val="single" w:color="3953A4"/>
            <w:vertAlign w:val="baseline"/>
          </w:rPr>
          <w:t>https://www.med.upenn.edu/</w:t>
        </w:r>
      </w:hyperlink>
      <w:r>
        <w:rPr>
          <w:color w:val="3953A4"/>
          <w:spacing w:val="1"/>
          <w:vertAlign w:val="baseline"/>
        </w:rPr>
        <w:t> </w:t>
      </w:r>
      <w:hyperlink r:id="rId192">
        <w:r>
          <w:rPr>
            <w:color w:val="3953A4"/>
            <w:u w:val="single" w:color="3953A4"/>
            <w:vertAlign w:val="baseline"/>
          </w:rPr>
          <w:t>ctsa/workshops_pet.html</w:t>
        </w:r>
      </w:hyperlink>
    </w:p>
    <w:p>
      <w:pPr>
        <w:pStyle w:val="BodyText"/>
        <w:tabs>
          <w:tab w:pos="479" w:val="left" w:leader="none"/>
        </w:tabs>
        <w:spacing w:line="228" w:lineRule="auto" w:before="89"/>
        <w:ind w:left="480" w:right="428" w:hanging="360"/>
      </w:pPr>
      <w:r>
        <w:rPr>
          <w:color w:val="231F20"/>
          <w:vertAlign w:val="superscript"/>
        </w:rPr>
        <w:t>63</w:t>
      </w:r>
      <w:r>
        <w:rPr>
          <w:color w:val="231F20"/>
          <w:vertAlign w:val="baseline"/>
        </w:rPr>
        <w:tab/>
      </w:r>
      <w:r>
        <w:rPr>
          <w:color w:val="231F20"/>
          <w:w w:val="95"/>
          <w:vertAlign w:val="baseline"/>
        </w:rPr>
        <w:t>U.S.</w:t>
      </w:r>
      <w:r>
        <w:rPr>
          <w:color w:val="231F20"/>
          <w:spacing w:val="13"/>
          <w:w w:val="95"/>
          <w:vertAlign w:val="baseline"/>
        </w:rPr>
        <w:t> </w:t>
      </w:r>
      <w:r>
        <w:rPr>
          <w:color w:val="231F20"/>
          <w:w w:val="95"/>
          <w:vertAlign w:val="baseline"/>
        </w:rPr>
        <w:t>Department</w:t>
      </w:r>
      <w:r>
        <w:rPr>
          <w:color w:val="231F20"/>
          <w:spacing w:val="13"/>
          <w:w w:val="95"/>
          <w:vertAlign w:val="baseline"/>
        </w:rPr>
        <w:t> </w:t>
      </w:r>
      <w:r>
        <w:rPr>
          <w:color w:val="231F20"/>
          <w:w w:val="95"/>
          <w:vertAlign w:val="baseline"/>
        </w:rPr>
        <w:t>of</w:t>
      </w:r>
      <w:r>
        <w:rPr>
          <w:color w:val="231F20"/>
          <w:spacing w:val="9"/>
          <w:w w:val="95"/>
          <w:vertAlign w:val="baseline"/>
        </w:rPr>
        <w:t> </w:t>
      </w:r>
      <w:r>
        <w:rPr>
          <w:color w:val="231F20"/>
          <w:w w:val="95"/>
          <w:vertAlign w:val="baseline"/>
        </w:rPr>
        <w:t>Veterans</w:t>
      </w:r>
      <w:r>
        <w:rPr>
          <w:color w:val="231F20"/>
          <w:spacing w:val="-2"/>
          <w:w w:val="95"/>
          <w:vertAlign w:val="baseline"/>
        </w:rPr>
        <w:t> </w:t>
      </w:r>
      <w:r>
        <w:rPr>
          <w:color w:val="231F20"/>
          <w:w w:val="95"/>
          <w:vertAlign w:val="baseline"/>
        </w:rPr>
        <w:t>Affairs.</w:t>
      </w:r>
      <w:r>
        <w:rPr>
          <w:color w:val="231F20"/>
          <w:spacing w:val="14"/>
          <w:w w:val="95"/>
          <w:vertAlign w:val="baseline"/>
        </w:rPr>
        <w:t> </w:t>
      </w:r>
      <w:r>
        <w:rPr>
          <w:color w:val="231F20"/>
          <w:w w:val="95"/>
          <w:vertAlign w:val="baseline"/>
        </w:rPr>
        <w:t>(2020).</w:t>
      </w:r>
      <w:r>
        <w:rPr>
          <w:color w:val="231F20"/>
          <w:spacing w:val="1"/>
          <w:w w:val="95"/>
          <w:vertAlign w:val="baseline"/>
        </w:rPr>
        <w:t> </w:t>
      </w:r>
      <w:r>
        <w:rPr>
          <w:i/>
          <w:color w:val="231F20"/>
          <w:vertAlign w:val="baseline"/>
        </w:rPr>
        <w:t>Prolonged</w:t>
      </w:r>
      <w:r>
        <w:rPr>
          <w:i/>
          <w:color w:val="231F20"/>
          <w:spacing w:val="-7"/>
          <w:vertAlign w:val="baseline"/>
        </w:rPr>
        <w:t> </w:t>
      </w:r>
      <w:r>
        <w:rPr>
          <w:i/>
          <w:color w:val="231F20"/>
          <w:vertAlign w:val="baseline"/>
        </w:rPr>
        <w:t>exposure</w:t>
      </w:r>
      <w:r>
        <w:rPr>
          <w:i/>
          <w:color w:val="231F20"/>
          <w:spacing w:val="-6"/>
          <w:vertAlign w:val="baseline"/>
        </w:rPr>
        <w:t> </w:t>
      </w:r>
      <w:r>
        <w:rPr>
          <w:i/>
          <w:color w:val="231F20"/>
          <w:vertAlign w:val="baseline"/>
        </w:rPr>
        <w:t>for</w:t>
      </w:r>
      <w:r>
        <w:rPr>
          <w:i/>
          <w:color w:val="231F20"/>
          <w:spacing w:val="-6"/>
          <w:vertAlign w:val="baseline"/>
        </w:rPr>
        <w:t> </w:t>
      </w:r>
      <w:r>
        <w:rPr>
          <w:i/>
          <w:color w:val="231F20"/>
          <w:vertAlign w:val="baseline"/>
        </w:rPr>
        <w:t>PTSD</w:t>
      </w:r>
      <w:r>
        <w:rPr>
          <w:color w:val="231F20"/>
          <w:vertAlign w:val="baseline"/>
        </w:rPr>
        <w:t>.</w:t>
      </w:r>
      <w:r>
        <w:rPr>
          <w:color w:val="231F20"/>
          <w:spacing w:val="-7"/>
          <w:vertAlign w:val="baseline"/>
        </w:rPr>
        <w:t> </w:t>
      </w:r>
      <w:r>
        <w:rPr>
          <w:color w:val="231F20"/>
          <w:vertAlign w:val="baseline"/>
        </w:rPr>
        <w:t>U.S.</w:t>
      </w:r>
      <w:r>
        <w:rPr>
          <w:color w:val="231F20"/>
          <w:spacing w:val="-6"/>
          <w:vertAlign w:val="baseline"/>
        </w:rPr>
        <w:t> </w:t>
      </w:r>
      <w:r>
        <w:rPr>
          <w:color w:val="231F20"/>
          <w:vertAlign w:val="baseline"/>
        </w:rPr>
        <w:t>Department</w:t>
      </w:r>
      <w:r>
        <w:rPr>
          <w:color w:val="231F20"/>
          <w:spacing w:val="-52"/>
          <w:vertAlign w:val="baseline"/>
        </w:rPr>
        <w:t> </w:t>
      </w:r>
      <w:r>
        <w:rPr>
          <w:color w:val="231F20"/>
          <w:spacing w:val="-2"/>
          <w:vertAlign w:val="baseline"/>
        </w:rPr>
        <w:t>of Veterans Affairs. </w:t>
      </w:r>
      <w:hyperlink r:id="rId193">
        <w:r>
          <w:rPr>
            <w:color w:val="3953A4"/>
            <w:spacing w:val="-2"/>
            <w:u w:val="single" w:color="3953A4"/>
            <w:vertAlign w:val="baseline"/>
          </w:rPr>
          <w:t>https://www.ptsd.va.gov/</w:t>
        </w:r>
      </w:hyperlink>
      <w:r>
        <w:rPr>
          <w:color w:val="3953A4"/>
          <w:spacing w:val="-1"/>
          <w:vertAlign w:val="baseline"/>
        </w:rPr>
        <w:t> </w:t>
      </w:r>
      <w:hyperlink r:id="rId193">
        <w:r>
          <w:rPr>
            <w:color w:val="3953A4"/>
            <w:u w:val="single" w:color="3953A4"/>
            <w:vertAlign w:val="baseline"/>
          </w:rPr>
          <w:t>understand_tx/prolonged_exposure.asp</w:t>
        </w:r>
      </w:hyperlink>
    </w:p>
    <w:p>
      <w:pPr>
        <w:pStyle w:val="BodyText"/>
        <w:tabs>
          <w:tab w:pos="479" w:val="left" w:leader="none"/>
        </w:tabs>
        <w:spacing w:line="228" w:lineRule="auto" w:before="101"/>
        <w:ind w:left="480" w:right="1005" w:hanging="360"/>
      </w:pPr>
      <w:r>
        <w:rPr/>
        <w:br w:type="column"/>
      </w:r>
      <w:r>
        <w:rPr>
          <w:color w:val="231F20"/>
          <w:vertAlign w:val="superscript"/>
        </w:rPr>
        <w:t>64</w:t>
      </w:r>
      <w:r>
        <w:rPr>
          <w:color w:val="231F20"/>
          <w:vertAlign w:val="baseline"/>
        </w:rPr>
        <w:tab/>
        <w:t>Yuen, E. K., Gros, D. F., Price, M., Zeigler, S.,</w:t>
      </w:r>
      <w:r>
        <w:rPr>
          <w:color w:val="231F20"/>
          <w:spacing w:val="1"/>
          <w:vertAlign w:val="baseline"/>
        </w:rPr>
        <w:t> </w:t>
      </w:r>
      <w:r>
        <w:rPr>
          <w:color w:val="231F20"/>
          <w:spacing w:val="-2"/>
          <w:vertAlign w:val="baseline"/>
        </w:rPr>
        <w:t>Tuerk, P. W., Foa, E. </w:t>
      </w:r>
      <w:r>
        <w:rPr>
          <w:color w:val="231F20"/>
          <w:spacing w:val="-1"/>
          <w:vertAlign w:val="baseline"/>
        </w:rPr>
        <w:t>B., &amp; Acierno, R. (2015).</w:t>
      </w:r>
      <w:r>
        <w:rPr>
          <w:color w:val="231F20"/>
          <w:vertAlign w:val="baseline"/>
        </w:rPr>
        <w:t> Randomized controlled trial of home‐based</w:t>
      </w:r>
      <w:r>
        <w:rPr>
          <w:color w:val="231F20"/>
          <w:spacing w:val="1"/>
          <w:vertAlign w:val="baseline"/>
        </w:rPr>
        <w:t> </w:t>
      </w:r>
      <w:r>
        <w:rPr>
          <w:color w:val="231F20"/>
          <w:vertAlign w:val="baseline"/>
        </w:rPr>
        <w:t>telehealth versus in‐person prolonged exposure</w:t>
      </w:r>
      <w:r>
        <w:rPr>
          <w:color w:val="231F20"/>
          <w:spacing w:val="1"/>
          <w:vertAlign w:val="baseline"/>
        </w:rPr>
        <w:t> </w:t>
      </w:r>
      <w:r>
        <w:rPr>
          <w:color w:val="231F20"/>
          <w:vertAlign w:val="baseline"/>
        </w:rPr>
        <w:t>for</w:t>
      </w:r>
      <w:r>
        <w:rPr>
          <w:color w:val="231F20"/>
          <w:spacing w:val="-3"/>
          <w:vertAlign w:val="baseline"/>
        </w:rPr>
        <w:t> </w:t>
      </w:r>
      <w:r>
        <w:rPr>
          <w:color w:val="231F20"/>
          <w:vertAlign w:val="baseline"/>
        </w:rPr>
        <w:t>combat‐related</w:t>
      </w:r>
      <w:r>
        <w:rPr>
          <w:color w:val="231F20"/>
          <w:spacing w:val="-3"/>
          <w:vertAlign w:val="baseline"/>
        </w:rPr>
        <w:t> </w:t>
      </w:r>
      <w:r>
        <w:rPr>
          <w:color w:val="231F20"/>
          <w:vertAlign w:val="baseline"/>
        </w:rPr>
        <w:t>PTSD</w:t>
      </w:r>
      <w:r>
        <w:rPr>
          <w:color w:val="231F20"/>
          <w:spacing w:val="-3"/>
          <w:vertAlign w:val="baseline"/>
        </w:rPr>
        <w:t> </w:t>
      </w:r>
      <w:r>
        <w:rPr>
          <w:color w:val="231F20"/>
          <w:vertAlign w:val="baseline"/>
        </w:rPr>
        <w:t>in</w:t>
      </w:r>
      <w:r>
        <w:rPr>
          <w:color w:val="231F20"/>
          <w:spacing w:val="-3"/>
          <w:vertAlign w:val="baseline"/>
        </w:rPr>
        <w:t> </w:t>
      </w:r>
      <w:r>
        <w:rPr>
          <w:color w:val="231F20"/>
          <w:vertAlign w:val="baseline"/>
        </w:rPr>
        <w:t>veterans:</w:t>
      </w:r>
      <w:r>
        <w:rPr>
          <w:color w:val="231F20"/>
          <w:spacing w:val="-3"/>
          <w:vertAlign w:val="baseline"/>
        </w:rPr>
        <w:t> </w:t>
      </w:r>
      <w:r>
        <w:rPr>
          <w:color w:val="231F20"/>
          <w:vertAlign w:val="baseline"/>
        </w:rPr>
        <w:t>Preliminary</w:t>
      </w:r>
    </w:p>
    <w:p>
      <w:pPr>
        <w:spacing w:line="228" w:lineRule="auto" w:before="0"/>
        <w:ind w:left="480" w:right="880" w:firstLine="0"/>
        <w:jc w:val="left"/>
        <w:rPr>
          <w:sz w:val="22"/>
        </w:rPr>
      </w:pPr>
      <w:r>
        <w:rPr>
          <w:color w:val="231F20"/>
          <w:sz w:val="22"/>
        </w:rPr>
        <w:t>results.</w:t>
      </w:r>
      <w:r>
        <w:rPr>
          <w:color w:val="231F20"/>
          <w:spacing w:val="-5"/>
          <w:sz w:val="22"/>
        </w:rPr>
        <w:t> </w:t>
      </w:r>
      <w:r>
        <w:rPr>
          <w:i/>
          <w:color w:val="231F20"/>
          <w:sz w:val="22"/>
        </w:rPr>
        <w:t>Journal</w:t>
      </w:r>
      <w:r>
        <w:rPr>
          <w:i/>
          <w:color w:val="231F20"/>
          <w:spacing w:val="-5"/>
          <w:sz w:val="22"/>
        </w:rPr>
        <w:t> </w:t>
      </w:r>
      <w:r>
        <w:rPr>
          <w:i/>
          <w:color w:val="231F20"/>
          <w:sz w:val="22"/>
        </w:rPr>
        <w:t>of</w:t>
      </w:r>
      <w:r>
        <w:rPr>
          <w:i/>
          <w:color w:val="231F20"/>
          <w:spacing w:val="-4"/>
          <w:sz w:val="22"/>
        </w:rPr>
        <w:t> </w:t>
      </w:r>
      <w:r>
        <w:rPr>
          <w:i/>
          <w:color w:val="231F20"/>
          <w:sz w:val="22"/>
        </w:rPr>
        <w:t>Clinical</w:t>
      </w:r>
      <w:r>
        <w:rPr>
          <w:i/>
          <w:color w:val="231F20"/>
          <w:spacing w:val="-5"/>
          <w:sz w:val="22"/>
        </w:rPr>
        <w:t> </w:t>
      </w:r>
      <w:r>
        <w:rPr>
          <w:i/>
          <w:color w:val="231F20"/>
          <w:sz w:val="22"/>
        </w:rPr>
        <w:t>Psychology,</w:t>
      </w:r>
      <w:r>
        <w:rPr>
          <w:i/>
          <w:color w:val="231F20"/>
          <w:spacing w:val="-5"/>
          <w:sz w:val="22"/>
        </w:rPr>
        <w:t> </w:t>
      </w:r>
      <w:r>
        <w:rPr>
          <w:i/>
          <w:color w:val="231F20"/>
          <w:sz w:val="22"/>
        </w:rPr>
        <w:t>71</w:t>
      </w:r>
      <w:r>
        <w:rPr>
          <w:color w:val="231F20"/>
          <w:sz w:val="22"/>
        </w:rPr>
        <w:t>(6),</w:t>
      </w:r>
      <w:r>
        <w:rPr>
          <w:color w:val="231F20"/>
          <w:spacing w:val="-4"/>
          <w:sz w:val="22"/>
        </w:rPr>
        <w:t> </w:t>
      </w:r>
      <w:r>
        <w:rPr>
          <w:color w:val="231F20"/>
          <w:sz w:val="22"/>
        </w:rPr>
        <w:t>500-</w:t>
      </w:r>
      <w:r>
        <w:rPr>
          <w:color w:val="231F20"/>
          <w:spacing w:val="-52"/>
          <w:sz w:val="22"/>
        </w:rPr>
        <w:t> </w:t>
      </w:r>
      <w:r>
        <w:rPr>
          <w:color w:val="231F20"/>
          <w:sz w:val="22"/>
        </w:rPr>
        <w:t>512.</w:t>
      </w:r>
      <w:r>
        <w:rPr>
          <w:color w:val="231F20"/>
          <w:spacing w:val="-1"/>
          <w:sz w:val="22"/>
        </w:rPr>
        <w:t> </w:t>
      </w:r>
      <w:hyperlink r:id="rId194">
        <w:r>
          <w:rPr>
            <w:color w:val="3953A4"/>
            <w:sz w:val="22"/>
            <w:u w:val="single" w:color="3953A4"/>
          </w:rPr>
          <w:t>https://doi.org/10.1002/jclp.22168</w:t>
        </w:r>
      </w:hyperlink>
    </w:p>
    <w:p>
      <w:pPr>
        <w:pStyle w:val="BodyText"/>
        <w:tabs>
          <w:tab w:pos="479" w:val="left" w:leader="none"/>
        </w:tabs>
        <w:spacing w:line="228" w:lineRule="auto" w:before="88"/>
        <w:ind w:left="480" w:right="1004" w:hanging="360"/>
      </w:pPr>
      <w:r>
        <w:rPr>
          <w:color w:val="231F20"/>
          <w:vertAlign w:val="superscript"/>
        </w:rPr>
        <w:t>65</w:t>
      </w:r>
      <w:r>
        <w:rPr>
          <w:color w:val="231F20"/>
          <w:vertAlign w:val="baseline"/>
        </w:rPr>
        <w:tab/>
      </w:r>
      <w:r>
        <w:rPr>
          <w:color w:val="231F20"/>
          <w:spacing w:val="-2"/>
          <w:vertAlign w:val="baseline"/>
        </w:rPr>
        <w:t>Acierno, </w:t>
      </w:r>
      <w:r>
        <w:rPr>
          <w:color w:val="231F20"/>
          <w:spacing w:val="-1"/>
          <w:vertAlign w:val="baseline"/>
        </w:rPr>
        <w:t>R., Knapp, R., Tuerk, P., Gilmore, A. K.,</w:t>
      </w:r>
      <w:r>
        <w:rPr>
          <w:color w:val="231F20"/>
          <w:spacing w:val="-52"/>
          <w:vertAlign w:val="baseline"/>
        </w:rPr>
        <w:t> </w:t>
      </w:r>
      <w:r>
        <w:rPr>
          <w:color w:val="231F20"/>
          <w:vertAlign w:val="baseline"/>
        </w:rPr>
        <w:t>Lejuez, C., Ruggiero, K., Muzzy, W., Egede, L.,</w:t>
      </w:r>
      <w:r>
        <w:rPr>
          <w:color w:val="231F20"/>
          <w:spacing w:val="1"/>
          <w:vertAlign w:val="baseline"/>
        </w:rPr>
        <w:t> </w:t>
      </w:r>
      <w:r>
        <w:rPr>
          <w:color w:val="231F20"/>
          <w:spacing w:val="-1"/>
          <w:vertAlign w:val="baseline"/>
        </w:rPr>
        <w:t>Hernandez-Tejada,</w:t>
      </w:r>
      <w:r>
        <w:rPr>
          <w:color w:val="231F20"/>
          <w:vertAlign w:val="baseline"/>
        </w:rPr>
        <w:t> </w:t>
      </w:r>
      <w:r>
        <w:rPr>
          <w:color w:val="231F20"/>
          <w:spacing w:val="-1"/>
          <w:vertAlign w:val="baseline"/>
        </w:rPr>
        <w:t>M.</w:t>
      </w:r>
      <w:r>
        <w:rPr>
          <w:color w:val="231F20"/>
          <w:spacing w:val="-13"/>
          <w:vertAlign w:val="baseline"/>
        </w:rPr>
        <w:t> </w:t>
      </w:r>
      <w:r>
        <w:rPr>
          <w:color w:val="231F20"/>
          <w:spacing w:val="-1"/>
          <w:vertAlign w:val="baseline"/>
        </w:rPr>
        <w:t>A.,</w:t>
      </w:r>
      <w:r>
        <w:rPr>
          <w:color w:val="231F20"/>
          <w:vertAlign w:val="baseline"/>
        </w:rPr>
        <w:t> </w:t>
      </w:r>
      <w:r>
        <w:rPr>
          <w:color w:val="231F20"/>
          <w:spacing w:val="-1"/>
          <w:vertAlign w:val="baseline"/>
        </w:rPr>
        <w:t>&amp;</w:t>
      </w:r>
      <w:r>
        <w:rPr>
          <w:color w:val="231F20"/>
          <w:vertAlign w:val="baseline"/>
        </w:rPr>
        <w:t> </w:t>
      </w:r>
      <w:r>
        <w:rPr>
          <w:color w:val="231F20"/>
          <w:spacing w:val="-1"/>
          <w:vertAlign w:val="baseline"/>
        </w:rPr>
        <w:t>Foa,</w:t>
      </w:r>
      <w:r>
        <w:rPr>
          <w:color w:val="231F20"/>
          <w:vertAlign w:val="baseline"/>
        </w:rPr>
        <w:t> </w:t>
      </w:r>
      <w:r>
        <w:rPr>
          <w:color w:val="231F20"/>
          <w:spacing w:val="-1"/>
          <w:vertAlign w:val="baseline"/>
        </w:rPr>
        <w:t>E.</w:t>
      </w:r>
      <w:r>
        <w:rPr>
          <w:color w:val="231F20"/>
          <w:vertAlign w:val="baseline"/>
        </w:rPr>
        <w:t> </w:t>
      </w:r>
      <w:r>
        <w:rPr>
          <w:color w:val="231F20"/>
          <w:spacing w:val="-1"/>
          <w:vertAlign w:val="baseline"/>
        </w:rPr>
        <w:t>B.</w:t>
      </w:r>
      <w:r>
        <w:rPr>
          <w:color w:val="231F20"/>
          <w:spacing w:val="1"/>
          <w:vertAlign w:val="baseline"/>
        </w:rPr>
        <w:t> </w:t>
      </w:r>
      <w:r>
        <w:rPr>
          <w:color w:val="231F20"/>
          <w:spacing w:val="-1"/>
          <w:vertAlign w:val="baseline"/>
        </w:rPr>
        <w:t>(2017).</w:t>
      </w:r>
    </w:p>
    <w:p>
      <w:pPr>
        <w:pStyle w:val="BodyText"/>
        <w:spacing w:line="228" w:lineRule="auto"/>
        <w:ind w:left="480" w:right="1145"/>
      </w:pPr>
      <w:r>
        <w:rPr>
          <w:color w:val="231F20"/>
          <w:spacing w:val="-1"/>
        </w:rPr>
        <w:t>A non-inferiority trial </w:t>
      </w:r>
      <w:r>
        <w:rPr>
          <w:color w:val="231F20"/>
        </w:rPr>
        <w:t>of prolonged exposure for</w:t>
      </w:r>
      <w:r>
        <w:rPr>
          <w:color w:val="231F20"/>
          <w:spacing w:val="-52"/>
        </w:rPr>
        <w:t> </w:t>
      </w:r>
      <w:r>
        <w:rPr>
          <w:color w:val="231F20"/>
        </w:rPr>
        <w:t>posttraumatic stress disorder: In person versus</w:t>
      </w:r>
      <w:r>
        <w:rPr>
          <w:color w:val="231F20"/>
          <w:spacing w:val="1"/>
        </w:rPr>
        <w:t> </w:t>
      </w:r>
      <w:r>
        <w:rPr>
          <w:color w:val="231F20"/>
        </w:rPr>
        <w:t>home-based</w:t>
      </w:r>
      <w:r>
        <w:rPr>
          <w:color w:val="231F20"/>
          <w:spacing w:val="-6"/>
        </w:rPr>
        <w:t> </w:t>
      </w:r>
      <w:r>
        <w:rPr>
          <w:color w:val="231F20"/>
        </w:rPr>
        <w:t>telehealth.</w:t>
      </w:r>
      <w:r>
        <w:rPr>
          <w:color w:val="231F20"/>
          <w:spacing w:val="-6"/>
        </w:rPr>
        <w:t> </w:t>
      </w:r>
      <w:r>
        <w:rPr>
          <w:i/>
          <w:color w:val="231F20"/>
        </w:rPr>
        <w:t>Behaviour</w:t>
      </w:r>
      <w:r>
        <w:rPr>
          <w:i/>
          <w:color w:val="231F20"/>
          <w:spacing w:val="-5"/>
        </w:rPr>
        <w:t> </w:t>
      </w:r>
      <w:r>
        <w:rPr>
          <w:i/>
          <w:color w:val="231F20"/>
        </w:rPr>
        <w:t>Research</w:t>
      </w:r>
      <w:r>
        <w:rPr>
          <w:i/>
          <w:color w:val="231F20"/>
          <w:spacing w:val="-5"/>
        </w:rPr>
        <w:t> </w:t>
      </w:r>
      <w:r>
        <w:rPr>
          <w:i/>
          <w:color w:val="231F20"/>
        </w:rPr>
        <w:t>and</w:t>
      </w:r>
      <w:r>
        <w:rPr>
          <w:i/>
          <w:color w:val="231F20"/>
          <w:spacing w:val="-52"/>
        </w:rPr>
        <w:t> </w:t>
      </w:r>
      <w:r>
        <w:rPr>
          <w:i/>
          <w:color w:val="231F20"/>
        </w:rPr>
        <w:t>Therapy, 89</w:t>
      </w:r>
      <w:r>
        <w:rPr>
          <w:color w:val="231F20"/>
        </w:rPr>
        <w:t>, 57-65. </w:t>
      </w:r>
      <w:hyperlink r:id="rId195">
        <w:r>
          <w:rPr>
            <w:color w:val="3953A4"/>
            <w:u w:val="single" w:color="3953A4"/>
          </w:rPr>
          <w:t>https://doi.org/10.1016/j.</w:t>
        </w:r>
      </w:hyperlink>
      <w:r>
        <w:rPr>
          <w:color w:val="3953A4"/>
          <w:spacing w:val="1"/>
        </w:rPr>
        <w:t> </w:t>
      </w:r>
      <w:hyperlink r:id="rId195">
        <w:r>
          <w:rPr>
            <w:color w:val="3953A4"/>
            <w:u w:val="single" w:color="3953A4"/>
          </w:rPr>
          <w:t>brat.2016.11.009</w:t>
        </w:r>
      </w:hyperlink>
    </w:p>
    <w:p>
      <w:pPr>
        <w:tabs>
          <w:tab w:pos="479" w:val="left" w:leader="none"/>
        </w:tabs>
        <w:spacing w:line="228" w:lineRule="auto" w:before="87"/>
        <w:ind w:left="480" w:right="832" w:hanging="360"/>
        <w:jc w:val="left"/>
        <w:rPr>
          <w:sz w:val="22"/>
        </w:rPr>
      </w:pPr>
      <w:r>
        <w:rPr>
          <w:color w:val="231F20"/>
          <w:sz w:val="22"/>
          <w:vertAlign w:val="superscript"/>
        </w:rPr>
        <w:t>66</w:t>
      </w:r>
      <w:r>
        <w:rPr>
          <w:color w:val="231F20"/>
          <w:sz w:val="22"/>
          <w:vertAlign w:val="baseline"/>
        </w:rPr>
        <w:tab/>
      </w:r>
      <w:r>
        <w:rPr>
          <w:color w:val="231F20"/>
          <w:spacing w:val="-1"/>
          <w:sz w:val="22"/>
          <w:vertAlign w:val="baseline"/>
        </w:rPr>
        <w:t>Tuerk, P. W., Yoder, M., Ruggiero, K. </w:t>
      </w:r>
      <w:r>
        <w:rPr>
          <w:color w:val="231F20"/>
          <w:sz w:val="22"/>
          <w:vertAlign w:val="baseline"/>
        </w:rPr>
        <w:t>J., Gros, D.</w:t>
      </w:r>
      <w:r>
        <w:rPr>
          <w:color w:val="231F20"/>
          <w:spacing w:val="1"/>
          <w:sz w:val="22"/>
          <w:vertAlign w:val="baseline"/>
        </w:rPr>
        <w:t> </w:t>
      </w:r>
      <w:r>
        <w:rPr>
          <w:color w:val="231F20"/>
          <w:spacing w:val="-1"/>
          <w:sz w:val="22"/>
          <w:vertAlign w:val="baseline"/>
        </w:rPr>
        <w:t>F.,</w:t>
      </w:r>
      <w:r>
        <w:rPr>
          <w:color w:val="231F20"/>
          <w:sz w:val="22"/>
          <w:vertAlign w:val="baseline"/>
        </w:rPr>
        <w:t> </w:t>
      </w:r>
      <w:r>
        <w:rPr>
          <w:color w:val="231F20"/>
          <w:spacing w:val="-1"/>
          <w:sz w:val="22"/>
          <w:vertAlign w:val="baseline"/>
        </w:rPr>
        <w:t>&amp;</w:t>
      </w:r>
      <w:r>
        <w:rPr>
          <w:color w:val="231F20"/>
          <w:spacing w:val="-13"/>
          <w:sz w:val="22"/>
          <w:vertAlign w:val="baseline"/>
        </w:rPr>
        <w:t> </w:t>
      </w:r>
      <w:r>
        <w:rPr>
          <w:color w:val="231F20"/>
          <w:spacing w:val="-1"/>
          <w:sz w:val="22"/>
          <w:vertAlign w:val="baseline"/>
        </w:rPr>
        <w:t>Acierno,</w:t>
      </w:r>
      <w:r>
        <w:rPr>
          <w:color w:val="231F20"/>
          <w:sz w:val="22"/>
          <w:vertAlign w:val="baseline"/>
        </w:rPr>
        <w:t> </w:t>
      </w:r>
      <w:r>
        <w:rPr>
          <w:color w:val="231F20"/>
          <w:spacing w:val="-1"/>
          <w:sz w:val="22"/>
          <w:vertAlign w:val="baseline"/>
        </w:rPr>
        <w:t>R.</w:t>
      </w:r>
      <w:r>
        <w:rPr>
          <w:color w:val="231F20"/>
          <w:sz w:val="22"/>
          <w:vertAlign w:val="baseline"/>
        </w:rPr>
        <w:t> </w:t>
      </w:r>
      <w:r>
        <w:rPr>
          <w:color w:val="231F20"/>
          <w:spacing w:val="-1"/>
          <w:sz w:val="22"/>
          <w:vertAlign w:val="baseline"/>
        </w:rPr>
        <w:t>(2010).</w:t>
      </w:r>
      <w:r>
        <w:rPr>
          <w:color w:val="231F20"/>
          <w:spacing w:val="-13"/>
          <w:sz w:val="22"/>
          <w:vertAlign w:val="baseline"/>
        </w:rPr>
        <w:t> </w:t>
      </w:r>
      <w:r>
        <w:rPr>
          <w:color w:val="231F20"/>
          <w:spacing w:val="-1"/>
          <w:sz w:val="22"/>
          <w:vertAlign w:val="baseline"/>
        </w:rPr>
        <w:t>A</w:t>
      </w:r>
      <w:r>
        <w:rPr>
          <w:color w:val="231F20"/>
          <w:spacing w:val="-13"/>
          <w:sz w:val="22"/>
          <w:vertAlign w:val="baseline"/>
        </w:rPr>
        <w:t> </w:t>
      </w:r>
      <w:r>
        <w:rPr>
          <w:color w:val="231F20"/>
          <w:spacing w:val="-1"/>
          <w:sz w:val="22"/>
          <w:vertAlign w:val="baseline"/>
        </w:rPr>
        <w:t>pilot</w:t>
      </w:r>
      <w:r>
        <w:rPr>
          <w:color w:val="231F20"/>
          <w:sz w:val="22"/>
          <w:vertAlign w:val="baseline"/>
        </w:rPr>
        <w:t> </w:t>
      </w:r>
      <w:r>
        <w:rPr>
          <w:color w:val="231F20"/>
          <w:spacing w:val="-1"/>
          <w:sz w:val="22"/>
          <w:vertAlign w:val="baseline"/>
        </w:rPr>
        <w:t>study</w:t>
      </w:r>
      <w:r>
        <w:rPr>
          <w:color w:val="231F20"/>
          <w:spacing w:val="1"/>
          <w:sz w:val="22"/>
          <w:vertAlign w:val="baseline"/>
        </w:rPr>
        <w:t> </w:t>
      </w:r>
      <w:r>
        <w:rPr>
          <w:color w:val="231F20"/>
          <w:spacing w:val="-1"/>
          <w:sz w:val="22"/>
          <w:vertAlign w:val="baseline"/>
        </w:rPr>
        <w:t>of</w:t>
      </w:r>
      <w:r>
        <w:rPr>
          <w:color w:val="231F20"/>
          <w:sz w:val="22"/>
          <w:vertAlign w:val="baseline"/>
        </w:rPr>
        <w:t> prolonged</w:t>
      </w:r>
      <w:r>
        <w:rPr>
          <w:color w:val="231F20"/>
          <w:spacing w:val="-52"/>
          <w:sz w:val="22"/>
          <w:vertAlign w:val="baseline"/>
        </w:rPr>
        <w:t> </w:t>
      </w:r>
      <w:r>
        <w:rPr>
          <w:color w:val="231F20"/>
          <w:sz w:val="22"/>
          <w:vertAlign w:val="baseline"/>
        </w:rPr>
        <w:t>exposure therapy for posttraumatic stress disorder</w:t>
      </w:r>
      <w:r>
        <w:rPr>
          <w:color w:val="231F20"/>
          <w:spacing w:val="1"/>
          <w:sz w:val="22"/>
          <w:vertAlign w:val="baseline"/>
        </w:rPr>
        <w:t> </w:t>
      </w:r>
      <w:r>
        <w:rPr>
          <w:color w:val="231F20"/>
          <w:sz w:val="22"/>
          <w:vertAlign w:val="baseline"/>
        </w:rPr>
        <w:t>delivered via telehealth technology. </w:t>
      </w:r>
      <w:r>
        <w:rPr>
          <w:i/>
          <w:color w:val="231F20"/>
          <w:sz w:val="22"/>
          <w:vertAlign w:val="baseline"/>
        </w:rPr>
        <w:t>Journal of</w:t>
      </w:r>
      <w:r>
        <w:rPr>
          <w:i/>
          <w:color w:val="231F20"/>
          <w:spacing w:val="1"/>
          <w:sz w:val="22"/>
          <w:vertAlign w:val="baseline"/>
        </w:rPr>
        <w:t> </w:t>
      </w:r>
      <w:r>
        <w:rPr>
          <w:i/>
          <w:color w:val="231F20"/>
          <w:sz w:val="22"/>
          <w:vertAlign w:val="baseline"/>
        </w:rPr>
        <w:t>Traumatic Stress: Official Publication of The</w:t>
      </w:r>
      <w:r>
        <w:rPr>
          <w:i/>
          <w:color w:val="231F20"/>
          <w:spacing w:val="1"/>
          <w:sz w:val="22"/>
          <w:vertAlign w:val="baseline"/>
        </w:rPr>
        <w:t> </w:t>
      </w:r>
      <w:r>
        <w:rPr>
          <w:i/>
          <w:color w:val="231F20"/>
          <w:sz w:val="22"/>
          <w:vertAlign w:val="baseline"/>
        </w:rPr>
        <w:t>International Society for Traumatic Stress Studies,</w:t>
      </w:r>
      <w:r>
        <w:rPr>
          <w:i/>
          <w:color w:val="231F20"/>
          <w:spacing w:val="1"/>
          <w:sz w:val="22"/>
          <w:vertAlign w:val="baseline"/>
        </w:rPr>
        <w:t> </w:t>
      </w:r>
      <w:r>
        <w:rPr>
          <w:i/>
          <w:color w:val="231F20"/>
          <w:sz w:val="22"/>
          <w:vertAlign w:val="baseline"/>
        </w:rPr>
        <w:t>23</w:t>
      </w:r>
      <w:r>
        <w:rPr>
          <w:color w:val="231F20"/>
          <w:sz w:val="22"/>
          <w:vertAlign w:val="baseline"/>
        </w:rPr>
        <w:t>(1),</w:t>
      </w:r>
      <w:r>
        <w:rPr>
          <w:color w:val="231F20"/>
          <w:spacing w:val="-3"/>
          <w:sz w:val="22"/>
          <w:vertAlign w:val="baseline"/>
        </w:rPr>
        <w:t> </w:t>
      </w:r>
      <w:r>
        <w:rPr>
          <w:color w:val="231F20"/>
          <w:sz w:val="22"/>
          <w:vertAlign w:val="baseline"/>
        </w:rPr>
        <w:t>116-123.</w:t>
      </w:r>
      <w:r>
        <w:rPr>
          <w:color w:val="231F20"/>
          <w:spacing w:val="-2"/>
          <w:sz w:val="22"/>
          <w:vertAlign w:val="baseline"/>
        </w:rPr>
        <w:t> </w:t>
      </w:r>
      <w:hyperlink r:id="rId90">
        <w:r>
          <w:rPr>
            <w:color w:val="3953A4"/>
            <w:sz w:val="22"/>
            <w:u w:val="single" w:color="3953A4"/>
            <w:vertAlign w:val="baseline"/>
          </w:rPr>
          <w:t>https://doi.org/10.1002/jts.20494</w:t>
        </w:r>
      </w:hyperlink>
    </w:p>
    <w:p>
      <w:pPr>
        <w:pStyle w:val="BodyText"/>
        <w:tabs>
          <w:tab w:pos="479" w:val="left" w:leader="none"/>
        </w:tabs>
        <w:spacing w:line="246" w:lineRule="exact" w:before="78"/>
        <w:ind w:left="120"/>
      </w:pPr>
      <w:r>
        <w:rPr>
          <w:color w:val="231F20"/>
          <w:vertAlign w:val="superscript"/>
        </w:rPr>
        <w:t>67</w:t>
      </w:r>
      <w:r>
        <w:rPr>
          <w:color w:val="231F20"/>
          <w:vertAlign w:val="baseline"/>
        </w:rPr>
        <w:tab/>
        <w:t>Morland,</w:t>
      </w:r>
      <w:r>
        <w:rPr>
          <w:color w:val="231F20"/>
          <w:spacing w:val="-1"/>
          <w:vertAlign w:val="baseline"/>
        </w:rPr>
        <w:t> </w:t>
      </w:r>
      <w:r>
        <w:rPr>
          <w:color w:val="231F20"/>
          <w:vertAlign w:val="baseline"/>
        </w:rPr>
        <w:t>L.</w:t>
      </w:r>
      <w:r>
        <w:rPr>
          <w:color w:val="231F20"/>
          <w:spacing w:val="-13"/>
          <w:vertAlign w:val="baseline"/>
        </w:rPr>
        <w:t> </w:t>
      </w:r>
      <w:r>
        <w:rPr>
          <w:color w:val="231F20"/>
          <w:vertAlign w:val="baseline"/>
        </w:rPr>
        <w:t>A., Mackintosh, M.</w:t>
      </w:r>
      <w:r>
        <w:rPr>
          <w:color w:val="231F20"/>
          <w:spacing w:val="-13"/>
          <w:vertAlign w:val="baseline"/>
        </w:rPr>
        <w:t> </w:t>
      </w:r>
      <w:r>
        <w:rPr>
          <w:color w:val="231F20"/>
          <w:vertAlign w:val="baseline"/>
        </w:rPr>
        <w:t>A., Glassman,</w:t>
      </w:r>
    </w:p>
    <w:p>
      <w:pPr>
        <w:pStyle w:val="BodyText"/>
        <w:spacing w:line="228" w:lineRule="auto" w:before="3"/>
        <w:ind w:left="480" w:right="737"/>
      </w:pPr>
      <w:r>
        <w:rPr>
          <w:color w:val="231F20"/>
          <w:spacing w:val="-1"/>
        </w:rPr>
        <w:t>L. H., Wells, S. Y., Thorp, S. R., </w:t>
      </w:r>
      <w:r>
        <w:rPr>
          <w:color w:val="231F20"/>
        </w:rPr>
        <w:t>Rauch, S. A.,</w:t>
      </w:r>
      <w:r>
        <w:rPr>
          <w:color w:val="231F20"/>
          <w:spacing w:val="1"/>
        </w:rPr>
        <w:t> </w:t>
      </w:r>
      <w:r>
        <w:rPr>
          <w:color w:val="231F20"/>
        </w:rPr>
        <w:t>Cunningham, P. B., Tuerk, P. W., Grubbs, K. M., &amp;</w:t>
      </w:r>
      <w:r>
        <w:rPr>
          <w:color w:val="231F20"/>
          <w:spacing w:val="1"/>
        </w:rPr>
        <w:t> </w:t>
      </w:r>
      <w:r>
        <w:rPr>
          <w:color w:val="231F20"/>
        </w:rPr>
        <w:t>Golshan,</w:t>
      </w:r>
      <w:r>
        <w:rPr>
          <w:color w:val="231F20"/>
          <w:spacing w:val="-4"/>
        </w:rPr>
        <w:t> </w:t>
      </w:r>
      <w:r>
        <w:rPr>
          <w:color w:val="231F20"/>
        </w:rPr>
        <w:t>S.</w:t>
      </w:r>
      <w:r>
        <w:rPr>
          <w:color w:val="231F20"/>
          <w:spacing w:val="-4"/>
        </w:rPr>
        <w:t> </w:t>
      </w:r>
      <w:r>
        <w:rPr>
          <w:color w:val="231F20"/>
        </w:rPr>
        <w:t>(2020).</w:t>
      </w:r>
      <w:r>
        <w:rPr>
          <w:color w:val="231F20"/>
          <w:spacing w:val="-2"/>
        </w:rPr>
        <w:t> </w:t>
      </w:r>
      <w:r>
        <w:rPr>
          <w:color w:val="231F20"/>
        </w:rPr>
        <w:t>Home‐based</w:t>
      </w:r>
      <w:r>
        <w:rPr>
          <w:color w:val="231F20"/>
          <w:spacing w:val="-4"/>
        </w:rPr>
        <w:t> </w:t>
      </w:r>
      <w:r>
        <w:rPr>
          <w:color w:val="231F20"/>
        </w:rPr>
        <w:t>delivery</w:t>
      </w:r>
      <w:r>
        <w:rPr>
          <w:color w:val="231F20"/>
          <w:spacing w:val="-3"/>
        </w:rPr>
        <w:t> </w:t>
      </w:r>
      <w:r>
        <w:rPr>
          <w:color w:val="231F20"/>
        </w:rPr>
        <w:t>of</w:t>
      </w:r>
      <w:r>
        <w:rPr>
          <w:color w:val="231F20"/>
          <w:spacing w:val="-2"/>
        </w:rPr>
        <w:t> </w:t>
      </w:r>
      <w:r>
        <w:rPr>
          <w:color w:val="231F20"/>
        </w:rPr>
        <w:t>variable</w:t>
      </w:r>
      <w:r>
        <w:rPr>
          <w:color w:val="231F20"/>
          <w:spacing w:val="-52"/>
        </w:rPr>
        <w:t> </w:t>
      </w:r>
      <w:r>
        <w:rPr>
          <w:color w:val="231F20"/>
        </w:rPr>
        <w:t>length prolonged exposure</w:t>
      </w:r>
      <w:r>
        <w:rPr>
          <w:color w:val="231F20"/>
          <w:spacing w:val="-1"/>
        </w:rPr>
        <w:t> </w:t>
      </w:r>
      <w:r>
        <w:rPr>
          <w:color w:val="231F20"/>
        </w:rPr>
        <w:t>therapy:</w:t>
      </w:r>
      <w:r>
        <w:rPr>
          <w:color w:val="231F20"/>
          <w:spacing w:val="-13"/>
        </w:rPr>
        <w:t> </w:t>
      </w:r>
      <w:r>
        <w:rPr>
          <w:color w:val="231F20"/>
        </w:rPr>
        <w:t>A</w:t>
      </w:r>
      <w:r>
        <w:rPr>
          <w:color w:val="231F20"/>
          <w:spacing w:val="-13"/>
        </w:rPr>
        <w:t> </w:t>
      </w:r>
      <w:r>
        <w:rPr>
          <w:color w:val="231F20"/>
        </w:rPr>
        <w:t>comparison</w:t>
      </w:r>
    </w:p>
    <w:p>
      <w:pPr>
        <w:spacing w:line="228" w:lineRule="auto" w:before="0"/>
        <w:ind w:left="480" w:right="831" w:firstLine="0"/>
        <w:jc w:val="left"/>
        <w:rPr>
          <w:sz w:val="22"/>
        </w:rPr>
      </w:pPr>
      <w:r>
        <w:rPr>
          <w:color w:val="231F20"/>
          <w:sz w:val="22"/>
        </w:rPr>
        <w:t>of clinical efficacy between service modalities.</w:t>
      </w:r>
      <w:r>
        <w:rPr>
          <w:color w:val="231F20"/>
          <w:spacing w:val="1"/>
          <w:sz w:val="22"/>
        </w:rPr>
        <w:t> </w:t>
      </w:r>
      <w:r>
        <w:rPr>
          <w:i/>
          <w:color w:val="231F20"/>
          <w:sz w:val="22"/>
        </w:rPr>
        <w:t>Depression</w:t>
      </w:r>
      <w:r>
        <w:rPr>
          <w:i/>
          <w:color w:val="231F20"/>
          <w:spacing w:val="-8"/>
          <w:sz w:val="22"/>
        </w:rPr>
        <w:t> </w:t>
      </w:r>
      <w:r>
        <w:rPr>
          <w:i/>
          <w:color w:val="231F20"/>
          <w:sz w:val="22"/>
        </w:rPr>
        <w:t>and</w:t>
      </w:r>
      <w:r>
        <w:rPr>
          <w:i/>
          <w:color w:val="231F20"/>
          <w:spacing w:val="-10"/>
          <w:sz w:val="22"/>
        </w:rPr>
        <w:t> </w:t>
      </w:r>
      <w:r>
        <w:rPr>
          <w:i/>
          <w:color w:val="231F20"/>
          <w:sz w:val="22"/>
        </w:rPr>
        <w:t>Anxiety,</w:t>
      </w:r>
      <w:r>
        <w:rPr>
          <w:i/>
          <w:color w:val="231F20"/>
          <w:spacing w:val="-7"/>
          <w:sz w:val="22"/>
        </w:rPr>
        <w:t> </w:t>
      </w:r>
      <w:r>
        <w:rPr>
          <w:i/>
          <w:color w:val="231F20"/>
          <w:sz w:val="22"/>
        </w:rPr>
        <w:t>37</w:t>
      </w:r>
      <w:r>
        <w:rPr>
          <w:color w:val="231F20"/>
          <w:sz w:val="22"/>
        </w:rPr>
        <w:t>(4),</w:t>
      </w:r>
      <w:r>
        <w:rPr>
          <w:color w:val="231F20"/>
          <w:spacing w:val="-8"/>
          <w:sz w:val="22"/>
        </w:rPr>
        <w:t> </w:t>
      </w:r>
      <w:r>
        <w:rPr>
          <w:color w:val="231F20"/>
          <w:sz w:val="22"/>
        </w:rPr>
        <w:t>346-355.</w:t>
      </w:r>
      <w:r>
        <w:rPr>
          <w:color w:val="231F20"/>
          <w:spacing w:val="-7"/>
          <w:sz w:val="22"/>
        </w:rPr>
        <w:t> </w:t>
      </w:r>
      <w:hyperlink r:id="rId196">
        <w:r>
          <w:rPr>
            <w:color w:val="3953A4"/>
            <w:sz w:val="22"/>
            <w:u w:val="single" w:color="3953A4"/>
          </w:rPr>
          <w:t>https://doi.</w:t>
        </w:r>
      </w:hyperlink>
      <w:r>
        <w:rPr>
          <w:color w:val="3953A4"/>
          <w:spacing w:val="-52"/>
          <w:sz w:val="22"/>
        </w:rPr>
        <w:t> </w:t>
      </w:r>
      <w:hyperlink r:id="rId196">
        <w:r>
          <w:rPr>
            <w:color w:val="3953A4"/>
            <w:sz w:val="22"/>
            <w:u w:val="single" w:color="3953A4"/>
          </w:rPr>
          <w:t>org/10.1002/da.22979</w:t>
        </w:r>
      </w:hyperlink>
    </w:p>
    <w:p>
      <w:pPr>
        <w:pStyle w:val="BodyText"/>
        <w:tabs>
          <w:tab w:pos="479" w:val="left" w:leader="none"/>
        </w:tabs>
        <w:spacing w:line="228" w:lineRule="auto" w:before="88"/>
        <w:ind w:left="480" w:right="1078" w:hanging="360"/>
      </w:pPr>
      <w:r>
        <w:rPr>
          <w:color w:val="231F20"/>
          <w:vertAlign w:val="superscript"/>
        </w:rPr>
        <w:t>68</w:t>
      </w:r>
      <w:r>
        <w:rPr>
          <w:color w:val="231F20"/>
          <w:vertAlign w:val="baseline"/>
        </w:rPr>
        <w:tab/>
        <w:t>Franklin, C. L., Cuccurullo, L.-A., Walton, J. L.,</w:t>
      </w:r>
      <w:r>
        <w:rPr>
          <w:color w:val="231F20"/>
          <w:spacing w:val="-52"/>
          <w:vertAlign w:val="baseline"/>
        </w:rPr>
        <w:t> </w:t>
      </w:r>
      <w:r>
        <w:rPr>
          <w:color w:val="231F20"/>
          <w:vertAlign w:val="baseline"/>
        </w:rPr>
        <w:t>Arseneau,</w:t>
      </w:r>
      <w:r>
        <w:rPr>
          <w:color w:val="231F20"/>
          <w:spacing w:val="5"/>
          <w:vertAlign w:val="baseline"/>
        </w:rPr>
        <w:t> </w:t>
      </w:r>
      <w:r>
        <w:rPr>
          <w:color w:val="231F20"/>
          <w:vertAlign w:val="baseline"/>
        </w:rPr>
        <w:t>J.</w:t>
      </w:r>
      <w:r>
        <w:rPr>
          <w:color w:val="231F20"/>
          <w:spacing w:val="6"/>
          <w:vertAlign w:val="baseline"/>
        </w:rPr>
        <w:t> </w:t>
      </w:r>
      <w:r>
        <w:rPr>
          <w:color w:val="231F20"/>
          <w:vertAlign w:val="baseline"/>
        </w:rPr>
        <w:t>R.,</w:t>
      </w:r>
      <w:r>
        <w:rPr>
          <w:color w:val="231F20"/>
          <w:spacing w:val="6"/>
          <w:vertAlign w:val="baseline"/>
        </w:rPr>
        <w:t> </w:t>
      </w:r>
      <w:r>
        <w:rPr>
          <w:color w:val="231F20"/>
          <w:vertAlign w:val="baseline"/>
        </w:rPr>
        <w:t>&amp;</w:t>
      </w:r>
      <w:r>
        <w:rPr>
          <w:color w:val="231F20"/>
          <w:spacing w:val="6"/>
          <w:vertAlign w:val="baseline"/>
        </w:rPr>
        <w:t> </w:t>
      </w:r>
      <w:r>
        <w:rPr>
          <w:color w:val="231F20"/>
          <w:vertAlign w:val="baseline"/>
        </w:rPr>
        <w:t>Petersen,</w:t>
      </w:r>
      <w:r>
        <w:rPr>
          <w:color w:val="231F20"/>
          <w:spacing w:val="6"/>
          <w:vertAlign w:val="baseline"/>
        </w:rPr>
        <w:t> </w:t>
      </w:r>
      <w:r>
        <w:rPr>
          <w:color w:val="231F20"/>
          <w:vertAlign w:val="baseline"/>
        </w:rPr>
        <w:t>N.</w:t>
      </w:r>
      <w:r>
        <w:rPr>
          <w:color w:val="231F20"/>
          <w:spacing w:val="6"/>
          <w:vertAlign w:val="baseline"/>
        </w:rPr>
        <w:t> </w:t>
      </w:r>
      <w:r>
        <w:rPr>
          <w:color w:val="231F20"/>
          <w:vertAlign w:val="baseline"/>
        </w:rPr>
        <w:t>J.</w:t>
      </w:r>
      <w:r>
        <w:rPr>
          <w:color w:val="231F20"/>
          <w:spacing w:val="6"/>
          <w:vertAlign w:val="baseline"/>
        </w:rPr>
        <w:t> </w:t>
      </w:r>
      <w:r>
        <w:rPr>
          <w:color w:val="231F20"/>
          <w:vertAlign w:val="baseline"/>
        </w:rPr>
        <w:t>(2017).</w:t>
      </w:r>
      <w:r>
        <w:rPr>
          <w:color w:val="231F20"/>
          <w:spacing w:val="6"/>
          <w:vertAlign w:val="baseline"/>
        </w:rPr>
        <w:t> </w:t>
      </w:r>
      <w:r>
        <w:rPr>
          <w:color w:val="231F20"/>
          <w:vertAlign w:val="baseline"/>
        </w:rPr>
        <w:t>Face</w:t>
      </w:r>
      <w:r>
        <w:rPr>
          <w:color w:val="231F20"/>
          <w:spacing w:val="1"/>
          <w:vertAlign w:val="baseline"/>
        </w:rPr>
        <w:t> </w:t>
      </w:r>
      <w:r>
        <w:rPr>
          <w:color w:val="231F20"/>
          <w:spacing w:val="-1"/>
          <w:vertAlign w:val="baseline"/>
        </w:rPr>
        <w:t>to face </w:t>
      </w:r>
      <w:r>
        <w:rPr>
          <w:color w:val="231F20"/>
          <w:vertAlign w:val="baseline"/>
        </w:rPr>
        <w:t>but</w:t>
      </w:r>
      <w:r>
        <w:rPr>
          <w:color w:val="231F20"/>
          <w:spacing w:val="-1"/>
          <w:vertAlign w:val="baseline"/>
        </w:rPr>
        <w:t> </w:t>
      </w:r>
      <w:r>
        <w:rPr>
          <w:color w:val="231F20"/>
          <w:vertAlign w:val="baseline"/>
        </w:rPr>
        <w:t>not</w:t>
      </w:r>
      <w:r>
        <w:rPr>
          <w:color w:val="231F20"/>
          <w:spacing w:val="-1"/>
          <w:vertAlign w:val="baseline"/>
        </w:rPr>
        <w:t> </w:t>
      </w:r>
      <w:r>
        <w:rPr>
          <w:color w:val="231F20"/>
          <w:vertAlign w:val="baseline"/>
        </w:rPr>
        <w:t>in</w:t>
      </w:r>
      <w:r>
        <w:rPr>
          <w:color w:val="231F20"/>
          <w:spacing w:val="-1"/>
          <w:vertAlign w:val="baseline"/>
        </w:rPr>
        <w:t> </w:t>
      </w:r>
      <w:r>
        <w:rPr>
          <w:color w:val="231F20"/>
          <w:vertAlign w:val="baseline"/>
        </w:rPr>
        <w:t>the</w:t>
      </w:r>
      <w:r>
        <w:rPr>
          <w:color w:val="231F20"/>
          <w:spacing w:val="-1"/>
          <w:vertAlign w:val="baseline"/>
        </w:rPr>
        <w:t> </w:t>
      </w:r>
      <w:r>
        <w:rPr>
          <w:color w:val="231F20"/>
          <w:vertAlign w:val="baseline"/>
        </w:rPr>
        <w:t>same</w:t>
      </w:r>
      <w:r>
        <w:rPr>
          <w:color w:val="231F20"/>
          <w:spacing w:val="-1"/>
          <w:vertAlign w:val="baseline"/>
        </w:rPr>
        <w:t> </w:t>
      </w:r>
      <w:r>
        <w:rPr>
          <w:color w:val="231F20"/>
          <w:vertAlign w:val="baseline"/>
        </w:rPr>
        <w:t>place:</w:t>
      </w:r>
      <w:r>
        <w:rPr>
          <w:color w:val="231F20"/>
          <w:spacing w:val="-14"/>
          <w:vertAlign w:val="baseline"/>
        </w:rPr>
        <w:t> </w:t>
      </w:r>
      <w:r>
        <w:rPr>
          <w:color w:val="231F20"/>
          <w:vertAlign w:val="baseline"/>
        </w:rPr>
        <w:t>A</w:t>
      </w:r>
      <w:r>
        <w:rPr>
          <w:color w:val="231F20"/>
          <w:spacing w:val="-13"/>
          <w:vertAlign w:val="baseline"/>
        </w:rPr>
        <w:t> </w:t>
      </w:r>
      <w:r>
        <w:rPr>
          <w:color w:val="231F20"/>
          <w:vertAlign w:val="baseline"/>
        </w:rPr>
        <w:t>pilot</w:t>
      </w:r>
      <w:r>
        <w:rPr>
          <w:color w:val="231F20"/>
          <w:spacing w:val="-1"/>
          <w:vertAlign w:val="baseline"/>
        </w:rPr>
        <w:t> </w:t>
      </w:r>
      <w:r>
        <w:rPr>
          <w:color w:val="231F20"/>
          <w:vertAlign w:val="baseline"/>
        </w:rPr>
        <w:t>study</w:t>
      </w:r>
      <w:r>
        <w:rPr>
          <w:color w:val="231F20"/>
          <w:spacing w:val="-1"/>
          <w:vertAlign w:val="baseline"/>
        </w:rPr>
        <w:t> </w:t>
      </w:r>
      <w:r>
        <w:rPr>
          <w:color w:val="231F20"/>
          <w:vertAlign w:val="baseline"/>
        </w:rPr>
        <w:t>of</w:t>
      </w:r>
    </w:p>
    <w:p>
      <w:pPr>
        <w:spacing w:line="228" w:lineRule="auto" w:before="0"/>
        <w:ind w:left="480" w:right="738" w:firstLine="0"/>
        <w:jc w:val="left"/>
        <w:rPr>
          <w:sz w:val="22"/>
        </w:rPr>
      </w:pPr>
      <w:r>
        <w:rPr>
          <w:color w:val="231F20"/>
          <w:sz w:val="22"/>
        </w:rPr>
        <w:t>prolonged exposure therapy. </w:t>
      </w:r>
      <w:r>
        <w:rPr>
          <w:i/>
          <w:color w:val="231F20"/>
          <w:sz w:val="22"/>
        </w:rPr>
        <w:t>Journal of Trauma &amp;</w:t>
      </w:r>
      <w:r>
        <w:rPr>
          <w:i/>
          <w:color w:val="231F20"/>
          <w:spacing w:val="1"/>
          <w:sz w:val="22"/>
        </w:rPr>
        <w:t> </w:t>
      </w:r>
      <w:r>
        <w:rPr>
          <w:i/>
          <w:color w:val="231F20"/>
          <w:sz w:val="22"/>
        </w:rPr>
        <w:t>Dissociation,</w:t>
      </w:r>
      <w:r>
        <w:rPr>
          <w:i/>
          <w:color w:val="231F20"/>
          <w:spacing w:val="-9"/>
          <w:sz w:val="22"/>
        </w:rPr>
        <w:t> </w:t>
      </w:r>
      <w:r>
        <w:rPr>
          <w:i/>
          <w:color w:val="231F20"/>
          <w:sz w:val="22"/>
        </w:rPr>
        <w:t>18</w:t>
      </w:r>
      <w:r>
        <w:rPr>
          <w:color w:val="231F20"/>
          <w:sz w:val="22"/>
        </w:rPr>
        <w:t>(1),</w:t>
      </w:r>
      <w:r>
        <w:rPr>
          <w:color w:val="231F20"/>
          <w:spacing w:val="-9"/>
          <w:sz w:val="22"/>
        </w:rPr>
        <w:t> </w:t>
      </w:r>
      <w:r>
        <w:rPr>
          <w:color w:val="231F20"/>
          <w:sz w:val="22"/>
        </w:rPr>
        <w:t>116-130.</w:t>
      </w:r>
      <w:r>
        <w:rPr>
          <w:color w:val="231F20"/>
          <w:spacing w:val="-9"/>
          <w:sz w:val="22"/>
        </w:rPr>
        <w:t> </w:t>
      </w:r>
      <w:hyperlink r:id="rId197">
        <w:r>
          <w:rPr>
            <w:color w:val="3953A4"/>
            <w:sz w:val="22"/>
            <w:u w:val="single" w:color="3953A4"/>
          </w:rPr>
          <w:t>https://doi.org/10.1080</w:t>
        </w:r>
      </w:hyperlink>
    </w:p>
    <w:p>
      <w:pPr>
        <w:pStyle w:val="BodyText"/>
        <w:spacing w:line="242" w:lineRule="exact"/>
        <w:ind w:left="480"/>
      </w:pPr>
      <w:hyperlink r:id="rId197">
        <w:r>
          <w:rPr>
            <w:color w:val="3953A4"/>
            <w:u w:val="single" w:color="3953A4"/>
          </w:rPr>
          <w:t>/15299732.2016.1205704</w:t>
        </w:r>
      </w:hyperlink>
    </w:p>
    <w:p>
      <w:pPr>
        <w:pStyle w:val="BodyText"/>
        <w:spacing w:line="228" w:lineRule="auto" w:before="86"/>
        <w:ind w:left="480" w:right="1095" w:hanging="360"/>
        <w:jc w:val="both"/>
      </w:pPr>
      <w:r>
        <w:rPr>
          <w:color w:val="231F20"/>
          <w:spacing w:val="-6"/>
          <w:vertAlign w:val="superscript"/>
        </w:rPr>
        <w:t>69</w:t>
      </w:r>
      <w:r>
        <w:rPr>
          <w:color w:val="231F20"/>
          <w:spacing w:val="-5"/>
          <w:vertAlign w:val="baseline"/>
        </w:rPr>
        <w:t> </w:t>
      </w:r>
      <w:r>
        <w:rPr>
          <w:color w:val="231F20"/>
          <w:spacing w:val="-6"/>
          <w:vertAlign w:val="baseline"/>
        </w:rPr>
        <w:t>Gros, D. F., Yoder, M., Tuerk, P. W., Lozano, </w:t>
      </w:r>
      <w:r>
        <w:rPr>
          <w:color w:val="231F20"/>
          <w:spacing w:val="-5"/>
          <w:vertAlign w:val="baseline"/>
        </w:rPr>
        <w:t>B. E.,</w:t>
      </w:r>
      <w:r>
        <w:rPr>
          <w:color w:val="231F20"/>
          <w:spacing w:val="-52"/>
          <w:vertAlign w:val="baseline"/>
        </w:rPr>
        <w:t> </w:t>
      </w:r>
      <w:r>
        <w:rPr>
          <w:color w:val="231F20"/>
          <w:spacing w:val="-4"/>
          <w:vertAlign w:val="baseline"/>
        </w:rPr>
        <w:t>&amp; Acierno, R. (2011). Exposure </w:t>
      </w:r>
      <w:r>
        <w:rPr>
          <w:color w:val="231F20"/>
          <w:spacing w:val="-3"/>
          <w:vertAlign w:val="baseline"/>
        </w:rPr>
        <w:t>therapy for PTSD</w:t>
      </w:r>
      <w:r>
        <w:rPr>
          <w:color w:val="231F20"/>
          <w:spacing w:val="-52"/>
          <w:vertAlign w:val="baseline"/>
        </w:rPr>
        <w:t> </w:t>
      </w:r>
      <w:r>
        <w:rPr>
          <w:color w:val="231F20"/>
          <w:spacing w:val="-3"/>
          <w:vertAlign w:val="baseline"/>
        </w:rPr>
        <w:t>delivered</w:t>
      </w:r>
      <w:r>
        <w:rPr>
          <w:color w:val="231F20"/>
          <w:spacing w:val="-11"/>
          <w:vertAlign w:val="baseline"/>
        </w:rPr>
        <w:t> </w:t>
      </w:r>
      <w:r>
        <w:rPr>
          <w:color w:val="231F20"/>
          <w:spacing w:val="-3"/>
          <w:vertAlign w:val="baseline"/>
        </w:rPr>
        <w:t>to</w:t>
      </w:r>
      <w:r>
        <w:rPr>
          <w:color w:val="231F20"/>
          <w:spacing w:val="-10"/>
          <w:vertAlign w:val="baseline"/>
        </w:rPr>
        <w:t> </w:t>
      </w:r>
      <w:r>
        <w:rPr>
          <w:color w:val="231F20"/>
          <w:spacing w:val="-3"/>
          <w:vertAlign w:val="baseline"/>
        </w:rPr>
        <w:t>veterans</w:t>
      </w:r>
      <w:r>
        <w:rPr>
          <w:color w:val="231F20"/>
          <w:spacing w:val="-10"/>
          <w:vertAlign w:val="baseline"/>
        </w:rPr>
        <w:t> </w:t>
      </w:r>
      <w:r>
        <w:rPr>
          <w:color w:val="231F20"/>
          <w:spacing w:val="-3"/>
          <w:vertAlign w:val="baseline"/>
        </w:rPr>
        <w:t>via</w:t>
      </w:r>
      <w:r>
        <w:rPr>
          <w:color w:val="231F20"/>
          <w:spacing w:val="-11"/>
          <w:vertAlign w:val="baseline"/>
        </w:rPr>
        <w:t> </w:t>
      </w:r>
      <w:r>
        <w:rPr>
          <w:color w:val="231F20"/>
          <w:spacing w:val="-3"/>
          <w:vertAlign w:val="baseline"/>
        </w:rPr>
        <w:t>telehealth:</w:t>
      </w:r>
      <w:r>
        <w:rPr>
          <w:color w:val="231F20"/>
          <w:spacing w:val="-10"/>
          <w:vertAlign w:val="baseline"/>
        </w:rPr>
        <w:t> </w:t>
      </w:r>
      <w:r>
        <w:rPr>
          <w:color w:val="231F20"/>
          <w:spacing w:val="-3"/>
          <w:vertAlign w:val="baseline"/>
        </w:rPr>
        <w:t>Predictors</w:t>
      </w:r>
      <w:r>
        <w:rPr>
          <w:color w:val="231F20"/>
          <w:spacing w:val="-10"/>
          <w:vertAlign w:val="baseline"/>
        </w:rPr>
        <w:t> </w:t>
      </w:r>
      <w:r>
        <w:rPr>
          <w:color w:val="231F20"/>
          <w:spacing w:val="-2"/>
          <w:vertAlign w:val="baseline"/>
        </w:rPr>
        <w:t>of</w:t>
      </w:r>
    </w:p>
    <w:p>
      <w:pPr>
        <w:pStyle w:val="BodyText"/>
        <w:spacing w:line="228" w:lineRule="auto"/>
        <w:ind w:left="480" w:right="721"/>
      </w:pPr>
      <w:r>
        <w:rPr>
          <w:color w:val="231F20"/>
          <w:spacing w:val="-3"/>
        </w:rPr>
        <w:t>treatment completion and outcome and comparison </w:t>
      </w:r>
      <w:r>
        <w:rPr>
          <w:color w:val="231F20"/>
          <w:spacing w:val="-2"/>
        </w:rPr>
        <w:t>to</w:t>
      </w:r>
      <w:r>
        <w:rPr>
          <w:color w:val="231F20"/>
          <w:spacing w:val="-1"/>
        </w:rPr>
        <w:t> </w:t>
      </w:r>
      <w:r>
        <w:rPr>
          <w:color w:val="231F20"/>
          <w:spacing w:val="-5"/>
        </w:rPr>
        <w:t>treatment</w:t>
      </w:r>
      <w:r>
        <w:rPr>
          <w:color w:val="231F20"/>
          <w:spacing w:val="-9"/>
        </w:rPr>
        <w:t> </w:t>
      </w:r>
      <w:r>
        <w:rPr>
          <w:color w:val="231F20"/>
          <w:spacing w:val="-4"/>
        </w:rPr>
        <w:t>delivered</w:t>
      </w:r>
      <w:r>
        <w:rPr>
          <w:color w:val="231F20"/>
          <w:spacing w:val="-9"/>
        </w:rPr>
        <w:t> </w:t>
      </w:r>
      <w:r>
        <w:rPr>
          <w:color w:val="231F20"/>
          <w:spacing w:val="-4"/>
        </w:rPr>
        <w:t>in</w:t>
      </w:r>
      <w:r>
        <w:rPr>
          <w:color w:val="231F20"/>
          <w:spacing w:val="-9"/>
        </w:rPr>
        <w:t> </w:t>
      </w:r>
      <w:r>
        <w:rPr>
          <w:color w:val="231F20"/>
          <w:spacing w:val="-4"/>
        </w:rPr>
        <w:t>person.</w:t>
      </w:r>
      <w:r>
        <w:rPr>
          <w:color w:val="231F20"/>
          <w:spacing w:val="-10"/>
        </w:rPr>
        <w:t> </w:t>
      </w:r>
      <w:r>
        <w:rPr>
          <w:i/>
          <w:color w:val="231F20"/>
          <w:spacing w:val="-4"/>
        </w:rPr>
        <w:t>Behavior</w:t>
      </w:r>
      <w:r>
        <w:rPr>
          <w:i/>
          <w:color w:val="231F20"/>
          <w:spacing w:val="-9"/>
        </w:rPr>
        <w:t> </w:t>
      </w:r>
      <w:r>
        <w:rPr>
          <w:i/>
          <w:color w:val="231F20"/>
          <w:spacing w:val="-4"/>
        </w:rPr>
        <w:t>Therapy,</w:t>
      </w:r>
      <w:r>
        <w:rPr>
          <w:i/>
          <w:color w:val="231F20"/>
          <w:spacing w:val="-9"/>
        </w:rPr>
        <w:t> </w:t>
      </w:r>
      <w:r>
        <w:rPr>
          <w:i/>
          <w:color w:val="231F20"/>
          <w:spacing w:val="-4"/>
        </w:rPr>
        <w:t>42</w:t>
      </w:r>
      <w:r>
        <w:rPr>
          <w:color w:val="231F20"/>
          <w:spacing w:val="-4"/>
        </w:rPr>
        <w:t>(2),</w:t>
      </w:r>
      <w:r>
        <w:rPr>
          <w:color w:val="231F20"/>
          <w:spacing w:val="-52"/>
        </w:rPr>
        <w:t> </w:t>
      </w:r>
      <w:r>
        <w:rPr>
          <w:color w:val="231F20"/>
          <w:spacing w:val="-4"/>
        </w:rPr>
        <w:t>276-283.</w:t>
      </w:r>
      <w:r>
        <w:rPr>
          <w:color w:val="231F20"/>
          <w:spacing w:val="-8"/>
        </w:rPr>
        <w:t> </w:t>
      </w:r>
      <w:hyperlink r:id="rId198">
        <w:r>
          <w:rPr>
            <w:color w:val="3953A4"/>
            <w:spacing w:val="-4"/>
            <w:u w:val="single" w:color="3953A4"/>
          </w:rPr>
          <w:t>https://doi.org/10.1016/j.beth.2010.07.005</w:t>
        </w:r>
      </w:hyperlink>
    </w:p>
    <w:p>
      <w:pPr>
        <w:pStyle w:val="BodyText"/>
        <w:tabs>
          <w:tab w:pos="479" w:val="left" w:leader="none"/>
        </w:tabs>
        <w:spacing w:line="246" w:lineRule="exact" w:before="78"/>
        <w:ind w:left="120"/>
      </w:pPr>
      <w:r>
        <w:rPr>
          <w:color w:val="231F20"/>
          <w:vertAlign w:val="superscript"/>
        </w:rPr>
        <w:t>70</w:t>
      </w:r>
      <w:r>
        <w:rPr>
          <w:color w:val="231F20"/>
          <w:vertAlign w:val="baseline"/>
        </w:rPr>
        <w:tab/>
        <w:t>Gensichen,</w:t>
      </w:r>
      <w:r>
        <w:rPr>
          <w:color w:val="231F20"/>
          <w:spacing w:val="-7"/>
          <w:vertAlign w:val="baseline"/>
        </w:rPr>
        <w:t> </w:t>
      </w:r>
      <w:r>
        <w:rPr>
          <w:color w:val="231F20"/>
          <w:vertAlign w:val="baseline"/>
        </w:rPr>
        <w:t>J.,</w:t>
      </w:r>
      <w:r>
        <w:rPr>
          <w:color w:val="231F20"/>
          <w:spacing w:val="-6"/>
          <w:vertAlign w:val="baseline"/>
        </w:rPr>
        <w:t> </w:t>
      </w:r>
      <w:r>
        <w:rPr>
          <w:color w:val="231F20"/>
          <w:vertAlign w:val="baseline"/>
        </w:rPr>
        <w:t>von</w:t>
      </w:r>
      <w:r>
        <w:rPr>
          <w:color w:val="231F20"/>
          <w:spacing w:val="-5"/>
          <w:vertAlign w:val="baseline"/>
        </w:rPr>
        <w:t> </w:t>
      </w:r>
      <w:r>
        <w:rPr>
          <w:color w:val="231F20"/>
          <w:vertAlign w:val="baseline"/>
        </w:rPr>
        <w:t>Korff,</w:t>
      </w:r>
      <w:r>
        <w:rPr>
          <w:color w:val="231F20"/>
          <w:spacing w:val="-6"/>
          <w:vertAlign w:val="baseline"/>
        </w:rPr>
        <w:t> </w:t>
      </w:r>
      <w:r>
        <w:rPr>
          <w:color w:val="231F20"/>
          <w:vertAlign w:val="baseline"/>
        </w:rPr>
        <w:t>M.,</w:t>
      </w:r>
      <w:r>
        <w:rPr>
          <w:color w:val="231F20"/>
          <w:spacing w:val="-7"/>
          <w:vertAlign w:val="baseline"/>
        </w:rPr>
        <w:t> </w:t>
      </w:r>
      <w:r>
        <w:rPr>
          <w:color w:val="231F20"/>
          <w:vertAlign w:val="baseline"/>
        </w:rPr>
        <w:t>Peitz,</w:t>
      </w:r>
      <w:r>
        <w:rPr>
          <w:color w:val="231F20"/>
          <w:spacing w:val="-6"/>
          <w:vertAlign w:val="baseline"/>
        </w:rPr>
        <w:t> </w:t>
      </w:r>
      <w:r>
        <w:rPr>
          <w:color w:val="231F20"/>
          <w:vertAlign w:val="baseline"/>
        </w:rPr>
        <w:t>M.,</w:t>
      </w:r>
      <w:r>
        <w:rPr>
          <w:color w:val="231F20"/>
          <w:spacing w:val="-6"/>
          <w:vertAlign w:val="baseline"/>
        </w:rPr>
        <w:t> </w:t>
      </w:r>
      <w:r>
        <w:rPr>
          <w:color w:val="231F20"/>
          <w:vertAlign w:val="baseline"/>
        </w:rPr>
        <w:t>Muth,</w:t>
      </w:r>
    </w:p>
    <w:p>
      <w:pPr>
        <w:pStyle w:val="BodyText"/>
        <w:spacing w:line="240" w:lineRule="exact"/>
        <w:ind w:left="480"/>
      </w:pPr>
      <w:r>
        <w:rPr>
          <w:color w:val="231F20"/>
        </w:rPr>
        <w:t>C.,</w:t>
      </w:r>
      <w:r>
        <w:rPr>
          <w:color w:val="231F20"/>
          <w:spacing w:val="-4"/>
        </w:rPr>
        <w:t> </w:t>
      </w:r>
      <w:r>
        <w:rPr>
          <w:color w:val="231F20"/>
        </w:rPr>
        <w:t>Beyer,</w:t>
      </w:r>
      <w:r>
        <w:rPr>
          <w:color w:val="231F20"/>
          <w:spacing w:val="-4"/>
        </w:rPr>
        <w:t> </w:t>
      </w:r>
      <w:r>
        <w:rPr>
          <w:color w:val="231F20"/>
        </w:rPr>
        <w:t>M.,</w:t>
      </w:r>
      <w:r>
        <w:rPr>
          <w:color w:val="231F20"/>
          <w:spacing w:val="-3"/>
        </w:rPr>
        <w:t> </w:t>
      </w:r>
      <w:r>
        <w:rPr>
          <w:color w:val="231F20"/>
        </w:rPr>
        <w:t>Güthlin,</w:t>
      </w:r>
      <w:r>
        <w:rPr>
          <w:color w:val="231F20"/>
          <w:spacing w:val="-4"/>
        </w:rPr>
        <w:t> </w:t>
      </w:r>
      <w:r>
        <w:rPr>
          <w:color w:val="231F20"/>
        </w:rPr>
        <w:t>C.,</w:t>
      </w:r>
      <w:r>
        <w:rPr>
          <w:color w:val="231F20"/>
          <w:spacing w:val="-7"/>
        </w:rPr>
        <w:t> </w:t>
      </w:r>
      <w:r>
        <w:rPr>
          <w:color w:val="231F20"/>
        </w:rPr>
        <w:t>Torge,</w:t>
      </w:r>
      <w:r>
        <w:rPr>
          <w:color w:val="231F20"/>
          <w:spacing w:val="-3"/>
        </w:rPr>
        <w:t> </w:t>
      </w:r>
      <w:r>
        <w:rPr>
          <w:color w:val="231F20"/>
        </w:rPr>
        <w:t>M.,</w:t>
      </w:r>
      <w:r>
        <w:rPr>
          <w:color w:val="231F20"/>
          <w:spacing w:val="-4"/>
        </w:rPr>
        <w:t> </w:t>
      </w:r>
      <w:r>
        <w:rPr>
          <w:color w:val="231F20"/>
        </w:rPr>
        <w:t>Petersen,</w:t>
      </w:r>
    </w:p>
    <w:p>
      <w:pPr>
        <w:pStyle w:val="BodyText"/>
        <w:spacing w:line="228" w:lineRule="auto" w:before="4"/>
        <w:ind w:left="480" w:right="904"/>
        <w:rPr>
          <w:i/>
        </w:rPr>
      </w:pPr>
      <w:r>
        <w:rPr>
          <w:color w:val="231F20"/>
        </w:rPr>
        <w:t>J. J., Rosemann, T., &amp; König, J. (2009). Case</w:t>
      </w:r>
      <w:r>
        <w:rPr>
          <w:color w:val="231F20"/>
          <w:spacing w:val="1"/>
        </w:rPr>
        <w:t> </w:t>
      </w:r>
      <w:r>
        <w:rPr>
          <w:color w:val="231F20"/>
        </w:rPr>
        <w:t>management for depression by health care</w:t>
      </w:r>
      <w:r>
        <w:rPr>
          <w:color w:val="231F20"/>
          <w:spacing w:val="1"/>
        </w:rPr>
        <w:t> </w:t>
      </w:r>
      <w:r>
        <w:rPr>
          <w:color w:val="231F20"/>
          <w:spacing w:val="-1"/>
        </w:rPr>
        <w:t>assistants </w:t>
      </w:r>
      <w:r>
        <w:rPr>
          <w:color w:val="231F20"/>
        </w:rPr>
        <w:t>in</w:t>
      </w:r>
      <w:r>
        <w:rPr>
          <w:color w:val="231F20"/>
          <w:spacing w:val="-1"/>
        </w:rPr>
        <w:t> </w:t>
      </w:r>
      <w:r>
        <w:rPr>
          <w:color w:val="231F20"/>
        </w:rPr>
        <w:t>small</w:t>
      </w:r>
      <w:r>
        <w:rPr>
          <w:color w:val="231F20"/>
          <w:spacing w:val="-1"/>
        </w:rPr>
        <w:t> </w:t>
      </w:r>
      <w:r>
        <w:rPr>
          <w:color w:val="231F20"/>
        </w:rPr>
        <w:t>primary</w:t>
      </w:r>
      <w:r>
        <w:rPr>
          <w:color w:val="231F20"/>
          <w:spacing w:val="-1"/>
        </w:rPr>
        <w:t> </w:t>
      </w:r>
      <w:r>
        <w:rPr>
          <w:color w:val="231F20"/>
        </w:rPr>
        <w:t>care</w:t>
      </w:r>
      <w:r>
        <w:rPr>
          <w:color w:val="231F20"/>
          <w:spacing w:val="-1"/>
        </w:rPr>
        <w:t> </w:t>
      </w:r>
      <w:r>
        <w:rPr>
          <w:color w:val="231F20"/>
        </w:rPr>
        <w:t>practices:</w:t>
      </w:r>
      <w:r>
        <w:rPr>
          <w:color w:val="231F20"/>
          <w:spacing w:val="-13"/>
        </w:rPr>
        <w:t> </w:t>
      </w:r>
      <w:r>
        <w:rPr>
          <w:color w:val="231F20"/>
        </w:rPr>
        <w:t>A</w:t>
      </w:r>
      <w:r>
        <w:rPr>
          <w:color w:val="231F20"/>
          <w:spacing w:val="-14"/>
        </w:rPr>
        <w:t> </w:t>
      </w:r>
      <w:r>
        <w:rPr>
          <w:color w:val="231F20"/>
        </w:rPr>
        <w:t>cluster</w:t>
      </w:r>
      <w:r>
        <w:rPr>
          <w:color w:val="231F20"/>
          <w:spacing w:val="-52"/>
        </w:rPr>
        <w:t> </w:t>
      </w:r>
      <w:r>
        <w:rPr>
          <w:color w:val="231F20"/>
        </w:rPr>
        <w:t>randomized trial.</w:t>
      </w:r>
      <w:r>
        <w:rPr>
          <w:color w:val="231F20"/>
          <w:spacing w:val="-1"/>
        </w:rPr>
        <w:t> </w:t>
      </w:r>
      <w:r>
        <w:rPr>
          <w:i/>
          <w:color w:val="231F20"/>
        </w:rPr>
        <w:t>Annals of Internal Medicine,</w:t>
      </w:r>
    </w:p>
    <w:p>
      <w:pPr>
        <w:pStyle w:val="BodyText"/>
        <w:spacing w:line="235" w:lineRule="exact"/>
        <w:ind w:left="480"/>
      </w:pPr>
      <w:r>
        <w:rPr>
          <w:i/>
          <w:color w:val="231F20"/>
        </w:rPr>
        <w:t>151</w:t>
      </w:r>
      <w:r>
        <w:rPr>
          <w:color w:val="231F20"/>
        </w:rPr>
        <w:t>(6),</w:t>
      </w:r>
      <w:r>
        <w:rPr>
          <w:color w:val="231F20"/>
          <w:spacing w:val="-2"/>
        </w:rPr>
        <w:t> </w:t>
      </w:r>
      <w:r>
        <w:rPr>
          <w:color w:val="231F20"/>
        </w:rPr>
        <w:t>369-378.</w:t>
      </w:r>
      <w:r>
        <w:rPr>
          <w:color w:val="231F20"/>
          <w:spacing w:val="-1"/>
        </w:rPr>
        <w:t> </w:t>
      </w:r>
      <w:hyperlink r:id="rId199">
        <w:r>
          <w:rPr>
            <w:color w:val="3953A4"/>
            <w:u w:val="single" w:color="3953A4"/>
          </w:rPr>
          <w:t>https://doi.org/10.7326/0003-4819-</w:t>
        </w:r>
      </w:hyperlink>
    </w:p>
    <w:p>
      <w:pPr>
        <w:pStyle w:val="BodyText"/>
        <w:spacing w:line="246" w:lineRule="exact"/>
        <w:ind w:left="480"/>
      </w:pPr>
      <w:hyperlink r:id="rId199">
        <w:r>
          <w:rPr>
            <w:color w:val="3953A4"/>
            <w:u w:val="single" w:color="3953A4"/>
          </w:rPr>
          <w:t>151-6-200909150-00001</w:t>
        </w:r>
      </w:hyperlink>
    </w:p>
    <w:p>
      <w:pPr>
        <w:spacing w:after="0" w:line="246" w:lineRule="exact"/>
        <w:sectPr>
          <w:type w:val="continuous"/>
          <w:pgSz w:w="12240" w:h="15840"/>
          <w:pgMar w:header="0" w:footer="666" w:top="1500" w:bottom="0" w:left="600" w:right="0"/>
          <w:cols w:num="2" w:equalWidth="0">
            <w:col w:w="5160" w:space="600"/>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tabs>
          <w:tab w:pos="479" w:val="left" w:leader="none"/>
        </w:tabs>
        <w:spacing w:line="246" w:lineRule="exact" w:before="91"/>
        <w:ind w:left="120"/>
      </w:pPr>
      <w:r>
        <w:rPr>
          <w:color w:val="231F20"/>
          <w:vertAlign w:val="superscript"/>
        </w:rPr>
        <w:t>71</w:t>
      </w:r>
      <w:r>
        <w:rPr>
          <w:color w:val="231F20"/>
          <w:vertAlign w:val="baseline"/>
        </w:rPr>
        <w:tab/>
        <w:t>Simon,</w:t>
      </w:r>
      <w:r>
        <w:rPr>
          <w:color w:val="231F20"/>
          <w:spacing w:val="-1"/>
          <w:vertAlign w:val="baseline"/>
        </w:rPr>
        <w:t> </w:t>
      </w:r>
      <w:r>
        <w:rPr>
          <w:color w:val="231F20"/>
          <w:vertAlign w:val="baseline"/>
        </w:rPr>
        <w:t>G. E., Ralston, J. D., Savarino, J., Pabiniak,</w:t>
      </w:r>
    </w:p>
    <w:p>
      <w:pPr>
        <w:pStyle w:val="BodyText"/>
        <w:spacing w:line="228" w:lineRule="auto" w:before="4"/>
        <w:ind w:left="480" w:right="284"/>
        <w:rPr>
          <w:i/>
        </w:rPr>
      </w:pPr>
      <w:r>
        <w:rPr>
          <w:color w:val="231F20"/>
        </w:rPr>
        <w:t>C., Wentzel, C., &amp; Operskalski, B. H. (2011).</w:t>
      </w:r>
      <w:r>
        <w:rPr>
          <w:color w:val="231F20"/>
          <w:spacing w:val="1"/>
        </w:rPr>
        <w:t> </w:t>
      </w:r>
      <w:r>
        <w:rPr>
          <w:color w:val="231F20"/>
        </w:rPr>
        <w:t>Randomized</w:t>
      </w:r>
      <w:r>
        <w:rPr>
          <w:color w:val="231F20"/>
          <w:spacing w:val="10"/>
        </w:rPr>
        <w:t> </w:t>
      </w:r>
      <w:r>
        <w:rPr>
          <w:color w:val="231F20"/>
        </w:rPr>
        <w:t>trial</w:t>
      </w:r>
      <w:r>
        <w:rPr>
          <w:color w:val="231F20"/>
          <w:spacing w:val="11"/>
        </w:rPr>
        <w:t> </w:t>
      </w:r>
      <w:r>
        <w:rPr>
          <w:color w:val="231F20"/>
        </w:rPr>
        <w:t>of</w:t>
      </w:r>
      <w:r>
        <w:rPr>
          <w:color w:val="231F20"/>
          <w:spacing w:val="10"/>
        </w:rPr>
        <w:t> </w:t>
      </w:r>
      <w:r>
        <w:rPr>
          <w:color w:val="231F20"/>
        </w:rPr>
        <w:t>depression</w:t>
      </w:r>
      <w:r>
        <w:rPr>
          <w:color w:val="231F20"/>
          <w:spacing w:val="11"/>
        </w:rPr>
        <w:t> </w:t>
      </w:r>
      <w:r>
        <w:rPr>
          <w:color w:val="231F20"/>
        </w:rPr>
        <w:t>follow-up</w:t>
      </w:r>
      <w:r>
        <w:rPr>
          <w:color w:val="231F20"/>
          <w:spacing w:val="10"/>
        </w:rPr>
        <w:t> </w:t>
      </w:r>
      <w:r>
        <w:rPr>
          <w:color w:val="231F20"/>
        </w:rPr>
        <w:t>care</w:t>
      </w:r>
      <w:r>
        <w:rPr>
          <w:color w:val="231F20"/>
          <w:spacing w:val="1"/>
        </w:rPr>
        <w:t> </w:t>
      </w:r>
      <w:r>
        <w:rPr>
          <w:color w:val="231F20"/>
        </w:rPr>
        <w:t>by</w:t>
      </w:r>
      <w:r>
        <w:rPr>
          <w:color w:val="231F20"/>
          <w:spacing w:val="-3"/>
        </w:rPr>
        <w:t> </w:t>
      </w:r>
      <w:r>
        <w:rPr>
          <w:color w:val="231F20"/>
        </w:rPr>
        <w:t>online</w:t>
      </w:r>
      <w:r>
        <w:rPr>
          <w:color w:val="231F20"/>
          <w:spacing w:val="-3"/>
        </w:rPr>
        <w:t> </w:t>
      </w:r>
      <w:r>
        <w:rPr>
          <w:color w:val="231F20"/>
        </w:rPr>
        <w:t>messaging.</w:t>
      </w:r>
      <w:r>
        <w:rPr>
          <w:color w:val="231F20"/>
          <w:spacing w:val="-3"/>
        </w:rPr>
        <w:t> </w:t>
      </w:r>
      <w:r>
        <w:rPr>
          <w:i/>
          <w:color w:val="231F20"/>
        </w:rPr>
        <w:t>Journal</w:t>
      </w:r>
      <w:r>
        <w:rPr>
          <w:i/>
          <w:color w:val="231F20"/>
          <w:spacing w:val="-3"/>
        </w:rPr>
        <w:t> </w:t>
      </w:r>
      <w:r>
        <w:rPr>
          <w:i/>
          <w:color w:val="231F20"/>
        </w:rPr>
        <w:t>of</w:t>
      </w:r>
      <w:r>
        <w:rPr>
          <w:i/>
          <w:color w:val="231F20"/>
          <w:spacing w:val="-2"/>
        </w:rPr>
        <w:t> </w:t>
      </w:r>
      <w:r>
        <w:rPr>
          <w:i/>
          <w:color w:val="231F20"/>
        </w:rPr>
        <w:t>General</w:t>
      </w:r>
      <w:r>
        <w:rPr>
          <w:i/>
          <w:color w:val="231F20"/>
          <w:spacing w:val="-3"/>
        </w:rPr>
        <w:t> </w:t>
      </w:r>
      <w:r>
        <w:rPr>
          <w:i/>
          <w:color w:val="231F20"/>
        </w:rPr>
        <w:t>Internal</w:t>
      </w:r>
    </w:p>
    <w:p>
      <w:pPr>
        <w:pStyle w:val="BodyText"/>
        <w:spacing w:line="228" w:lineRule="auto"/>
        <w:ind w:left="479" w:right="221"/>
      </w:pPr>
      <w:r>
        <w:rPr>
          <w:i/>
          <w:color w:val="231F20"/>
        </w:rPr>
        <w:t>Medicine,</w:t>
      </w:r>
      <w:r>
        <w:rPr>
          <w:i/>
          <w:color w:val="231F20"/>
          <w:spacing w:val="-7"/>
        </w:rPr>
        <w:t> </w:t>
      </w:r>
      <w:r>
        <w:rPr>
          <w:i/>
          <w:color w:val="231F20"/>
        </w:rPr>
        <w:t>26</w:t>
      </w:r>
      <w:r>
        <w:rPr>
          <w:color w:val="231F20"/>
        </w:rPr>
        <w:t>(7),</w:t>
      </w:r>
      <w:r>
        <w:rPr>
          <w:color w:val="231F20"/>
          <w:spacing w:val="-6"/>
        </w:rPr>
        <w:t> </w:t>
      </w:r>
      <w:r>
        <w:rPr>
          <w:color w:val="231F20"/>
        </w:rPr>
        <w:t>698-704.</w:t>
      </w:r>
      <w:r>
        <w:rPr>
          <w:color w:val="231F20"/>
          <w:spacing w:val="-6"/>
        </w:rPr>
        <w:t> </w:t>
      </w:r>
      <w:hyperlink r:id="rId200">
        <w:r>
          <w:rPr>
            <w:color w:val="3953A4"/>
            <w:u w:val="single" w:color="3953A4"/>
          </w:rPr>
          <w:t>https://doi.org/10.1007/</w:t>
        </w:r>
      </w:hyperlink>
      <w:r>
        <w:rPr>
          <w:color w:val="3953A4"/>
          <w:spacing w:val="-52"/>
        </w:rPr>
        <w:t> </w:t>
      </w:r>
      <w:hyperlink r:id="rId200">
        <w:r>
          <w:rPr>
            <w:color w:val="3953A4"/>
            <w:u w:val="single" w:color="3953A4"/>
          </w:rPr>
          <w:t>s11606-011-1679-8</w:t>
        </w:r>
      </w:hyperlink>
    </w:p>
    <w:p>
      <w:pPr>
        <w:pStyle w:val="BodyText"/>
        <w:tabs>
          <w:tab w:pos="479" w:val="left" w:leader="none"/>
        </w:tabs>
        <w:spacing w:line="228" w:lineRule="auto" w:before="88"/>
        <w:ind w:left="480" w:right="145" w:hanging="360"/>
      </w:pPr>
      <w:r>
        <w:rPr>
          <w:color w:val="231F20"/>
          <w:vertAlign w:val="superscript"/>
        </w:rPr>
        <w:t>72</w:t>
      </w:r>
      <w:r>
        <w:rPr>
          <w:color w:val="231F20"/>
          <w:vertAlign w:val="baseline"/>
        </w:rPr>
        <w:tab/>
      </w:r>
      <w:r>
        <w:rPr>
          <w:color w:val="231F20"/>
          <w:spacing w:val="-4"/>
          <w:vertAlign w:val="baseline"/>
        </w:rPr>
        <w:t>Kasckow, J., Zickmund, </w:t>
      </w:r>
      <w:r>
        <w:rPr>
          <w:color w:val="231F20"/>
          <w:spacing w:val="-3"/>
          <w:vertAlign w:val="baseline"/>
        </w:rPr>
        <w:t>S., Gurklis, J., Luther, J.,</w:t>
      </w:r>
      <w:r>
        <w:rPr>
          <w:color w:val="231F20"/>
          <w:spacing w:val="-2"/>
          <w:vertAlign w:val="baseline"/>
        </w:rPr>
        <w:t> </w:t>
      </w:r>
      <w:r>
        <w:rPr>
          <w:color w:val="231F20"/>
          <w:spacing w:val="-4"/>
          <w:vertAlign w:val="baseline"/>
        </w:rPr>
        <w:t>Fox, L., Taylor, M., Richmond, I., </w:t>
      </w:r>
      <w:r>
        <w:rPr>
          <w:color w:val="231F20"/>
          <w:spacing w:val="-3"/>
          <w:vertAlign w:val="baseline"/>
        </w:rPr>
        <w:t>&amp; Haas, G. L.</w:t>
      </w:r>
      <w:r>
        <w:rPr>
          <w:color w:val="231F20"/>
          <w:spacing w:val="-2"/>
          <w:vertAlign w:val="baseline"/>
        </w:rPr>
        <w:t> </w:t>
      </w:r>
      <w:r>
        <w:rPr>
          <w:color w:val="231F20"/>
          <w:spacing w:val="-4"/>
          <w:vertAlign w:val="baseline"/>
        </w:rPr>
        <w:t>(2016).</w:t>
      </w:r>
      <w:r>
        <w:rPr>
          <w:color w:val="231F20"/>
          <w:spacing w:val="-10"/>
          <w:vertAlign w:val="baseline"/>
        </w:rPr>
        <w:t> </w:t>
      </w:r>
      <w:r>
        <w:rPr>
          <w:color w:val="231F20"/>
          <w:spacing w:val="-4"/>
          <w:vertAlign w:val="baseline"/>
        </w:rPr>
        <w:t>Using</w:t>
      </w:r>
      <w:r>
        <w:rPr>
          <w:color w:val="231F20"/>
          <w:spacing w:val="-9"/>
          <w:vertAlign w:val="baseline"/>
        </w:rPr>
        <w:t> </w:t>
      </w:r>
      <w:r>
        <w:rPr>
          <w:color w:val="231F20"/>
          <w:spacing w:val="-4"/>
          <w:vertAlign w:val="baseline"/>
        </w:rPr>
        <w:t>telehealth</w:t>
      </w:r>
      <w:r>
        <w:rPr>
          <w:color w:val="231F20"/>
          <w:spacing w:val="-9"/>
          <w:vertAlign w:val="baseline"/>
        </w:rPr>
        <w:t> </w:t>
      </w:r>
      <w:r>
        <w:rPr>
          <w:color w:val="231F20"/>
          <w:spacing w:val="-3"/>
          <w:vertAlign w:val="baseline"/>
        </w:rPr>
        <w:t>to</w:t>
      </w:r>
      <w:r>
        <w:rPr>
          <w:color w:val="231F20"/>
          <w:spacing w:val="-10"/>
          <w:vertAlign w:val="baseline"/>
        </w:rPr>
        <w:t> </w:t>
      </w:r>
      <w:r>
        <w:rPr>
          <w:color w:val="231F20"/>
          <w:spacing w:val="-3"/>
          <w:vertAlign w:val="baseline"/>
        </w:rPr>
        <w:t>augment</w:t>
      </w:r>
      <w:r>
        <w:rPr>
          <w:color w:val="231F20"/>
          <w:spacing w:val="-9"/>
          <w:vertAlign w:val="baseline"/>
        </w:rPr>
        <w:t> </w:t>
      </w:r>
      <w:r>
        <w:rPr>
          <w:color w:val="231F20"/>
          <w:spacing w:val="-3"/>
          <w:vertAlign w:val="baseline"/>
        </w:rPr>
        <w:t>an</w:t>
      </w:r>
      <w:r>
        <w:rPr>
          <w:color w:val="231F20"/>
          <w:spacing w:val="-9"/>
          <w:vertAlign w:val="baseline"/>
        </w:rPr>
        <w:t> </w:t>
      </w:r>
      <w:r>
        <w:rPr>
          <w:color w:val="231F20"/>
          <w:spacing w:val="-3"/>
          <w:vertAlign w:val="baseline"/>
        </w:rPr>
        <w:t>intensive</w:t>
      </w:r>
      <w:r>
        <w:rPr>
          <w:color w:val="231F20"/>
          <w:spacing w:val="-10"/>
          <w:vertAlign w:val="baseline"/>
        </w:rPr>
        <w:t> </w:t>
      </w:r>
      <w:r>
        <w:rPr>
          <w:color w:val="231F20"/>
          <w:spacing w:val="-3"/>
          <w:vertAlign w:val="baseline"/>
        </w:rPr>
        <w:t>case</w:t>
      </w:r>
      <w:r>
        <w:rPr>
          <w:color w:val="231F20"/>
          <w:spacing w:val="-52"/>
          <w:vertAlign w:val="baseline"/>
        </w:rPr>
        <w:t> </w:t>
      </w:r>
      <w:r>
        <w:rPr>
          <w:color w:val="231F20"/>
          <w:spacing w:val="-4"/>
          <w:vertAlign w:val="baseline"/>
        </w:rPr>
        <w:t>monitoring program </w:t>
      </w:r>
      <w:r>
        <w:rPr>
          <w:color w:val="231F20"/>
          <w:spacing w:val="-3"/>
          <w:vertAlign w:val="baseline"/>
        </w:rPr>
        <w:t>in veterans with schizophrenia</w:t>
      </w:r>
      <w:r>
        <w:rPr>
          <w:color w:val="231F20"/>
          <w:spacing w:val="-2"/>
          <w:vertAlign w:val="baseline"/>
        </w:rPr>
        <w:t> </w:t>
      </w:r>
      <w:r>
        <w:rPr>
          <w:color w:val="231F20"/>
          <w:spacing w:val="-4"/>
          <w:vertAlign w:val="baseline"/>
        </w:rPr>
        <w:t>and suicidal ideation: </w:t>
      </w:r>
      <w:r>
        <w:rPr>
          <w:color w:val="231F20"/>
          <w:spacing w:val="-3"/>
          <w:vertAlign w:val="baseline"/>
        </w:rPr>
        <w:t>A pilot trial. </w:t>
      </w:r>
      <w:r>
        <w:rPr>
          <w:i/>
          <w:color w:val="231F20"/>
          <w:spacing w:val="-3"/>
          <w:vertAlign w:val="baseline"/>
        </w:rPr>
        <w:t>Psychiatry</w:t>
      </w:r>
      <w:r>
        <w:rPr>
          <w:i/>
          <w:color w:val="231F20"/>
          <w:spacing w:val="-2"/>
          <w:vertAlign w:val="baseline"/>
        </w:rPr>
        <w:t> </w:t>
      </w:r>
      <w:r>
        <w:rPr>
          <w:i/>
          <w:color w:val="231F20"/>
          <w:spacing w:val="-5"/>
          <w:vertAlign w:val="baseline"/>
        </w:rPr>
        <w:t>Research, 239</w:t>
      </w:r>
      <w:r>
        <w:rPr>
          <w:color w:val="231F20"/>
          <w:spacing w:val="-5"/>
          <w:vertAlign w:val="baseline"/>
        </w:rPr>
        <w:t>, 111-116. </w:t>
      </w:r>
      <w:hyperlink r:id="rId201">
        <w:r>
          <w:rPr>
            <w:color w:val="3953A4"/>
            <w:spacing w:val="-4"/>
            <w:u w:val="single" w:color="3953A4"/>
            <w:vertAlign w:val="baseline"/>
          </w:rPr>
          <w:t>https://doi.org/10.1016/j.</w:t>
        </w:r>
      </w:hyperlink>
      <w:r>
        <w:rPr>
          <w:color w:val="3953A4"/>
          <w:spacing w:val="-3"/>
          <w:vertAlign w:val="baseline"/>
        </w:rPr>
        <w:t> </w:t>
      </w:r>
      <w:hyperlink r:id="rId201">
        <w:r>
          <w:rPr>
            <w:color w:val="3953A4"/>
            <w:u w:val="single" w:color="3953A4"/>
            <w:vertAlign w:val="baseline"/>
          </w:rPr>
          <w:t>psychres.2016.02.049</w:t>
        </w:r>
      </w:hyperlink>
    </w:p>
    <w:p>
      <w:pPr>
        <w:tabs>
          <w:tab w:pos="479" w:val="left" w:leader="none"/>
        </w:tabs>
        <w:spacing w:line="228" w:lineRule="auto" w:before="88"/>
        <w:ind w:left="480" w:right="41" w:hanging="360"/>
        <w:jc w:val="left"/>
        <w:rPr>
          <w:sz w:val="22"/>
        </w:rPr>
      </w:pPr>
      <w:r>
        <w:rPr>
          <w:color w:val="231F20"/>
          <w:sz w:val="22"/>
          <w:vertAlign w:val="superscript"/>
        </w:rPr>
        <w:t>73</w:t>
      </w:r>
      <w:r>
        <w:rPr>
          <w:color w:val="231F20"/>
          <w:sz w:val="22"/>
          <w:vertAlign w:val="baseline"/>
        </w:rPr>
        <w:tab/>
        <w:t>Blanch, A., Filson, B., Penney, D., &amp; Cave, C.</w:t>
      </w:r>
      <w:r>
        <w:rPr>
          <w:color w:val="231F20"/>
          <w:spacing w:val="1"/>
          <w:sz w:val="22"/>
          <w:vertAlign w:val="baseline"/>
        </w:rPr>
        <w:t> </w:t>
      </w:r>
      <w:r>
        <w:rPr>
          <w:color w:val="231F20"/>
          <w:sz w:val="22"/>
          <w:vertAlign w:val="baseline"/>
        </w:rPr>
        <w:t>(2012). Engaging women in trauma-informed peer</w:t>
      </w:r>
      <w:r>
        <w:rPr>
          <w:color w:val="231F20"/>
          <w:spacing w:val="1"/>
          <w:sz w:val="22"/>
          <w:vertAlign w:val="baseline"/>
        </w:rPr>
        <w:t> </w:t>
      </w:r>
      <w:r>
        <w:rPr>
          <w:color w:val="231F20"/>
          <w:spacing w:val="-1"/>
          <w:sz w:val="22"/>
          <w:vertAlign w:val="baseline"/>
        </w:rPr>
        <w:t>support: A guidebook. </w:t>
      </w:r>
      <w:r>
        <w:rPr>
          <w:i/>
          <w:color w:val="231F20"/>
          <w:sz w:val="22"/>
          <w:vertAlign w:val="baseline"/>
        </w:rPr>
        <w:t>Alexandria, VA: National</w:t>
      </w:r>
      <w:r>
        <w:rPr>
          <w:i/>
          <w:color w:val="231F20"/>
          <w:spacing w:val="1"/>
          <w:sz w:val="22"/>
          <w:vertAlign w:val="baseline"/>
        </w:rPr>
        <w:t> </w:t>
      </w:r>
      <w:r>
        <w:rPr>
          <w:i/>
          <w:color w:val="231F20"/>
          <w:sz w:val="22"/>
          <w:vertAlign w:val="baseline"/>
        </w:rPr>
        <w:t>Center</w:t>
      </w:r>
      <w:r>
        <w:rPr>
          <w:i/>
          <w:color w:val="231F20"/>
          <w:spacing w:val="-9"/>
          <w:sz w:val="22"/>
          <w:vertAlign w:val="baseline"/>
        </w:rPr>
        <w:t> </w:t>
      </w:r>
      <w:r>
        <w:rPr>
          <w:i/>
          <w:color w:val="231F20"/>
          <w:sz w:val="22"/>
          <w:vertAlign w:val="baseline"/>
        </w:rPr>
        <w:t>for</w:t>
      </w:r>
      <w:r>
        <w:rPr>
          <w:i/>
          <w:color w:val="231F20"/>
          <w:spacing w:val="-9"/>
          <w:sz w:val="22"/>
          <w:vertAlign w:val="baseline"/>
        </w:rPr>
        <w:t> </w:t>
      </w:r>
      <w:r>
        <w:rPr>
          <w:i/>
          <w:color w:val="231F20"/>
          <w:sz w:val="22"/>
          <w:vertAlign w:val="baseline"/>
        </w:rPr>
        <w:t>Trauma-Informed</w:t>
      </w:r>
      <w:r>
        <w:rPr>
          <w:i/>
          <w:color w:val="231F20"/>
          <w:spacing w:val="-8"/>
          <w:sz w:val="22"/>
          <w:vertAlign w:val="baseline"/>
        </w:rPr>
        <w:t> </w:t>
      </w:r>
      <w:r>
        <w:rPr>
          <w:i/>
          <w:color w:val="231F20"/>
          <w:sz w:val="22"/>
          <w:vertAlign w:val="baseline"/>
        </w:rPr>
        <w:t>Care</w:t>
      </w:r>
      <w:r>
        <w:rPr>
          <w:color w:val="231F20"/>
          <w:sz w:val="22"/>
          <w:vertAlign w:val="baseline"/>
        </w:rPr>
        <w:t>.</w:t>
      </w:r>
      <w:r>
        <w:rPr>
          <w:color w:val="231F20"/>
          <w:spacing w:val="-9"/>
          <w:sz w:val="22"/>
          <w:vertAlign w:val="baseline"/>
        </w:rPr>
        <w:t> </w:t>
      </w:r>
      <w:hyperlink r:id="rId202">
        <w:r>
          <w:rPr>
            <w:color w:val="3953A4"/>
            <w:sz w:val="22"/>
            <w:u w:val="single" w:color="3953A4"/>
            <w:vertAlign w:val="baseline"/>
          </w:rPr>
          <w:t>https://nicic.gov/</w:t>
        </w:r>
      </w:hyperlink>
      <w:r>
        <w:rPr>
          <w:color w:val="3953A4"/>
          <w:spacing w:val="-52"/>
          <w:sz w:val="22"/>
          <w:vertAlign w:val="baseline"/>
        </w:rPr>
        <w:t> </w:t>
      </w:r>
      <w:hyperlink r:id="rId202">
        <w:r>
          <w:rPr>
            <w:color w:val="3953A4"/>
            <w:sz w:val="22"/>
            <w:u w:val="single" w:color="3953A4"/>
            <w:vertAlign w:val="baseline"/>
          </w:rPr>
          <w:t>engaging-women-trauma-informed-peer-support-</w:t>
        </w:r>
      </w:hyperlink>
      <w:r>
        <w:rPr>
          <w:color w:val="3953A4"/>
          <w:spacing w:val="1"/>
          <w:sz w:val="22"/>
          <w:vertAlign w:val="baseline"/>
        </w:rPr>
        <w:t> </w:t>
      </w:r>
      <w:hyperlink r:id="rId202">
        <w:r>
          <w:rPr>
            <w:color w:val="3953A4"/>
            <w:sz w:val="22"/>
            <w:u w:val="single" w:color="3953A4"/>
            <w:vertAlign w:val="baseline"/>
          </w:rPr>
          <w:t>guidebook</w:t>
        </w:r>
      </w:hyperlink>
    </w:p>
    <w:p>
      <w:pPr>
        <w:pStyle w:val="BodyText"/>
        <w:tabs>
          <w:tab w:pos="479" w:val="left" w:leader="none"/>
        </w:tabs>
        <w:spacing w:line="228" w:lineRule="auto" w:before="88"/>
        <w:ind w:left="480" w:right="132" w:hanging="360"/>
      </w:pPr>
      <w:r>
        <w:rPr>
          <w:color w:val="231F20"/>
          <w:vertAlign w:val="superscript"/>
        </w:rPr>
        <w:t>74</w:t>
      </w:r>
      <w:r>
        <w:rPr>
          <w:color w:val="231F20"/>
          <w:vertAlign w:val="baseline"/>
        </w:rPr>
        <w:tab/>
      </w:r>
      <w:r>
        <w:rPr>
          <w:color w:val="231F20"/>
          <w:spacing w:val="-4"/>
          <w:vertAlign w:val="baseline"/>
        </w:rPr>
        <w:t>Burden,</w:t>
      </w:r>
      <w:r>
        <w:rPr>
          <w:color w:val="231F20"/>
          <w:spacing w:val="-10"/>
          <w:vertAlign w:val="baseline"/>
        </w:rPr>
        <w:t> </w:t>
      </w:r>
      <w:r>
        <w:rPr>
          <w:color w:val="231F20"/>
          <w:spacing w:val="-4"/>
          <w:vertAlign w:val="baseline"/>
        </w:rPr>
        <w:t>E.</w:t>
      </w:r>
      <w:r>
        <w:rPr>
          <w:color w:val="231F20"/>
          <w:spacing w:val="-9"/>
          <w:vertAlign w:val="baseline"/>
        </w:rPr>
        <w:t> </w:t>
      </w:r>
      <w:r>
        <w:rPr>
          <w:color w:val="231F20"/>
          <w:spacing w:val="-4"/>
          <w:vertAlign w:val="baseline"/>
        </w:rPr>
        <w:t>(2020).</w:t>
      </w:r>
      <w:r>
        <w:rPr>
          <w:color w:val="231F20"/>
          <w:spacing w:val="-10"/>
          <w:vertAlign w:val="baseline"/>
        </w:rPr>
        <w:t> </w:t>
      </w:r>
      <w:r>
        <w:rPr>
          <w:color w:val="231F20"/>
          <w:spacing w:val="-3"/>
          <w:vertAlign w:val="baseline"/>
        </w:rPr>
        <w:t>5</w:t>
      </w:r>
      <w:r>
        <w:rPr>
          <w:color w:val="231F20"/>
          <w:spacing w:val="-9"/>
          <w:vertAlign w:val="baseline"/>
        </w:rPr>
        <w:t> </w:t>
      </w:r>
      <w:r>
        <w:rPr>
          <w:color w:val="231F20"/>
          <w:spacing w:val="-3"/>
          <w:vertAlign w:val="baseline"/>
        </w:rPr>
        <w:t>key</w:t>
      </w:r>
      <w:r>
        <w:rPr>
          <w:color w:val="231F20"/>
          <w:spacing w:val="-10"/>
          <w:vertAlign w:val="baseline"/>
        </w:rPr>
        <w:t> </w:t>
      </w:r>
      <w:r>
        <w:rPr>
          <w:color w:val="231F20"/>
          <w:spacing w:val="-3"/>
          <w:vertAlign w:val="baseline"/>
        </w:rPr>
        <w:t>practices</w:t>
      </w:r>
      <w:r>
        <w:rPr>
          <w:color w:val="231F20"/>
          <w:spacing w:val="-9"/>
          <w:vertAlign w:val="baseline"/>
        </w:rPr>
        <w:t> </w:t>
      </w:r>
      <w:r>
        <w:rPr>
          <w:color w:val="231F20"/>
          <w:spacing w:val="-3"/>
          <w:vertAlign w:val="baseline"/>
        </w:rPr>
        <w:t>for</w:t>
      </w:r>
      <w:r>
        <w:rPr>
          <w:color w:val="231F20"/>
          <w:spacing w:val="-10"/>
          <w:vertAlign w:val="baseline"/>
        </w:rPr>
        <w:t> </w:t>
      </w:r>
      <w:r>
        <w:rPr>
          <w:color w:val="231F20"/>
          <w:spacing w:val="-3"/>
          <w:vertAlign w:val="baseline"/>
        </w:rPr>
        <w:t>providing</w:t>
      </w:r>
      <w:r>
        <w:rPr>
          <w:color w:val="231F20"/>
          <w:spacing w:val="-9"/>
          <w:vertAlign w:val="baseline"/>
        </w:rPr>
        <w:t> </w:t>
      </w:r>
      <w:r>
        <w:rPr>
          <w:color w:val="231F20"/>
          <w:spacing w:val="-3"/>
          <w:vertAlign w:val="baseline"/>
        </w:rPr>
        <w:t>tech-</w:t>
      </w:r>
      <w:r>
        <w:rPr>
          <w:color w:val="231F20"/>
          <w:spacing w:val="-52"/>
          <w:vertAlign w:val="baseline"/>
        </w:rPr>
        <w:t> </w:t>
      </w:r>
      <w:r>
        <w:rPr>
          <w:color w:val="231F20"/>
          <w:spacing w:val="-4"/>
          <w:vertAlign w:val="baseline"/>
        </w:rPr>
        <w:t>assisted peer support. </w:t>
      </w:r>
      <w:r>
        <w:rPr>
          <w:i/>
          <w:color w:val="231F20"/>
          <w:spacing w:val="-4"/>
          <w:vertAlign w:val="baseline"/>
        </w:rPr>
        <w:t>Addiction Professional</w:t>
      </w:r>
      <w:r>
        <w:rPr>
          <w:color w:val="231F20"/>
          <w:spacing w:val="-4"/>
          <w:vertAlign w:val="baseline"/>
        </w:rPr>
        <w:t>. </w:t>
      </w:r>
      <w:hyperlink r:id="rId203">
        <w:r>
          <w:rPr>
            <w:color w:val="3953A4"/>
            <w:spacing w:val="-3"/>
            <w:u w:val="single" w:color="3953A4"/>
            <w:vertAlign w:val="baseline"/>
          </w:rPr>
          <w:t>https://</w:t>
        </w:r>
      </w:hyperlink>
      <w:r>
        <w:rPr>
          <w:color w:val="3953A4"/>
          <w:spacing w:val="-52"/>
          <w:vertAlign w:val="baseline"/>
        </w:rPr>
        <w:t> </w:t>
      </w:r>
      <w:hyperlink r:id="rId203">
        <w:r>
          <w:rPr>
            <w:color w:val="3953A4"/>
            <w:u w:val="single" w:color="3953A4"/>
            <w:vertAlign w:val="baseline"/>
          </w:rPr>
          <w:t>www.psychcongress.com/article/5-key-practices-</w:t>
        </w:r>
      </w:hyperlink>
      <w:r>
        <w:rPr>
          <w:color w:val="3953A4"/>
          <w:spacing w:val="1"/>
          <w:vertAlign w:val="baseline"/>
        </w:rPr>
        <w:t> </w:t>
      </w:r>
      <w:hyperlink r:id="rId203">
        <w:r>
          <w:rPr>
            <w:color w:val="3953A4"/>
            <w:u w:val="single" w:color="3953A4"/>
            <w:vertAlign w:val="baseline"/>
          </w:rPr>
          <w:t>providing-tech-assisted-peer-support</w:t>
        </w:r>
      </w:hyperlink>
    </w:p>
    <w:p>
      <w:pPr>
        <w:tabs>
          <w:tab w:pos="479" w:val="left" w:leader="none"/>
        </w:tabs>
        <w:spacing w:line="228" w:lineRule="auto" w:before="88"/>
        <w:ind w:left="480" w:right="39" w:hanging="360"/>
        <w:jc w:val="left"/>
        <w:rPr>
          <w:sz w:val="22"/>
        </w:rPr>
      </w:pPr>
      <w:r>
        <w:rPr>
          <w:color w:val="231F20"/>
          <w:sz w:val="22"/>
          <w:vertAlign w:val="superscript"/>
        </w:rPr>
        <w:t>75</w:t>
      </w:r>
      <w:r>
        <w:rPr>
          <w:color w:val="231F20"/>
          <w:sz w:val="22"/>
          <w:vertAlign w:val="baseline"/>
        </w:rPr>
        <w:tab/>
      </w:r>
      <w:r>
        <w:rPr>
          <w:color w:val="231F20"/>
          <w:spacing w:val="-4"/>
          <w:sz w:val="22"/>
          <w:vertAlign w:val="baseline"/>
        </w:rPr>
        <w:t>Substance Abuse and Mental </w:t>
      </w:r>
      <w:r>
        <w:rPr>
          <w:color w:val="231F20"/>
          <w:spacing w:val="-3"/>
          <w:sz w:val="22"/>
          <w:vertAlign w:val="baseline"/>
        </w:rPr>
        <w:t>Health Services</w:t>
      </w:r>
      <w:r>
        <w:rPr>
          <w:color w:val="231F20"/>
          <w:spacing w:val="-2"/>
          <w:sz w:val="22"/>
          <w:vertAlign w:val="baseline"/>
        </w:rPr>
        <w:t> </w:t>
      </w:r>
      <w:r>
        <w:rPr>
          <w:color w:val="231F20"/>
          <w:spacing w:val="-3"/>
          <w:sz w:val="22"/>
          <w:vertAlign w:val="baseline"/>
        </w:rPr>
        <w:t>Administration. (2020). </w:t>
      </w:r>
      <w:r>
        <w:rPr>
          <w:i/>
          <w:color w:val="231F20"/>
          <w:spacing w:val="-3"/>
          <w:sz w:val="22"/>
          <w:vertAlign w:val="baseline"/>
        </w:rPr>
        <w:t>National </w:t>
      </w:r>
      <w:r>
        <w:rPr>
          <w:i/>
          <w:color w:val="231F20"/>
          <w:spacing w:val="-2"/>
          <w:sz w:val="22"/>
          <w:vertAlign w:val="baseline"/>
        </w:rPr>
        <w:t>guidelines for</w:t>
      </w:r>
      <w:r>
        <w:rPr>
          <w:i/>
          <w:color w:val="231F20"/>
          <w:spacing w:val="-1"/>
          <w:sz w:val="22"/>
          <w:vertAlign w:val="baseline"/>
        </w:rPr>
        <w:t> </w:t>
      </w:r>
      <w:r>
        <w:rPr>
          <w:i/>
          <w:color w:val="231F20"/>
          <w:spacing w:val="-3"/>
          <w:sz w:val="22"/>
          <w:vertAlign w:val="baseline"/>
        </w:rPr>
        <w:t>behavioral health crisis care – a best practice toolkit</w:t>
      </w:r>
      <w:r>
        <w:rPr>
          <w:color w:val="231F20"/>
          <w:spacing w:val="-3"/>
          <w:sz w:val="22"/>
          <w:vertAlign w:val="baseline"/>
        </w:rPr>
        <w:t>.</w:t>
      </w:r>
      <w:r>
        <w:rPr>
          <w:color w:val="231F20"/>
          <w:spacing w:val="-2"/>
          <w:sz w:val="22"/>
          <w:vertAlign w:val="baseline"/>
        </w:rPr>
        <w:t> </w:t>
      </w:r>
      <w:hyperlink r:id="rId128">
        <w:r>
          <w:rPr>
            <w:color w:val="3953A4"/>
            <w:spacing w:val="-2"/>
            <w:sz w:val="22"/>
            <w:u w:val="single" w:color="3953A4"/>
            <w:vertAlign w:val="baseline"/>
          </w:rPr>
          <w:t>https://www.samhsa.gov/sites/default/files/national-</w:t>
        </w:r>
      </w:hyperlink>
      <w:r>
        <w:rPr>
          <w:color w:val="3953A4"/>
          <w:spacing w:val="-1"/>
          <w:sz w:val="22"/>
          <w:vertAlign w:val="baseline"/>
        </w:rPr>
        <w:t> </w:t>
      </w:r>
      <w:hyperlink r:id="rId128">
        <w:r>
          <w:rPr>
            <w:color w:val="3953A4"/>
            <w:spacing w:val="-5"/>
            <w:sz w:val="22"/>
            <w:u w:val="single" w:color="3953A4"/>
            <w:vertAlign w:val="baseline"/>
          </w:rPr>
          <w:t>guidelines-for-behavioral-health-crisis-care-02242020.</w:t>
        </w:r>
      </w:hyperlink>
      <w:r>
        <w:rPr>
          <w:color w:val="3953A4"/>
          <w:spacing w:val="-4"/>
          <w:sz w:val="22"/>
          <w:vertAlign w:val="baseline"/>
        </w:rPr>
        <w:t> </w:t>
      </w:r>
      <w:hyperlink r:id="rId128">
        <w:r>
          <w:rPr>
            <w:color w:val="3953A4"/>
            <w:sz w:val="22"/>
            <w:u w:val="single" w:color="3953A4"/>
            <w:vertAlign w:val="baseline"/>
          </w:rPr>
          <w:t>pdf</w:t>
        </w:r>
      </w:hyperlink>
    </w:p>
    <w:p>
      <w:pPr>
        <w:tabs>
          <w:tab w:pos="479" w:val="left" w:leader="none"/>
        </w:tabs>
        <w:spacing w:line="228" w:lineRule="auto" w:before="88"/>
        <w:ind w:left="479" w:right="38" w:hanging="360"/>
        <w:jc w:val="left"/>
        <w:rPr>
          <w:i/>
          <w:sz w:val="22"/>
        </w:rPr>
      </w:pPr>
      <w:r>
        <w:rPr>
          <w:color w:val="231F20"/>
          <w:sz w:val="22"/>
          <w:vertAlign w:val="superscript"/>
        </w:rPr>
        <w:t>76</w:t>
      </w:r>
      <w:r>
        <w:rPr>
          <w:color w:val="231F20"/>
          <w:sz w:val="22"/>
          <w:vertAlign w:val="baseline"/>
        </w:rPr>
        <w:tab/>
        <w:t>Substance Abuse and Mental Health Services</w:t>
      </w:r>
      <w:r>
        <w:rPr>
          <w:color w:val="231F20"/>
          <w:spacing w:val="1"/>
          <w:sz w:val="22"/>
          <w:vertAlign w:val="baseline"/>
        </w:rPr>
        <w:t> </w:t>
      </w:r>
      <w:r>
        <w:rPr>
          <w:color w:val="231F20"/>
          <w:sz w:val="22"/>
          <w:vertAlign w:val="baseline"/>
        </w:rPr>
        <w:t>Administration.</w:t>
      </w:r>
      <w:r>
        <w:rPr>
          <w:color w:val="231F20"/>
          <w:spacing w:val="-3"/>
          <w:sz w:val="22"/>
          <w:vertAlign w:val="baseline"/>
        </w:rPr>
        <w:t> </w:t>
      </w:r>
      <w:r>
        <w:rPr>
          <w:color w:val="231F20"/>
          <w:sz w:val="22"/>
          <w:vertAlign w:val="baseline"/>
        </w:rPr>
        <w:t>(2020).</w:t>
      </w:r>
      <w:r>
        <w:rPr>
          <w:color w:val="231F20"/>
          <w:spacing w:val="-3"/>
          <w:sz w:val="22"/>
          <w:vertAlign w:val="baseline"/>
        </w:rPr>
        <w:t> </w:t>
      </w:r>
      <w:r>
        <w:rPr>
          <w:i/>
          <w:color w:val="231F20"/>
          <w:sz w:val="22"/>
          <w:vertAlign w:val="baseline"/>
        </w:rPr>
        <w:t>New</w:t>
      </w:r>
      <w:r>
        <w:rPr>
          <w:i/>
          <w:color w:val="231F20"/>
          <w:spacing w:val="-2"/>
          <w:sz w:val="22"/>
          <w:vertAlign w:val="baseline"/>
        </w:rPr>
        <w:t> </w:t>
      </w:r>
      <w:r>
        <w:rPr>
          <w:i/>
          <w:color w:val="231F20"/>
          <w:sz w:val="22"/>
          <w:vertAlign w:val="baseline"/>
        </w:rPr>
        <w:t>SAMHSA</w:t>
      </w:r>
      <w:r>
        <w:rPr>
          <w:i/>
          <w:color w:val="231F20"/>
          <w:spacing w:val="-7"/>
          <w:sz w:val="22"/>
          <w:vertAlign w:val="baseline"/>
        </w:rPr>
        <w:t> </w:t>
      </w:r>
      <w:r>
        <w:rPr>
          <w:i/>
          <w:color w:val="231F20"/>
          <w:sz w:val="22"/>
          <w:vertAlign w:val="baseline"/>
        </w:rPr>
        <w:t>app</w:t>
      </w:r>
      <w:r>
        <w:rPr>
          <w:i/>
          <w:color w:val="231F20"/>
          <w:spacing w:val="-3"/>
          <w:sz w:val="22"/>
          <w:vertAlign w:val="baseline"/>
        </w:rPr>
        <w:t> </w:t>
      </w:r>
      <w:r>
        <w:rPr>
          <w:i/>
          <w:color w:val="231F20"/>
          <w:sz w:val="22"/>
          <w:vertAlign w:val="baseline"/>
        </w:rPr>
        <w:t>will</w:t>
      </w:r>
      <w:r>
        <w:rPr>
          <w:i/>
          <w:color w:val="231F20"/>
          <w:spacing w:val="-3"/>
          <w:sz w:val="22"/>
          <w:vertAlign w:val="baseline"/>
        </w:rPr>
        <w:t> </w:t>
      </w:r>
      <w:r>
        <w:rPr>
          <w:i/>
          <w:color w:val="231F20"/>
          <w:sz w:val="22"/>
          <w:vertAlign w:val="baseline"/>
        </w:rPr>
        <w:t>help</w:t>
      </w:r>
      <w:r>
        <w:rPr>
          <w:i/>
          <w:color w:val="231F20"/>
          <w:spacing w:val="-52"/>
          <w:sz w:val="22"/>
          <w:vertAlign w:val="baseline"/>
        </w:rPr>
        <w:t> </w:t>
      </w:r>
      <w:r>
        <w:rPr>
          <w:i/>
          <w:color w:val="231F20"/>
          <w:sz w:val="22"/>
          <w:vertAlign w:val="baseline"/>
        </w:rPr>
        <w:t>people</w:t>
      </w:r>
      <w:r>
        <w:rPr>
          <w:i/>
          <w:color w:val="231F20"/>
          <w:spacing w:val="-1"/>
          <w:sz w:val="22"/>
          <w:vertAlign w:val="baseline"/>
        </w:rPr>
        <w:t> </w:t>
      </w:r>
      <w:r>
        <w:rPr>
          <w:i/>
          <w:color w:val="231F20"/>
          <w:sz w:val="22"/>
          <w:vertAlign w:val="baseline"/>
        </w:rPr>
        <w:t>who have serious mental illness to develop</w:t>
      </w:r>
    </w:p>
    <w:p>
      <w:pPr>
        <w:pStyle w:val="BodyText"/>
        <w:spacing w:line="228" w:lineRule="auto"/>
        <w:ind w:left="479" w:right="255"/>
      </w:pPr>
      <w:r>
        <w:rPr>
          <w:i/>
          <w:color w:val="231F20"/>
        </w:rPr>
        <w:t>a</w:t>
      </w:r>
      <w:r>
        <w:rPr>
          <w:i/>
          <w:color w:val="231F20"/>
          <w:spacing w:val="-10"/>
        </w:rPr>
        <w:t> </w:t>
      </w:r>
      <w:r>
        <w:rPr>
          <w:i/>
          <w:color w:val="231F20"/>
        </w:rPr>
        <w:t>crisis</w:t>
      </w:r>
      <w:r>
        <w:rPr>
          <w:i/>
          <w:color w:val="231F20"/>
          <w:spacing w:val="-9"/>
        </w:rPr>
        <w:t> </w:t>
      </w:r>
      <w:r>
        <w:rPr>
          <w:i/>
          <w:color w:val="231F20"/>
        </w:rPr>
        <w:t>plan.</w:t>
      </w:r>
      <w:r>
        <w:rPr>
          <w:i/>
          <w:color w:val="231F20"/>
          <w:spacing w:val="-9"/>
        </w:rPr>
        <w:t> </w:t>
      </w:r>
      <w:hyperlink r:id="rId204">
        <w:r>
          <w:rPr>
            <w:color w:val="3953A4"/>
            <w:u w:val="single" w:color="3953A4"/>
          </w:rPr>
          <w:t>https://www.samhsa.gov/newsroom/</w:t>
        </w:r>
      </w:hyperlink>
      <w:r>
        <w:rPr>
          <w:color w:val="3953A4"/>
          <w:spacing w:val="-52"/>
        </w:rPr>
        <w:t> </w:t>
      </w:r>
      <w:hyperlink r:id="rId204">
        <w:r>
          <w:rPr>
            <w:color w:val="3953A4"/>
            <w:u w:val="single" w:color="3953A4"/>
          </w:rPr>
          <w:t>press-announcements/202010010505</w:t>
        </w:r>
      </w:hyperlink>
    </w:p>
    <w:p>
      <w:pPr>
        <w:pStyle w:val="BodyText"/>
        <w:tabs>
          <w:tab w:pos="479" w:val="left" w:leader="none"/>
        </w:tabs>
        <w:spacing w:line="228" w:lineRule="auto" w:before="89"/>
        <w:ind w:left="480" w:right="208" w:hanging="360"/>
      </w:pPr>
      <w:r>
        <w:rPr>
          <w:color w:val="231F20"/>
          <w:vertAlign w:val="superscript"/>
        </w:rPr>
        <w:t>77</w:t>
      </w:r>
      <w:r>
        <w:rPr>
          <w:color w:val="231F20"/>
          <w:vertAlign w:val="baseline"/>
        </w:rPr>
        <w:tab/>
      </w:r>
      <w:r>
        <w:rPr>
          <w:color w:val="231F20"/>
          <w:spacing w:val="-6"/>
          <w:vertAlign w:val="baseline"/>
        </w:rPr>
        <w:t>Gilmore, A. K., &amp; Ward-Ciesielski, E. F. (2019).</w:t>
      </w:r>
      <w:r>
        <w:rPr>
          <w:color w:val="231F20"/>
          <w:spacing w:val="-5"/>
          <w:vertAlign w:val="baseline"/>
        </w:rPr>
        <w:t> </w:t>
      </w:r>
      <w:r>
        <w:rPr>
          <w:color w:val="231F20"/>
          <w:spacing w:val="-6"/>
          <w:vertAlign w:val="baseline"/>
        </w:rPr>
        <w:t>Perceived </w:t>
      </w:r>
      <w:r>
        <w:rPr>
          <w:color w:val="231F20"/>
          <w:spacing w:val="-5"/>
          <w:vertAlign w:val="baseline"/>
        </w:rPr>
        <w:t>risks and use of psychotherapy via</w:t>
      </w:r>
      <w:r>
        <w:rPr>
          <w:color w:val="231F20"/>
          <w:spacing w:val="-4"/>
          <w:vertAlign w:val="baseline"/>
        </w:rPr>
        <w:t> </w:t>
      </w:r>
      <w:r>
        <w:rPr>
          <w:color w:val="231F20"/>
          <w:spacing w:val="-6"/>
          <w:vertAlign w:val="baseline"/>
        </w:rPr>
        <w:t>telemedicine</w:t>
      </w:r>
      <w:r>
        <w:rPr>
          <w:color w:val="231F20"/>
          <w:spacing w:val="-12"/>
          <w:vertAlign w:val="baseline"/>
        </w:rPr>
        <w:t> </w:t>
      </w:r>
      <w:r>
        <w:rPr>
          <w:color w:val="231F20"/>
          <w:spacing w:val="-6"/>
          <w:vertAlign w:val="baseline"/>
        </w:rPr>
        <w:t>for</w:t>
      </w:r>
      <w:r>
        <w:rPr>
          <w:color w:val="231F20"/>
          <w:spacing w:val="-12"/>
          <w:vertAlign w:val="baseline"/>
        </w:rPr>
        <w:t> </w:t>
      </w:r>
      <w:r>
        <w:rPr>
          <w:color w:val="231F20"/>
          <w:spacing w:val="-5"/>
          <w:vertAlign w:val="baseline"/>
        </w:rPr>
        <w:t>patients</w:t>
      </w:r>
      <w:r>
        <w:rPr>
          <w:color w:val="231F20"/>
          <w:spacing w:val="-12"/>
          <w:vertAlign w:val="baseline"/>
        </w:rPr>
        <w:t> </w:t>
      </w:r>
      <w:r>
        <w:rPr>
          <w:color w:val="231F20"/>
          <w:spacing w:val="-5"/>
          <w:vertAlign w:val="baseline"/>
        </w:rPr>
        <w:t>at</w:t>
      </w:r>
      <w:r>
        <w:rPr>
          <w:color w:val="231F20"/>
          <w:spacing w:val="-12"/>
          <w:vertAlign w:val="baseline"/>
        </w:rPr>
        <w:t> </w:t>
      </w:r>
      <w:r>
        <w:rPr>
          <w:color w:val="231F20"/>
          <w:spacing w:val="-5"/>
          <w:vertAlign w:val="baseline"/>
        </w:rPr>
        <w:t>risk</w:t>
      </w:r>
      <w:r>
        <w:rPr>
          <w:color w:val="231F20"/>
          <w:spacing w:val="-12"/>
          <w:vertAlign w:val="baseline"/>
        </w:rPr>
        <w:t> </w:t>
      </w:r>
      <w:r>
        <w:rPr>
          <w:color w:val="231F20"/>
          <w:spacing w:val="-5"/>
          <w:vertAlign w:val="baseline"/>
        </w:rPr>
        <w:t>for</w:t>
      </w:r>
      <w:r>
        <w:rPr>
          <w:color w:val="231F20"/>
          <w:spacing w:val="-12"/>
          <w:vertAlign w:val="baseline"/>
        </w:rPr>
        <w:t> </w:t>
      </w:r>
      <w:r>
        <w:rPr>
          <w:color w:val="231F20"/>
          <w:spacing w:val="-5"/>
          <w:vertAlign w:val="baseline"/>
        </w:rPr>
        <w:t>suicide.</w:t>
      </w:r>
      <w:r>
        <w:rPr>
          <w:color w:val="231F20"/>
          <w:spacing w:val="-13"/>
          <w:vertAlign w:val="baseline"/>
        </w:rPr>
        <w:t> </w:t>
      </w:r>
      <w:r>
        <w:rPr>
          <w:i/>
          <w:color w:val="231F20"/>
          <w:spacing w:val="-5"/>
          <w:vertAlign w:val="baseline"/>
        </w:rPr>
        <w:t>Journal</w:t>
      </w:r>
      <w:r>
        <w:rPr>
          <w:i/>
          <w:color w:val="231F20"/>
          <w:spacing w:val="-12"/>
          <w:vertAlign w:val="baseline"/>
        </w:rPr>
        <w:t> </w:t>
      </w:r>
      <w:r>
        <w:rPr>
          <w:i/>
          <w:color w:val="231F20"/>
          <w:spacing w:val="-5"/>
          <w:vertAlign w:val="baseline"/>
        </w:rPr>
        <w:t>of</w:t>
      </w:r>
      <w:r>
        <w:rPr>
          <w:i/>
          <w:color w:val="231F20"/>
          <w:spacing w:val="-52"/>
          <w:vertAlign w:val="baseline"/>
        </w:rPr>
        <w:t> </w:t>
      </w:r>
      <w:r>
        <w:rPr>
          <w:i/>
          <w:color w:val="231F20"/>
          <w:spacing w:val="-7"/>
          <w:vertAlign w:val="baseline"/>
        </w:rPr>
        <w:t>Telemedicine and Telecare, </w:t>
      </w:r>
      <w:r>
        <w:rPr>
          <w:i/>
          <w:color w:val="231F20"/>
          <w:spacing w:val="-6"/>
          <w:vertAlign w:val="baseline"/>
        </w:rPr>
        <w:t>25</w:t>
      </w:r>
      <w:r>
        <w:rPr>
          <w:color w:val="231F20"/>
          <w:spacing w:val="-6"/>
          <w:vertAlign w:val="baseline"/>
        </w:rPr>
        <w:t>(1), 59-63. </w:t>
      </w:r>
      <w:hyperlink r:id="rId205">
        <w:r>
          <w:rPr>
            <w:color w:val="3953A4"/>
            <w:spacing w:val="-6"/>
            <w:u w:val="single" w:color="3953A4"/>
            <w:vertAlign w:val="baseline"/>
          </w:rPr>
          <w:t>https://doi.</w:t>
        </w:r>
      </w:hyperlink>
      <w:r>
        <w:rPr>
          <w:color w:val="3953A4"/>
          <w:spacing w:val="-5"/>
          <w:vertAlign w:val="baseline"/>
        </w:rPr>
        <w:t> </w:t>
      </w:r>
      <w:hyperlink r:id="rId205">
        <w:r>
          <w:rPr>
            <w:color w:val="3953A4"/>
            <w:u w:val="single" w:color="3953A4"/>
            <w:vertAlign w:val="baseline"/>
          </w:rPr>
          <w:t>org/10.1177/1357633X17735559</w:t>
        </w:r>
      </w:hyperlink>
    </w:p>
    <w:p>
      <w:pPr>
        <w:pStyle w:val="BodyText"/>
        <w:tabs>
          <w:tab w:pos="479" w:val="left" w:leader="none"/>
        </w:tabs>
        <w:spacing w:line="228" w:lineRule="auto" w:before="88"/>
        <w:ind w:left="480" w:right="444" w:hanging="360"/>
      </w:pPr>
      <w:r>
        <w:rPr>
          <w:color w:val="231F20"/>
          <w:vertAlign w:val="superscript"/>
        </w:rPr>
        <w:t>78</w:t>
      </w:r>
      <w:r>
        <w:rPr>
          <w:color w:val="231F20"/>
          <w:vertAlign w:val="baseline"/>
        </w:rPr>
        <w:tab/>
      </w:r>
      <w:r>
        <w:rPr>
          <w:color w:val="231F20"/>
          <w:spacing w:val="-4"/>
          <w:vertAlign w:val="baseline"/>
        </w:rPr>
        <w:t>Horowitz,</w:t>
      </w:r>
      <w:r>
        <w:rPr>
          <w:color w:val="231F20"/>
          <w:spacing w:val="-10"/>
          <w:vertAlign w:val="baseline"/>
        </w:rPr>
        <w:t> </w:t>
      </w:r>
      <w:r>
        <w:rPr>
          <w:color w:val="231F20"/>
          <w:spacing w:val="-4"/>
          <w:vertAlign w:val="baseline"/>
        </w:rPr>
        <w:t>L.</w:t>
      </w:r>
      <w:r>
        <w:rPr>
          <w:color w:val="231F20"/>
          <w:spacing w:val="-9"/>
          <w:vertAlign w:val="baseline"/>
        </w:rPr>
        <w:t> </w:t>
      </w:r>
      <w:r>
        <w:rPr>
          <w:color w:val="231F20"/>
          <w:spacing w:val="-4"/>
          <w:vertAlign w:val="baseline"/>
        </w:rPr>
        <w:t>M.,</w:t>
      </w:r>
      <w:r>
        <w:rPr>
          <w:color w:val="231F20"/>
          <w:spacing w:val="-9"/>
          <w:vertAlign w:val="baseline"/>
        </w:rPr>
        <w:t> </w:t>
      </w:r>
      <w:r>
        <w:rPr>
          <w:color w:val="231F20"/>
          <w:spacing w:val="-4"/>
          <w:vertAlign w:val="baseline"/>
        </w:rPr>
        <w:t>Snyder,</w:t>
      </w:r>
      <w:r>
        <w:rPr>
          <w:color w:val="231F20"/>
          <w:spacing w:val="-9"/>
          <w:vertAlign w:val="baseline"/>
        </w:rPr>
        <w:t> </w:t>
      </w:r>
      <w:r>
        <w:rPr>
          <w:color w:val="231F20"/>
          <w:spacing w:val="-3"/>
          <w:vertAlign w:val="baseline"/>
        </w:rPr>
        <w:t>D.</w:t>
      </w:r>
      <w:r>
        <w:rPr>
          <w:color w:val="231F20"/>
          <w:spacing w:val="-9"/>
          <w:vertAlign w:val="baseline"/>
        </w:rPr>
        <w:t> </w:t>
      </w:r>
      <w:r>
        <w:rPr>
          <w:color w:val="231F20"/>
          <w:spacing w:val="-3"/>
          <w:vertAlign w:val="baseline"/>
        </w:rPr>
        <w:t>J.,</w:t>
      </w:r>
      <w:r>
        <w:rPr>
          <w:color w:val="231F20"/>
          <w:spacing w:val="-9"/>
          <w:vertAlign w:val="baseline"/>
        </w:rPr>
        <w:t> </w:t>
      </w:r>
      <w:r>
        <w:rPr>
          <w:color w:val="231F20"/>
          <w:spacing w:val="-3"/>
          <w:vertAlign w:val="baseline"/>
        </w:rPr>
        <w:t>Boudreaux,</w:t>
      </w:r>
      <w:r>
        <w:rPr>
          <w:color w:val="231F20"/>
          <w:spacing w:val="-9"/>
          <w:vertAlign w:val="baseline"/>
        </w:rPr>
        <w:t> </w:t>
      </w:r>
      <w:r>
        <w:rPr>
          <w:color w:val="231F20"/>
          <w:spacing w:val="-3"/>
          <w:vertAlign w:val="baseline"/>
        </w:rPr>
        <w:t>E.</w:t>
      </w:r>
      <w:r>
        <w:rPr>
          <w:color w:val="231F20"/>
          <w:spacing w:val="-9"/>
          <w:vertAlign w:val="baseline"/>
        </w:rPr>
        <w:t> </w:t>
      </w:r>
      <w:r>
        <w:rPr>
          <w:color w:val="231F20"/>
          <w:spacing w:val="-3"/>
          <w:vertAlign w:val="baseline"/>
        </w:rPr>
        <w:t>D.,</w:t>
      </w:r>
      <w:r>
        <w:rPr>
          <w:color w:val="231F20"/>
          <w:spacing w:val="-52"/>
          <w:vertAlign w:val="baseline"/>
        </w:rPr>
        <w:t> </w:t>
      </w:r>
      <w:r>
        <w:rPr>
          <w:color w:val="231F20"/>
          <w:spacing w:val="-4"/>
          <w:vertAlign w:val="baseline"/>
        </w:rPr>
        <w:t>He, J.-P., Harrington, </w:t>
      </w:r>
      <w:r>
        <w:rPr>
          <w:color w:val="231F20"/>
          <w:spacing w:val="-3"/>
          <w:vertAlign w:val="baseline"/>
        </w:rPr>
        <w:t>C. J., Cai, J., Claassen, C.</w:t>
      </w:r>
      <w:r>
        <w:rPr>
          <w:color w:val="231F20"/>
          <w:spacing w:val="-2"/>
          <w:vertAlign w:val="baseline"/>
        </w:rPr>
        <w:t> </w:t>
      </w:r>
      <w:r>
        <w:rPr>
          <w:color w:val="231F20"/>
          <w:spacing w:val="-5"/>
          <w:vertAlign w:val="baseline"/>
        </w:rPr>
        <w:t>A.,</w:t>
      </w:r>
      <w:r>
        <w:rPr>
          <w:color w:val="231F20"/>
          <w:spacing w:val="-8"/>
          <w:vertAlign w:val="baseline"/>
        </w:rPr>
        <w:t> </w:t>
      </w:r>
      <w:r>
        <w:rPr>
          <w:color w:val="231F20"/>
          <w:spacing w:val="-5"/>
          <w:vertAlign w:val="baseline"/>
        </w:rPr>
        <w:t>Salhany,</w:t>
      </w:r>
      <w:r>
        <w:rPr>
          <w:color w:val="231F20"/>
          <w:spacing w:val="-8"/>
          <w:vertAlign w:val="baseline"/>
        </w:rPr>
        <w:t> </w:t>
      </w:r>
      <w:r>
        <w:rPr>
          <w:color w:val="231F20"/>
          <w:spacing w:val="-5"/>
          <w:vertAlign w:val="baseline"/>
        </w:rPr>
        <w:t>J.</w:t>
      </w:r>
      <w:r>
        <w:rPr>
          <w:color w:val="231F20"/>
          <w:spacing w:val="-8"/>
          <w:vertAlign w:val="baseline"/>
        </w:rPr>
        <w:t> </w:t>
      </w:r>
      <w:r>
        <w:rPr>
          <w:color w:val="231F20"/>
          <w:spacing w:val="-5"/>
          <w:vertAlign w:val="baseline"/>
        </w:rPr>
        <w:t>E.,</w:t>
      </w:r>
      <w:r>
        <w:rPr>
          <w:color w:val="231F20"/>
          <w:spacing w:val="-8"/>
          <w:vertAlign w:val="baseline"/>
        </w:rPr>
        <w:t> </w:t>
      </w:r>
      <w:r>
        <w:rPr>
          <w:color w:val="231F20"/>
          <w:spacing w:val="-5"/>
          <w:vertAlign w:val="baseline"/>
        </w:rPr>
        <w:t>Dao,</w:t>
      </w:r>
      <w:r>
        <w:rPr>
          <w:color w:val="231F20"/>
          <w:spacing w:val="-12"/>
          <w:vertAlign w:val="baseline"/>
        </w:rPr>
        <w:t> </w:t>
      </w:r>
      <w:r>
        <w:rPr>
          <w:color w:val="231F20"/>
          <w:spacing w:val="-5"/>
          <w:vertAlign w:val="baseline"/>
        </w:rPr>
        <w:t>T.,</w:t>
      </w:r>
      <w:r>
        <w:rPr>
          <w:color w:val="231F20"/>
          <w:spacing w:val="-8"/>
          <w:vertAlign w:val="baseline"/>
        </w:rPr>
        <w:t> </w:t>
      </w:r>
      <w:r>
        <w:rPr>
          <w:color w:val="231F20"/>
          <w:spacing w:val="-5"/>
          <w:vertAlign w:val="baseline"/>
        </w:rPr>
        <w:t>&amp;</w:t>
      </w:r>
      <w:r>
        <w:rPr>
          <w:color w:val="231F20"/>
          <w:spacing w:val="-8"/>
          <w:vertAlign w:val="baseline"/>
        </w:rPr>
        <w:t> </w:t>
      </w:r>
      <w:r>
        <w:rPr>
          <w:color w:val="231F20"/>
          <w:spacing w:val="-4"/>
          <w:vertAlign w:val="baseline"/>
        </w:rPr>
        <w:t>Chaves,</w:t>
      </w:r>
      <w:r>
        <w:rPr>
          <w:color w:val="231F20"/>
          <w:spacing w:val="-8"/>
          <w:vertAlign w:val="baseline"/>
        </w:rPr>
        <w:t> </w:t>
      </w:r>
      <w:r>
        <w:rPr>
          <w:color w:val="231F20"/>
          <w:spacing w:val="-4"/>
          <w:vertAlign w:val="baseline"/>
        </w:rPr>
        <w:t>J.</w:t>
      </w:r>
      <w:r>
        <w:rPr>
          <w:color w:val="231F20"/>
          <w:spacing w:val="-8"/>
          <w:vertAlign w:val="baseline"/>
        </w:rPr>
        <w:t> </w:t>
      </w:r>
      <w:r>
        <w:rPr>
          <w:color w:val="231F20"/>
          <w:spacing w:val="-4"/>
          <w:vertAlign w:val="baseline"/>
        </w:rPr>
        <w:t>F.</w:t>
      </w:r>
      <w:r>
        <w:rPr>
          <w:color w:val="231F20"/>
          <w:spacing w:val="-8"/>
          <w:vertAlign w:val="baseline"/>
        </w:rPr>
        <w:t> </w:t>
      </w:r>
      <w:r>
        <w:rPr>
          <w:color w:val="231F20"/>
          <w:spacing w:val="-4"/>
          <w:vertAlign w:val="baseline"/>
        </w:rPr>
        <w:t>(2020).</w:t>
      </w:r>
      <w:r>
        <w:rPr>
          <w:color w:val="231F20"/>
          <w:spacing w:val="-52"/>
          <w:vertAlign w:val="baseline"/>
        </w:rPr>
        <w:t> </w:t>
      </w:r>
      <w:r>
        <w:rPr>
          <w:color w:val="231F20"/>
          <w:spacing w:val="-5"/>
          <w:vertAlign w:val="baseline"/>
        </w:rPr>
        <w:t>Validation of the ask </w:t>
      </w:r>
      <w:r>
        <w:rPr>
          <w:color w:val="231F20"/>
          <w:spacing w:val="-4"/>
          <w:vertAlign w:val="baseline"/>
        </w:rPr>
        <w:t>suicide-screening questions</w:t>
      </w:r>
      <w:r>
        <w:rPr>
          <w:color w:val="231F20"/>
          <w:spacing w:val="-3"/>
          <w:vertAlign w:val="baseline"/>
        </w:rPr>
        <w:t> </w:t>
      </w:r>
      <w:r>
        <w:rPr>
          <w:color w:val="231F20"/>
          <w:spacing w:val="-4"/>
          <w:vertAlign w:val="baseline"/>
        </w:rPr>
        <w:t>for adult medical </w:t>
      </w:r>
      <w:r>
        <w:rPr>
          <w:color w:val="231F20"/>
          <w:spacing w:val="-3"/>
          <w:vertAlign w:val="baseline"/>
        </w:rPr>
        <w:t>inpatients: A brief tool for all</w:t>
      </w:r>
      <w:r>
        <w:rPr>
          <w:color w:val="231F20"/>
          <w:spacing w:val="-2"/>
          <w:vertAlign w:val="baseline"/>
        </w:rPr>
        <w:t> </w:t>
      </w:r>
      <w:r>
        <w:rPr>
          <w:color w:val="231F20"/>
          <w:spacing w:val="-4"/>
          <w:vertAlign w:val="baseline"/>
        </w:rPr>
        <w:t>ages.</w:t>
      </w:r>
      <w:r>
        <w:rPr>
          <w:color w:val="231F20"/>
          <w:spacing w:val="-9"/>
          <w:vertAlign w:val="baseline"/>
        </w:rPr>
        <w:t> </w:t>
      </w:r>
      <w:r>
        <w:rPr>
          <w:i/>
          <w:color w:val="231F20"/>
          <w:spacing w:val="-4"/>
          <w:vertAlign w:val="baseline"/>
        </w:rPr>
        <w:t>Psychosomatics,</w:t>
      </w:r>
      <w:r>
        <w:rPr>
          <w:i/>
          <w:color w:val="231F20"/>
          <w:spacing w:val="-9"/>
          <w:vertAlign w:val="baseline"/>
        </w:rPr>
        <w:t> </w:t>
      </w:r>
      <w:r>
        <w:rPr>
          <w:i/>
          <w:color w:val="231F20"/>
          <w:spacing w:val="-4"/>
          <w:vertAlign w:val="baseline"/>
        </w:rPr>
        <w:t>61</w:t>
      </w:r>
      <w:r>
        <w:rPr>
          <w:color w:val="231F20"/>
          <w:spacing w:val="-4"/>
          <w:vertAlign w:val="baseline"/>
        </w:rPr>
        <w:t>(6),</w:t>
      </w:r>
      <w:r>
        <w:rPr>
          <w:color w:val="231F20"/>
          <w:spacing w:val="-9"/>
          <w:vertAlign w:val="baseline"/>
        </w:rPr>
        <w:t> </w:t>
      </w:r>
      <w:r>
        <w:rPr>
          <w:color w:val="231F20"/>
          <w:spacing w:val="-3"/>
          <w:vertAlign w:val="baseline"/>
        </w:rPr>
        <w:t>713-722.</w:t>
      </w:r>
      <w:r>
        <w:rPr>
          <w:color w:val="231F20"/>
          <w:spacing w:val="-9"/>
          <w:vertAlign w:val="baseline"/>
        </w:rPr>
        <w:t> </w:t>
      </w:r>
      <w:hyperlink r:id="rId206">
        <w:r>
          <w:rPr>
            <w:color w:val="3953A4"/>
            <w:spacing w:val="-3"/>
            <w:u w:val="single" w:color="3953A4"/>
            <w:vertAlign w:val="baseline"/>
          </w:rPr>
          <w:t>https://doi.</w:t>
        </w:r>
      </w:hyperlink>
      <w:r>
        <w:rPr>
          <w:color w:val="3953A4"/>
          <w:spacing w:val="-52"/>
          <w:vertAlign w:val="baseline"/>
        </w:rPr>
        <w:t> </w:t>
      </w:r>
      <w:hyperlink r:id="rId206">
        <w:r>
          <w:rPr>
            <w:color w:val="3953A4"/>
            <w:u w:val="single" w:color="3953A4"/>
            <w:vertAlign w:val="baseline"/>
          </w:rPr>
          <w:t>org/10.1016/j.psym.2020.04.008</w:t>
        </w:r>
      </w:hyperlink>
    </w:p>
    <w:p>
      <w:pPr>
        <w:pStyle w:val="BodyText"/>
        <w:tabs>
          <w:tab w:pos="479" w:val="left" w:leader="none"/>
        </w:tabs>
        <w:spacing w:line="228" w:lineRule="auto" w:before="88"/>
        <w:ind w:left="480" w:right="101" w:hanging="360"/>
      </w:pPr>
      <w:r>
        <w:rPr>
          <w:color w:val="231F20"/>
          <w:vertAlign w:val="superscript"/>
        </w:rPr>
        <w:t>79</w:t>
      </w:r>
      <w:r>
        <w:rPr>
          <w:color w:val="231F20"/>
          <w:vertAlign w:val="baseline"/>
        </w:rPr>
        <w:tab/>
      </w:r>
      <w:r>
        <w:rPr>
          <w:color w:val="231F20"/>
          <w:spacing w:val="-1"/>
          <w:vertAlign w:val="baseline"/>
        </w:rPr>
        <w:t>Waltman, S. H., Landry, </w:t>
      </w:r>
      <w:r>
        <w:rPr>
          <w:color w:val="231F20"/>
          <w:vertAlign w:val="baseline"/>
        </w:rPr>
        <w:t>J. M., Pujol, L. A., &amp;</w:t>
      </w:r>
      <w:r>
        <w:rPr>
          <w:color w:val="231F20"/>
          <w:spacing w:val="1"/>
          <w:vertAlign w:val="baseline"/>
        </w:rPr>
        <w:t> </w:t>
      </w:r>
      <w:r>
        <w:rPr>
          <w:color w:val="231F20"/>
          <w:vertAlign w:val="baseline"/>
        </w:rPr>
        <w:t>Moore, B. A. (2019). Delivering evidence-based</w:t>
      </w:r>
      <w:r>
        <w:rPr>
          <w:color w:val="231F20"/>
          <w:spacing w:val="1"/>
          <w:vertAlign w:val="baseline"/>
        </w:rPr>
        <w:t> </w:t>
      </w:r>
      <w:r>
        <w:rPr>
          <w:color w:val="231F20"/>
          <w:vertAlign w:val="baseline"/>
        </w:rPr>
        <w:t>practices via telepsychology: Illustrative case series</w:t>
      </w:r>
      <w:r>
        <w:rPr>
          <w:color w:val="231F20"/>
          <w:spacing w:val="-52"/>
          <w:vertAlign w:val="baseline"/>
        </w:rPr>
        <w:t> </w:t>
      </w:r>
      <w:r>
        <w:rPr>
          <w:color w:val="231F20"/>
          <w:vertAlign w:val="baseline"/>
        </w:rPr>
        <w:t>from military treatment facilities. </w:t>
      </w:r>
      <w:r>
        <w:rPr>
          <w:i/>
          <w:color w:val="231F20"/>
          <w:vertAlign w:val="baseline"/>
        </w:rPr>
        <w:t>Professional</w:t>
      </w:r>
      <w:r>
        <w:rPr>
          <w:i/>
          <w:color w:val="231F20"/>
          <w:spacing w:val="1"/>
          <w:vertAlign w:val="baseline"/>
        </w:rPr>
        <w:t> </w:t>
      </w:r>
      <w:r>
        <w:rPr>
          <w:i/>
          <w:color w:val="231F20"/>
          <w:vertAlign w:val="baseline"/>
        </w:rPr>
        <w:t>Psychology: Research and Practice</w:t>
      </w:r>
      <w:r>
        <w:rPr>
          <w:color w:val="231F20"/>
          <w:vertAlign w:val="baseline"/>
        </w:rPr>
        <w:t>. </w:t>
      </w:r>
      <w:hyperlink r:id="rId207">
        <w:r>
          <w:rPr>
            <w:color w:val="3953A4"/>
            <w:u w:val="single" w:color="3953A4"/>
            <w:vertAlign w:val="baseline"/>
          </w:rPr>
          <w:t>https://doi.</w:t>
        </w:r>
      </w:hyperlink>
      <w:r>
        <w:rPr>
          <w:color w:val="3953A4"/>
          <w:spacing w:val="1"/>
          <w:vertAlign w:val="baseline"/>
        </w:rPr>
        <w:t> </w:t>
      </w:r>
      <w:hyperlink r:id="rId207">
        <w:r>
          <w:rPr>
            <w:color w:val="3953A4"/>
            <w:u w:val="single" w:color="3953A4"/>
            <w:vertAlign w:val="baseline"/>
          </w:rPr>
          <w:t>org/10.1037/pro0000275</w:t>
        </w:r>
      </w:hyperlink>
    </w:p>
    <w:p>
      <w:pPr>
        <w:pStyle w:val="BodyText"/>
        <w:tabs>
          <w:tab w:pos="479" w:val="left" w:leader="none"/>
        </w:tabs>
        <w:spacing w:line="228" w:lineRule="auto" w:before="101"/>
        <w:ind w:left="480" w:right="741" w:hanging="360"/>
      </w:pPr>
      <w:r>
        <w:rPr/>
        <w:br w:type="column"/>
      </w:r>
      <w:r>
        <w:rPr>
          <w:color w:val="231F20"/>
          <w:vertAlign w:val="superscript"/>
        </w:rPr>
        <w:t>80</w:t>
      </w:r>
      <w:r>
        <w:rPr>
          <w:color w:val="231F20"/>
          <w:vertAlign w:val="baseline"/>
        </w:rPr>
        <w:tab/>
      </w:r>
      <w:r>
        <w:rPr>
          <w:color w:val="231F20"/>
          <w:spacing w:val="-1"/>
          <w:vertAlign w:val="baseline"/>
        </w:rPr>
        <w:t>Jobes, </w:t>
      </w:r>
      <w:r>
        <w:rPr>
          <w:color w:val="231F20"/>
          <w:vertAlign w:val="baseline"/>
        </w:rPr>
        <w:t>D.</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Crumlish,</w:t>
      </w:r>
      <w:r>
        <w:rPr>
          <w:color w:val="231F20"/>
          <w:spacing w:val="-1"/>
          <w:vertAlign w:val="baseline"/>
        </w:rPr>
        <w:t> </w:t>
      </w:r>
      <w:r>
        <w:rPr>
          <w:color w:val="231F20"/>
          <w:vertAlign w:val="baseline"/>
        </w:rPr>
        <w:t>J.</w:t>
      </w:r>
      <w:r>
        <w:rPr>
          <w:color w:val="231F20"/>
          <w:spacing w:val="-13"/>
          <w:vertAlign w:val="baseline"/>
        </w:rPr>
        <w:t> </w:t>
      </w:r>
      <w:r>
        <w:rPr>
          <w:color w:val="231F20"/>
          <w:vertAlign w:val="baseline"/>
        </w:rPr>
        <w:t>A.,</w:t>
      </w:r>
      <w:r>
        <w:rPr>
          <w:color w:val="231F20"/>
          <w:spacing w:val="-1"/>
          <w:vertAlign w:val="baseline"/>
        </w:rPr>
        <w:t> </w:t>
      </w:r>
      <w:r>
        <w:rPr>
          <w:color w:val="231F20"/>
          <w:vertAlign w:val="baseline"/>
        </w:rPr>
        <w:t>&amp;</w:t>
      </w:r>
      <w:r>
        <w:rPr>
          <w:color w:val="231F20"/>
          <w:spacing w:val="-1"/>
          <w:vertAlign w:val="baseline"/>
        </w:rPr>
        <w:t> </w:t>
      </w:r>
      <w:r>
        <w:rPr>
          <w:color w:val="231F20"/>
          <w:vertAlign w:val="baseline"/>
        </w:rPr>
        <w:t>Evans,</w:t>
      </w:r>
      <w:r>
        <w:rPr>
          <w:color w:val="231F20"/>
          <w:spacing w:val="-14"/>
          <w:vertAlign w:val="baseline"/>
        </w:rPr>
        <w:t> </w:t>
      </w:r>
      <w:r>
        <w:rPr>
          <w:color w:val="231F20"/>
          <w:vertAlign w:val="baseline"/>
        </w:rPr>
        <w:t>A. D.</w:t>
      </w:r>
      <w:r>
        <w:rPr>
          <w:color w:val="231F20"/>
          <w:spacing w:val="-1"/>
          <w:vertAlign w:val="baseline"/>
        </w:rPr>
        <w:t> </w:t>
      </w:r>
      <w:r>
        <w:rPr>
          <w:color w:val="231F20"/>
          <w:vertAlign w:val="baseline"/>
        </w:rPr>
        <w:t>(2020).</w:t>
      </w:r>
      <w:r>
        <w:rPr>
          <w:color w:val="231F20"/>
          <w:spacing w:val="-52"/>
          <w:vertAlign w:val="baseline"/>
        </w:rPr>
        <w:t> </w:t>
      </w:r>
      <w:r>
        <w:rPr>
          <w:color w:val="231F20"/>
          <w:vertAlign w:val="baseline"/>
        </w:rPr>
        <w:t>The COVID-19 pandemic and treating suicidal risk:</w:t>
      </w:r>
      <w:r>
        <w:rPr>
          <w:color w:val="231F20"/>
          <w:spacing w:val="1"/>
          <w:vertAlign w:val="baseline"/>
        </w:rPr>
        <w:t> </w:t>
      </w:r>
      <w:r>
        <w:rPr>
          <w:color w:val="231F20"/>
          <w:vertAlign w:val="baseline"/>
        </w:rPr>
        <w:t>The telepsychotherapy use of CAMS. </w:t>
      </w:r>
      <w:r>
        <w:rPr>
          <w:i/>
          <w:color w:val="231F20"/>
          <w:vertAlign w:val="baseline"/>
        </w:rPr>
        <w:t>Journal of</w:t>
      </w:r>
      <w:r>
        <w:rPr>
          <w:i/>
          <w:color w:val="231F20"/>
          <w:spacing w:val="1"/>
          <w:vertAlign w:val="baseline"/>
        </w:rPr>
        <w:t> </w:t>
      </w:r>
      <w:r>
        <w:rPr>
          <w:i/>
          <w:color w:val="231F20"/>
          <w:vertAlign w:val="baseline"/>
        </w:rPr>
        <w:t>Psychotherapy Integration, 30</w:t>
      </w:r>
      <w:r>
        <w:rPr>
          <w:color w:val="231F20"/>
          <w:vertAlign w:val="baseline"/>
        </w:rPr>
        <w:t>(2), 226. </w:t>
      </w:r>
      <w:hyperlink r:id="rId208">
        <w:r>
          <w:rPr>
            <w:color w:val="3953A4"/>
            <w:u w:val="single" w:color="3953A4"/>
            <w:vertAlign w:val="baseline"/>
          </w:rPr>
          <w:t>https://doi.</w:t>
        </w:r>
      </w:hyperlink>
      <w:r>
        <w:rPr>
          <w:color w:val="3953A4"/>
          <w:spacing w:val="1"/>
          <w:vertAlign w:val="baseline"/>
        </w:rPr>
        <w:t> </w:t>
      </w:r>
      <w:hyperlink r:id="rId208">
        <w:r>
          <w:rPr>
            <w:color w:val="3953A4"/>
            <w:u w:val="single" w:color="3953A4"/>
            <w:vertAlign w:val="baseline"/>
          </w:rPr>
          <w:t>org/10.1037/int0000208</w:t>
        </w:r>
      </w:hyperlink>
    </w:p>
    <w:p>
      <w:pPr>
        <w:pStyle w:val="BodyText"/>
        <w:tabs>
          <w:tab w:pos="479" w:val="left" w:leader="none"/>
        </w:tabs>
        <w:spacing w:line="246" w:lineRule="exact" w:before="78"/>
        <w:ind w:left="120"/>
      </w:pPr>
      <w:r>
        <w:rPr>
          <w:color w:val="231F20"/>
          <w:vertAlign w:val="superscript"/>
        </w:rPr>
        <w:t>81</w:t>
      </w:r>
      <w:r>
        <w:rPr>
          <w:color w:val="231F20"/>
          <w:vertAlign w:val="baseline"/>
        </w:rPr>
        <w:tab/>
      </w:r>
      <w:r>
        <w:rPr>
          <w:color w:val="231F20"/>
          <w:spacing w:val="-1"/>
          <w:vertAlign w:val="baseline"/>
        </w:rPr>
        <w:t>Comtois,</w:t>
      </w:r>
      <w:r>
        <w:rPr>
          <w:color w:val="231F20"/>
          <w:vertAlign w:val="baseline"/>
        </w:rPr>
        <w:t> </w:t>
      </w:r>
      <w:r>
        <w:rPr>
          <w:color w:val="231F20"/>
          <w:spacing w:val="-1"/>
          <w:vertAlign w:val="baseline"/>
        </w:rPr>
        <w:t>K.</w:t>
      </w:r>
      <w:r>
        <w:rPr>
          <w:color w:val="231F20"/>
          <w:spacing w:val="-13"/>
          <w:vertAlign w:val="baseline"/>
        </w:rPr>
        <w:t> </w:t>
      </w:r>
      <w:r>
        <w:rPr>
          <w:color w:val="231F20"/>
          <w:spacing w:val="-1"/>
          <w:vertAlign w:val="baseline"/>
        </w:rPr>
        <w:t>A.,</w:t>
      </w:r>
      <w:r>
        <w:rPr>
          <w:color w:val="231F20"/>
          <w:vertAlign w:val="baseline"/>
        </w:rPr>
        <w:t> </w:t>
      </w:r>
      <w:r>
        <w:rPr>
          <w:color w:val="231F20"/>
          <w:spacing w:val="-1"/>
          <w:vertAlign w:val="baseline"/>
        </w:rPr>
        <w:t>Jobes, D.</w:t>
      </w:r>
      <w:r>
        <w:rPr>
          <w:color w:val="231F20"/>
          <w:spacing w:val="-12"/>
          <w:vertAlign w:val="baseline"/>
        </w:rPr>
        <w:t> </w:t>
      </w:r>
      <w:r>
        <w:rPr>
          <w:color w:val="231F20"/>
          <w:spacing w:val="-1"/>
          <w:vertAlign w:val="baseline"/>
        </w:rPr>
        <w:t>A., S. O’Connor,</w:t>
      </w:r>
      <w:r>
        <w:rPr>
          <w:color w:val="231F20"/>
          <w:spacing w:val="1"/>
          <w:vertAlign w:val="baseline"/>
        </w:rPr>
        <w:t> </w:t>
      </w:r>
      <w:r>
        <w:rPr>
          <w:color w:val="231F20"/>
          <w:vertAlign w:val="baseline"/>
        </w:rPr>
        <w:t>S.,</w:t>
      </w:r>
    </w:p>
    <w:p>
      <w:pPr>
        <w:pStyle w:val="BodyText"/>
        <w:spacing w:line="240" w:lineRule="exact"/>
        <w:ind w:left="480"/>
      </w:pPr>
      <w:r>
        <w:rPr>
          <w:color w:val="231F20"/>
        </w:rPr>
        <w:t>Atkins,</w:t>
      </w:r>
      <w:r>
        <w:rPr>
          <w:color w:val="231F20"/>
          <w:spacing w:val="-1"/>
        </w:rPr>
        <w:t> </w:t>
      </w:r>
      <w:r>
        <w:rPr>
          <w:color w:val="231F20"/>
        </w:rPr>
        <w:t>D. C., Janis, K., E. Chessen, C., Landes,</w:t>
      </w:r>
    </w:p>
    <w:p>
      <w:pPr>
        <w:pStyle w:val="BodyText"/>
        <w:spacing w:line="228" w:lineRule="auto" w:before="4"/>
        <w:ind w:left="480" w:right="979"/>
      </w:pPr>
      <w:r>
        <w:rPr>
          <w:color w:val="231F20"/>
          <w:spacing w:val="-2"/>
        </w:rPr>
        <w:t>S. J., </w:t>
      </w:r>
      <w:r>
        <w:rPr>
          <w:color w:val="231F20"/>
          <w:spacing w:val="-1"/>
        </w:rPr>
        <w:t>Holen, A., &amp; Yuodelis‐Flores, C. (2011).</w:t>
      </w:r>
      <w:r>
        <w:rPr>
          <w:color w:val="231F20"/>
        </w:rPr>
        <w:t> Collaborative assessment and management of</w:t>
      </w:r>
      <w:r>
        <w:rPr>
          <w:color w:val="231F20"/>
          <w:spacing w:val="1"/>
        </w:rPr>
        <w:t> </w:t>
      </w:r>
      <w:r>
        <w:rPr>
          <w:color w:val="231F20"/>
        </w:rPr>
        <w:t>suicidality (CAMS): Feasibility trial for next‐day</w:t>
      </w:r>
      <w:r>
        <w:rPr>
          <w:color w:val="231F20"/>
          <w:spacing w:val="1"/>
        </w:rPr>
        <w:t> </w:t>
      </w:r>
      <w:r>
        <w:rPr>
          <w:color w:val="231F20"/>
        </w:rPr>
        <w:t>appointment services. </w:t>
      </w:r>
      <w:r>
        <w:rPr>
          <w:i/>
          <w:color w:val="231F20"/>
        </w:rPr>
        <w:t>Depression and Anxiety,</w:t>
      </w:r>
      <w:r>
        <w:rPr>
          <w:i/>
          <w:color w:val="231F20"/>
          <w:spacing w:val="1"/>
        </w:rPr>
        <w:t> </w:t>
      </w:r>
      <w:r>
        <w:rPr>
          <w:i/>
          <w:color w:val="231F20"/>
          <w:spacing w:val="-1"/>
        </w:rPr>
        <w:t>28</w:t>
      </w:r>
      <w:r>
        <w:rPr>
          <w:color w:val="231F20"/>
          <w:spacing w:val="-1"/>
        </w:rPr>
        <w:t>(11),</w:t>
      </w:r>
      <w:r>
        <w:rPr>
          <w:color w:val="231F20"/>
          <w:spacing w:val="-12"/>
        </w:rPr>
        <w:t> </w:t>
      </w:r>
      <w:r>
        <w:rPr>
          <w:color w:val="231F20"/>
        </w:rPr>
        <w:t>963-972.</w:t>
      </w:r>
      <w:r>
        <w:rPr>
          <w:color w:val="3953A4"/>
          <w:spacing w:val="-11"/>
        </w:rPr>
        <w:t> </w:t>
      </w:r>
      <w:hyperlink r:id="rId209">
        <w:r>
          <w:rPr>
            <w:color w:val="3953A4"/>
            <w:u w:val="single" w:color="3953A4"/>
          </w:rPr>
          <w:t>https://doi.org/10.1002/da.20895</w:t>
        </w:r>
      </w:hyperlink>
    </w:p>
    <w:p>
      <w:pPr>
        <w:pStyle w:val="BodyText"/>
        <w:tabs>
          <w:tab w:pos="479" w:val="left" w:leader="none"/>
        </w:tabs>
        <w:spacing w:line="246" w:lineRule="exact" w:before="78"/>
        <w:ind w:left="120"/>
      </w:pPr>
      <w:r>
        <w:rPr>
          <w:color w:val="231F20"/>
          <w:vertAlign w:val="superscript"/>
        </w:rPr>
        <w:t>82</w:t>
      </w:r>
      <w:r>
        <w:rPr>
          <w:color w:val="231F20"/>
          <w:vertAlign w:val="baseline"/>
        </w:rPr>
        <w:tab/>
        <w:t>Andreasson,</w:t>
      </w:r>
      <w:r>
        <w:rPr>
          <w:color w:val="231F20"/>
          <w:spacing w:val="-4"/>
          <w:vertAlign w:val="baseline"/>
        </w:rPr>
        <w:t> </w:t>
      </w:r>
      <w:r>
        <w:rPr>
          <w:color w:val="231F20"/>
          <w:vertAlign w:val="baseline"/>
        </w:rPr>
        <w:t>K.,</w:t>
      </w:r>
      <w:r>
        <w:rPr>
          <w:color w:val="231F20"/>
          <w:spacing w:val="-4"/>
          <w:vertAlign w:val="baseline"/>
        </w:rPr>
        <w:t> </w:t>
      </w:r>
      <w:r>
        <w:rPr>
          <w:color w:val="231F20"/>
          <w:vertAlign w:val="baseline"/>
        </w:rPr>
        <w:t>Krogh,</w:t>
      </w:r>
      <w:r>
        <w:rPr>
          <w:color w:val="231F20"/>
          <w:spacing w:val="-4"/>
          <w:vertAlign w:val="baseline"/>
        </w:rPr>
        <w:t> </w:t>
      </w:r>
      <w:r>
        <w:rPr>
          <w:color w:val="231F20"/>
          <w:vertAlign w:val="baseline"/>
        </w:rPr>
        <w:t>J.,</w:t>
      </w:r>
      <w:r>
        <w:rPr>
          <w:color w:val="231F20"/>
          <w:spacing w:val="-8"/>
          <w:vertAlign w:val="baseline"/>
        </w:rPr>
        <w:t> </w:t>
      </w:r>
      <w:r>
        <w:rPr>
          <w:color w:val="231F20"/>
          <w:vertAlign w:val="baseline"/>
        </w:rPr>
        <w:t>Wenneberg,</w:t>
      </w:r>
      <w:r>
        <w:rPr>
          <w:color w:val="231F20"/>
          <w:spacing w:val="-4"/>
          <w:vertAlign w:val="baseline"/>
        </w:rPr>
        <w:t> </w:t>
      </w:r>
      <w:r>
        <w:rPr>
          <w:color w:val="231F20"/>
          <w:vertAlign w:val="baseline"/>
        </w:rPr>
        <w:t>C.,</w:t>
      </w:r>
      <w:r>
        <w:rPr>
          <w:color w:val="231F20"/>
          <w:spacing w:val="-4"/>
          <w:vertAlign w:val="baseline"/>
        </w:rPr>
        <w:t> </w:t>
      </w:r>
      <w:r>
        <w:rPr>
          <w:color w:val="231F20"/>
          <w:vertAlign w:val="baseline"/>
        </w:rPr>
        <w:t>Jessen,</w:t>
      </w:r>
    </w:p>
    <w:p>
      <w:pPr>
        <w:pStyle w:val="BodyText"/>
        <w:spacing w:line="228" w:lineRule="auto" w:before="4"/>
        <w:ind w:left="480" w:right="755"/>
      </w:pPr>
      <w:r>
        <w:rPr>
          <w:color w:val="231F20"/>
        </w:rPr>
        <w:t>H. K., Krakauer, K., Gluud, C., Thomsen, R. R.,</w:t>
      </w:r>
      <w:r>
        <w:rPr>
          <w:color w:val="231F20"/>
          <w:spacing w:val="1"/>
        </w:rPr>
        <w:t> </w:t>
      </w:r>
      <w:r>
        <w:rPr>
          <w:color w:val="231F20"/>
        </w:rPr>
        <w:t>Randers, L., &amp; Nordentoft, M. (2016). Effectiveness</w:t>
      </w:r>
      <w:r>
        <w:rPr>
          <w:color w:val="231F20"/>
          <w:spacing w:val="-52"/>
        </w:rPr>
        <w:t> </w:t>
      </w:r>
      <w:r>
        <w:rPr>
          <w:color w:val="231F20"/>
        </w:rPr>
        <w:t>of dialectical behavior therapy versus collaborative</w:t>
      </w:r>
      <w:r>
        <w:rPr>
          <w:color w:val="231F20"/>
          <w:spacing w:val="1"/>
        </w:rPr>
        <w:t> </w:t>
      </w:r>
      <w:r>
        <w:rPr>
          <w:color w:val="231F20"/>
        </w:rPr>
        <w:t>assessment and management of suicidality treatment</w:t>
      </w:r>
      <w:r>
        <w:rPr>
          <w:color w:val="231F20"/>
          <w:spacing w:val="-52"/>
        </w:rPr>
        <w:t> </w:t>
      </w:r>
      <w:r>
        <w:rPr>
          <w:color w:val="231F20"/>
        </w:rPr>
        <w:t>for reduction of self‐harm in adults with borderline</w:t>
      </w:r>
      <w:r>
        <w:rPr>
          <w:color w:val="231F20"/>
          <w:spacing w:val="1"/>
        </w:rPr>
        <w:t> </w:t>
      </w:r>
      <w:r>
        <w:rPr>
          <w:color w:val="231F20"/>
        </w:rPr>
        <w:t>personality traits and disorder—a randomized</w:t>
      </w:r>
      <w:r>
        <w:rPr>
          <w:color w:val="231F20"/>
          <w:spacing w:val="1"/>
        </w:rPr>
        <w:t> </w:t>
      </w:r>
      <w:r>
        <w:rPr>
          <w:color w:val="231F20"/>
        </w:rPr>
        <w:t>observer‐blinded clinical trial. </w:t>
      </w:r>
      <w:r>
        <w:rPr>
          <w:i/>
          <w:color w:val="231F20"/>
        </w:rPr>
        <w:t>Depression and</w:t>
      </w:r>
      <w:r>
        <w:rPr>
          <w:i/>
          <w:color w:val="231F20"/>
          <w:spacing w:val="1"/>
        </w:rPr>
        <w:t> </w:t>
      </w:r>
      <w:r>
        <w:rPr>
          <w:i/>
          <w:color w:val="231F20"/>
        </w:rPr>
        <w:t>Anxiety, 33</w:t>
      </w:r>
      <w:r>
        <w:rPr>
          <w:color w:val="231F20"/>
        </w:rPr>
        <w:t>(6), 520-530.</w:t>
      </w:r>
      <w:r>
        <w:rPr>
          <w:color w:val="3953A4"/>
        </w:rPr>
        <w:t> </w:t>
      </w:r>
      <w:hyperlink r:id="rId210">
        <w:r>
          <w:rPr>
            <w:color w:val="3953A4"/>
            <w:u w:val="single" w:color="3953A4"/>
          </w:rPr>
          <w:t>https://doi.org/10.1002/</w:t>
        </w:r>
      </w:hyperlink>
      <w:r>
        <w:rPr>
          <w:color w:val="3953A4"/>
          <w:spacing w:val="1"/>
        </w:rPr>
        <w:t> </w:t>
      </w:r>
      <w:hyperlink r:id="rId210">
        <w:r>
          <w:rPr>
            <w:color w:val="3953A4"/>
            <w:u w:val="single" w:color="3953A4"/>
          </w:rPr>
          <w:t>da.22472</w:t>
        </w:r>
      </w:hyperlink>
    </w:p>
    <w:p>
      <w:pPr>
        <w:pStyle w:val="BodyText"/>
        <w:tabs>
          <w:tab w:pos="479" w:val="left" w:leader="none"/>
        </w:tabs>
        <w:spacing w:line="228" w:lineRule="auto" w:before="87"/>
        <w:ind w:left="480" w:right="864" w:hanging="360"/>
      </w:pPr>
      <w:r>
        <w:rPr>
          <w:color w:val="231F20"/>
          <w:vertAlign w:val="superscript"/>
        </w:rPr>
        <w:t>83</w:t>
      </w:r>
      <w:r>
        <w:rPr>
          <w:color w:val="231F20"/>
          <w:vertAlign w:val="baseline"/>
        </w:rPr>
        <w:tab/>
        <w:t>Ryberg, W., Fosse, R., Zahl, P. H., Brorson, I.,</w:t>
      </w:r>
      <w:r>
        <w:rPr>
          <w:color w:val="231F20"/>
          <w:spacing w:val="1"/>
          <w:vertAlign w:val="baseline"/>
        </w:rPr>
        <w:t> </w:t>
      </w:r>
      <w:r>
        <w:rPr>
          <w:color w:val="231F20"/>
          <w:vertAlign w:val="baseline"/>
        </w:rPr>
        <w:t>Møller, P., Landrø, N. I., &amp; Jobes, D. (2016).</w:t>
      </w:r>
      <w:r>
        <w:rPr>
          <w:color w:val="231F20"/>
          <w:spacing w:val="1"/>
          <w:vertAlign w:val="baseline"/>
        </w:rPr>
        <w:t> </w:t>
      </w:r>
      <w:r>
        <w:rPr>
          <w:color w:val="231F20"/>
          <w:vertAlign w:val="baseline"/>
        </w:rPr>
        <w:t>Collaborative assessment and management of</w:t>
      </w:r>
      <w:r>
        <w:rPr>
          <w:color w:val="231F20"/>
          <w:spacing w:val="1"/>
          <w:vertAlign w:val="baseline"/>
        </w:rPr>
        <w:t> </w:t>
      </w:r>
      <w:r>
        <w:rPr>
          <w:color w:val="231F20"/>
          <w:vertAlign w:val="baseline"/>
        </w:rPr>
        <w:t>suicidality (CAMS) compared to treatment as usual</w:t>
      </w:r>
      <w:r>
        <w:rPr>
          <w:color w:val="231F20"/>
          <w:spacing w:val="-53"/>
          <w:vertAlign w:val="baseline"/>
        </w:rPr>
        <w:t> </w:t>
      </w:r>
      <w:r>
        <w:rPr>
          <w:color w:val="231F20"/>
          <w:vertAlign w:val="baseline"/>
        </w:rPr>
        <w:t>(TAU)</w:t>
      </w:r>
      <w:r>
        <w:rPr>
          <w:color w:val="231F20"/>
          <w:spacing w:val="-2"/>
          <w:vertAlign w:val="baseline"/>
        </w:rPr>
        <w:t> </w:t>
      </w:r>
      <w:r>
        <w:rPr>
          <w:color w:val="231F20"/>
          <w:vertAlign w:val="baseline"/>
        </w:rPr>
        <w:t>for</w:t>
      </w:r>
      <w:r>
        <w:rPr>
          <w:color w:val="231F20"/>
          <w:spacing w:val="-1"/>
          <w:vertAlign w:val="baseline"/>
        </w:rPr>
        <w:t> </w:t>
      </w:r>
      <w:r>
        <w:rPr>
          <w:color w:val="231F20"/>
          <w:vertAlign w:val="baseline"/>
        </w:rPr>
        <w:t>suicidal</w:t>
      </w:r>
      <w:r>
        <w:rPr>
          <w:color w:val="231F20"/>
          <w:spacing w:val="-1"/>
          <w:vertAlign w:val="baseline"/>
        </w:rPr>
        <w:t> </w:t>
      </w:r>
      <w:r>
        <w:rPr>
          <w:color w:val="231F20"/>
          <w:vertAlign w:val="baseline"/>
        </w:rPr>
        <w:t>patients:</w:t>
      </w:r>
      <w:r>
        <w:rPr>
          <w:color w:val="231F20"/>
          <w:spacing w:val="-2"/>
          <w:vertAlign w:val="baseline"/>
        </w:rPr>
        <w:t> </w:t>
      </w:r>
      <w:r>
        <w:rPr>
          <w:color w:val="231F20"/>
          <w:vertAlign w:val="baseline"/>
        </w:rPr>
        <w:t>Study</w:t>
      </w:r>
      <w:r>
        <w:rPr>
          <w:color w:val="231F20"/>
          <w:spacing w:val="-1"/>
          <w:vertAlign w:val="baseline"/>
        </w:rPr>
        <w:t> </w:t>
      </w:r>
      <w:r>
        <w:rPr>
          <w:color w:val="231F20"/>
          <w:vertAlign w:val="baseline"/>
        </w:rPr>
        <w:t>protocol</w:t>
      </w:r>
      <w:r>
        <w:rPr>
          <w:color w:val="231F20"/>
          <w:spacing w:val="-1"/>
          <w:vertAlign w:val="baseline"/>
        </w:rPr>
        <w:t> </w:t>
      </w:r>
      <w:r>
        <w:rPr>
          <w:color w:val="231F20"/>
          <w:vertAlign w:val="baseline"/>
        </w:rPr>
        <w:t>for</w:t>
      </w:r>
    </w:p>
    <w:p>
      <w:pPr>
        <w:pStyle w:val="BodyText"/>
        <w:spacing w:line="235" w:lineRule="exact"/>
        <w:ind w:left="480"/>
      </w:pPr>
      <w:r>
        <w:rPr>
          <w:color w:val="231F20"/>
        </w:rPr>
        <w:t>a</w:t>
      </w:r>
      <w:r>
        <w:rPr>
          <w:color w:val="231F20"/>
          <w:spacing w:val="-2"/>
        </w:rPr>
        <w:t> </w:t>
      </w:r>
      <w:r>
        <w:rPr>
          <w:color w:val="231F20"/>
        </w:rPr>
        <w:t>randomized</w:t>
      </w:r>
      <w:r>
        <w:rPr>
          <w:color w:val="231F20"/>
          <w:spacing w:val="-2"/>
        </w:rPr>
        <w:t> </w:t>
      </w:r>
      <w:r>
        <w:rPr>
          <w:color w:val="231F20"/>
        </w:rPr>
        <w:t>controlled</w:t>
      </w:r>
      <w:r>
        <w:rPr>
          <w:color w:val="231F20"/>
          <w:spacing w:val="-2"/>
        </w:rPr>
        <w:t> </w:t>
      </w:r>
      <w:r>
        <w:rPr>
          <w:color w:val="231F20"/>
        </w:rPr>
        <w:t>trial.</w:t>
      </w:r>
      <w:r>
        <w:rPr>
          <w:color w:val="231F20"/>
          <w:spacing w:val="-3"/>
        </w:rPr>
        <w:t> </w:t>
      </w:r>
      <w:r>
        <w:rPr>
          <w:i/>
          <w:color w:val="231F20"/>
        </w:rPr>
        <w:t>Trials,</w:t>
      </w:r>
      <w:r>
        <w:rPr>
          <w:i/>
          <w:color w:val="231F20"/>
          <w:spacing w:val="-1"/>
        </w:rPr>
        <w:t> </w:t>
      </w:r>
      <w:r>
        <w:rPr>
          <w:i/>
          <w:color w:val="231F20"/>
        </w:rPr>
        <w:t>17</w:t>
      </w:r>
      <w:r>
        <w:rPr>
          <w:color w:val="231F20"/>
        </w:rPr>
        <w:t>(1),</w:t>
      </w:r>
      <w:r>
        <w:rPr>
          <w:color w:val="231F20"/>
          <w:spacing w:val="-2"/>
        </w:rPr>
        <w:t> </w:t>
      </w:r>
      <w:r>
        <w:rPr>
          <w:color w:val="231F20"/>
        </w:rPr>
        <w:t>481.</w:t>
      </w:r>
    </w:p>
    <w:p>
      <w:pPr>
        <w:pStyle w:val="BodyText"/>
        <w:spacing w:line="246" w:lineRule="exact"/>
        <w:ind w:left="480"/>
      </w:pPr>
      <w:hyperlink r:id="rId211">
        <w:r>
          <w:rPr>
            <w:color w:val="3953A4"/>
            <w:u w:val="single" w:color="3953A4"/>
          </w:rPr>
          <w:t>https://doi.org/10.1186/s13063-016-1602-z</w:t>
        </w:r>
      </w:hyperlink>
    </w:p>
    <w:p>
      <w:pPr>
        <w:pStyle w:val="BodyText"/>
        <w:tabs>
          <w:tab w:pos="479" w:val="left" w:leader="none"/>
        </w:tabs>
        <w:spacing w:line="246" w:lineRule="exact" w:before="77"/>
        <w:ind w:left="120"/>
      </w:pPr>
      <w:r>
        <w:rPr>
          <w:color w:val="231F20"/>
          <w:vertAlign w:val="superscript"/>
        </w:rPr>
        <w:t>84</w:t>
      </w:r>
      <w:r>
        <w:rPr>
          <w:color w:val="231F20"/>
          <w:vertAlign w:val="baseline"/>
        </w:rPr>
        <w:tab/>
      </w:r>
      <w:r>
        <w:rPr>
          <w:color w:val="231F20"/>
          <w:spacing w:val="-5"/>
          <w:vertAlign w:val="baseline"/>
        </w:rPr>
        <w:t>Jobes,</w:t>
      </w:r>
      <w:r>
        <w:rPr>
          <w:color w:val="231F20"/>
          <w:spacing w:val="-8"/>
          <w:vertAlign w:val="baseline"/>
        </w:rPr>
        <w:t> </w:t>
      </w:r>
      <w:r>
        <w:rPr>
          <w:color w:val="231F20"/>
          <w:spacing w:val="-5"/>
          <w:vertAlign w:val="baseline"/>
        </w:rPr>
        <w:t>D.</w:t>
      </w:r>
      <w:r>
        <w:rPr>
          <w:color w:val="231F20"/>
          <w:spacing w:val="-21"/>
          <w:vertAlign w:val="baseline"/>
        </w:rPr>
        <w:t> </w:t>
      </w:r>
      <w:r>
        <w:rPr>
          <w:color w:val="231F20"/>
          <w:spacing w:val="-5"/>
          <w:vertAlign w:val="baseline"/>
        </w:rPr>
        <w:t>A.,</w:t>
      </w:r>
      <w:r>
        <w:rPr>
          <w:color w:val="231F20"/>
          <w:spacing w:val="-8"/>
          <w:vertAlign w:val="baseline"/>
        </w:rPr>
        <w:t> </w:t>
      </w:r>
      <w:r>
        <w:rPr>
          <w:color w:val="231F20"/>
          <w:spacing w:val="-5"/>
          <w:vertAlign w:val="baseline"/>
        </w:rPr>
        <w:t>Comtois,</w:t>
      </w:r>
      <w:r>
        <w:rPr>
          <w:color w:val="231F20"/>
          <w:spacing w:val="-7"/>
          <w:vertAlign w:val="baseline"/>
        </w:rPr>
        <w:t> </w:t>
      </w:r>
      <w:r>
        <w:rPr>
          <w:color w:val="231F20"/>
          <w:spacing w:val="-4"/>
          <w:vertAlign w:val="baseline"/>
        </w:rPr>
        <w:t>K.</w:t>
      </w:r>
      <w:r>
        <w:rPr>
          <w:color w:val="231F20"/>
          <w:spacing w:val="-21"/>
          <w:vertAlign w:val="baseline"/>
        </w:rPr>
        <w:t> </w:t>
      </w:r>
      <w:r>
        <w:rPr>
          <w:color w:val="231F20"/>
          <w:spacing w:val="-4"/>
          <w:vertAlign w:val="baseline"/>
        </w:rPr>
        <w:t>A.,</w:t>
      </w:r>
      <w:r>
        <w:rPr>
          <w:color w:val="231F20"/>
          <w:spacing w:val="-8"/>
          <w:vertAlign w:val="baseline"/>
        </w:rPr>
        <w:t> </w:t>
      </w:r>
      <w:r>
        <w:rPr>
          <w:color w:val="231F20"/>
          <w:spacing w:val="-4"/>
          <w:vertAlign w:val="baseline"/>
        </w:rPr>
        <w:t>Gutierrez,</w:t>
      </w:r>
      <w:r>
        <w:rPr>
          <w:color w:val="231F20"/>
          <w:spacing w:val="-8"/>
          <w:vertAlign w:val="baseline"/>
        </w:rPr>
        <w:t> </w:t>
      </w:r>
      <w:r>
        <w:rPr>
          <w:color w:val="231F20"/>
          <w:spacing w:val="-4"/>
          <w:vertAlign w:val="baseline"/>
        </w:rPr>
        <w:t>P.</w:t>
      </w:r>
      <w:r>
        <w:rPr>
          <w:color w:val="231F20"/>
          <w:spacing w:val="-7"/>
          <w:vertAlign w:val="baseline"/>
        </w:rPr>
        <w:t> </w:t>
      </w:r>
      <w:r>
        <w:rPr>
          <w:color w:val="231F20"/>
          <w:spacing w:val="-4"/>
          <w:vertAlign w:val="baseline"/>
        </w:rPr>
        <w:t>M.,</w:t>
      </w:r>
      <w:r>
        <w:rPr>
          <w:color w:val="231F20"/>
          <w:spacing w:val="-8"/>
          <w:vertAlign w:val="baseline"/>
        </w:rPr>
        <w:t> </w:t>
      </w:r>
      <w:r>
        <w:rPr>
          <w:color w:val="231F20"/>
          <w:spacing w:val="-4"/>
          <w:vertAlign w:val="baseline"/>
        </w:rPr>
        <w:t>Brenner,</w:t>
      </w:r>
    </w:p>
    <w:p>
      <w:pPr>
        <w:pStyle w:val="BodyText"/>
        <w:spacing w:line="228" w:lineRule="auto" w:before="3"/>
        <w:ind w:left="479" w:right="724"/>
      </w:pPr>
      <w:r>
        <w:rPr>
          <w:color w:val="231F20"/>
          <w:spacing w:val="-4"/>
        </w:rPr>
        <w:t>L. A., Huh, D., Chalker, </w:t>
      </w:r>
      <w:r>
        <w:rPr>
          <w:color w:val="231F20"/>
          <w:spacing w:val="-3"/>
        </w:rPr>
        <w:t>S. A., Ruhe, G., Kerbrat, A.</w:t>
      </w:r>
      <w:r>
        <w:rPr>
          <w:color w:val="231F20"/>
          <w:spacing w:val="-2"/>
        </w:rPr>
        <w:t> </w:t>
      </w:r>
      <w:r>
        <w:rPr>
          <w:color w:val="231F20"/>
          <w:spacing w:val="-4"/>
        </w:rPr>
        <w:t>H.,</w:t>
      </w:r>
      <w:r>
        <w:rPr>
          <w:color w:val="231F20"/>
          <w:spacing w:val="-21"/>
        </w:rPr>
        <w:t> </w:t>
      </w:r>
      <w:r>
        <w:rPr>
          <w:color w:val="231F20"/>
          <w:spacing w:val="-4"/>
        </w:rPr>
        <w:t>Atkins,</w:t>
      </w:r>
      <w:r>
        <w:rPr>
          <w:color w:val="231F20"/>
          <w:spacing w:val="-8"/>
        </w:rPr>
        <w:t> </w:t>
      </w:r>
      <w:r>
        <w:rPr>
          <w:color w:val="231F20"/>
          <w:spacing w:val="-4"/>
        </w:rPr>
        <w:t>D.</w:t>
      </w:r>
      <w:r>
        <w:rPr>
          <w:color w:val="231F20"/>
          <w:spacing w:val="-8"/>
        </w:rPr>
        <w:t> </w:t>
      </w:r>
      <w:r>
        <w:rPr>
          <w:color w:val="231F20"/>
          <w:spacing w:val="-4"/>
        </w:rPr>
        <w:t>C.,</w:t>
      </w:r>
      <w:r>
        <w:rPr>
          <w:color w:val="231F20"/>
          <w:spacing w:val="-8"/>
        </w:rPr>
        <w:t> </w:t>
      </w:r>
      <w:r>
        <w:rPr>
          <w:color w:val="231F20"/>
          <w:spacing w:val="-4"/>
        </w:rPr>
        <w:t>&amp;</w:t>
      </w:r>
      <w:r>
        <w:rPr>
          <w:color w:val="231F20"/>
          <w:spacing w:val="-8"/>
        </w:rPr>
        <w:t> </w:t>
      </w:r>
      <w:r>
        <w:rPr>
          <w:color w:val="231F20"/>
          <w:spacing w:val="-4"/>
        </w:rPr>
        <w:t>Jennings,</w:t>
      </w:r>
      <w:r>
        <w:rPr>
          <w:color w:val="231F20"/>
          <w:spacing w:val="-8"/>
        </w:rPr>
        <w:t> </w:t>
      </w:r>
      <w:r>
        <w:rPr>
          <w:color w:val="231F20"/>
          <w:spacing w:val="-4"/>
        </w:rPr>
        <w:t>K.</w:t>
      </w:r>
      <w:r>
        <w:rPr>
          <w:color w:val="231F20"/>
          <w:spacing w:val="-8"/>
        </w:rPr>
        <w:t> </w:t>
      </w:r>
      <w:r>
        <w:rPr>
          <w:color w:val="231F20"/>
          <w:spacing w:val="-3"/>
        </w:rPr>
        <w:t>(2017).</w:t>
      </w:r>
      <w:r>
        <w:rPr>
          <w:color w:val="231F20"/>
          <w:spacing w:val="-21"/>
        </w:rPr>
        <w:t> </w:t>
      </w:r>
      <w:r>
        <w:rPr>
          <w:color w:val="231F20"/>
          <w:spacing w:val="-3"/>
        </w:rPr>
        <w:t>A</w:t>
      </w:r>
      <w:r>
        <w:rPr>
          <w:color w:val="231F20"/>
          <w:spacing w:val="-21"/>
        </w:rPr>
        <w:t> </w:t>
      </w:r>
      <w:r>
        <w:rPr>
          <w:color w:val="231F20"/>
          <w:spacing w:val="-3"/>
        </w:rPr>
        <w:t>randomized</w:t>
      </w:r>
      <w:r>
        <w:rPr>
          <w:color w:val="231F20"/>
          <w:spacing w:val="-52"/>
        </w:rPr>
        <w:t> </w:t>
      </w:r>
      <w:r>
        <w:rPr>
          <w:color w:val="231F20"/>
          <w:spacing w:val="-3"/>
        </w:rPr>
        <w:t>controlled trial of the collaborative </w:t>
      </w:r>
      <w:r>
        <w:rPr>
          <w:color w:val="231F20"/>
          <w:spacing w:val="-2"/>
        </w:rPr>
        <w:t>assessment and</w:t>
      </w:r>
      <w:r>
        <w:rPr>
          <w:color w:val="231F20"/>
          <w:spacing w:val="-1"/>
        </w:rPr>
        <w:t> </w:t>
      </w:r>
      <w:r>
        <w:rPr>
          <w:color w:val="231F20"/>
          <w:spacing w:val="-3"/>
        </w:rPr>
        <w:t>management of suicidality versus </w:t>
      </w:r>
      <w:r>
        <w:rPr>
          <w:color w:val="231F20"/>
          <w:spacing w:val="-2"/>
        </w:rPr>
        <w:t>enhanced care as</w:t>
      </w:r>
      <w:r>
        <w:rPr>
          <w:color w:val="231F20"/>
          <w:spacing w:val="-1"/>
        </w:rPr>
        <w:t> </w:t>
      </w:r>
      <w:r>
        <w:rPr>
          <w:color w:val="231F20"/>
          <w:spacing w:val="-3"/>
        </w:rPr>
        <w:t>usual with suicidal soldiers. </w:t>
      </w:r>
      <w:r>
        <w:rPr>
          <w:i/>
          <w:color w:val="231F20"/>
          <w:spacing w:val="-3"/>
        </w:rPr>
        <w:t>Psychiatry, 80</w:t>
      </w:r>
      <w:r>
        <w:rPr>
          <w:color w:val="231F20"/>
          <w:spacing w:val="-3"/>
        </w:rPr>
        <w:t>(4), 339-</w:t>
      </w:r>
      <w:r>
        <w:rPr>
          <w:color w:val="231F20"/>
          <w:spacing w:val="-2"/>
        </w:rPr>
        <w:t> </w:t>
      </w:r>
      <w:r>
        <w:rPr>
          <w:color w:val="231F20"/>
          <w:spacing w:val="-4"/>
        </w:rPr>
        <w:t>356.</w:t>
      </w:r>
      <w:r>
        <w:rPr>
          <w:color w:val="3953A4"/>
          <w:spacing w:val="-9"/>
        </w:rPr>
        <w:t> </w:t>
      </w:r>
      <w:hyperlink r:id="rId212">
        <w:r>
          <w:rPr>
            <w:color w:val="3953A4"/>
            <w:spacing w:val="-4"/>
            <w:u w:val="single" w:color="3953A4"/>
          </w:rPr>
          <w:t>https://doi.org/10.1080/00332747.2017.1354607</w:t>
        </w:r>
      </w:hyperlink>
    </w:p>
    <w:p>
      <w:pPr>
        <w:pStyle w:val="BodyText"/>
        <w:tabs>
          <w:tab w:pos="479" w:val="left" w:leader="none"/>
        </w:tabs>
        <w:spacing w:line="228" w:lineRule="auto" w:before="88"/>
        <w:ind w:left="480" w:right="776" w:hanging="360"/>
      </w:pPr>
      <w:r>
        <w:rPr>
          <w:color w:val="231F20"/>
          <w:vertAlign w:val="superscript"/>
        </w:rPr>
        <w:t>85</w:t>
      </w:r>
      <w:r>
        <w:rPr>
          <w:color w:val="231F20"/>
          <w:vertAlign w:val="baseline"/>
        </w:rPr>
        <w:tab/>
      </w:r>
      <w:r>
        <w:rPr>
          <w:color w:val="231F20"/>
          <w:spacing w:val="-4"/>
          <w:vertAlign w:val="baseline"/>
        </w:rPr>
        <w:t>Huh, D., </w:t>
      </w:r>
      <w:r>
        <w:rPr>
          <w:color w:val="231F20"/>
          <w:spacing w:val="-3"/>
          <w:vertAlign w:val="baseline"/>
        </w:rPr>
        <w:t>Jobes, D. A., Comtois, K. A., Kerbrat, A. H.,</w:t>
      </w:r>
      <w:r>
        <w:rPr>
          <w:color w:val="231F20"/>
          <w:spacing w:val="-52"/>
          <w:vertAlign w:val="baseline"/>
        </w:rPr>
        <w:t> </w:t>
      </w:r>
      <w:r>
        <w:rPr>
          <w:color w:val="231F20"/>
          <w:spacing w:val="-5"/>
          <w:vertAlign w:val="baseline"/>
        </w:rPr>
        <w:t>Chalker, S. A., Gutierrez, P. M., &amp; Jennings, </w:t>
      </w:r>
      <w:r>
        <w:rPr>
          <w:color w:val="231F20"/>
          <w:spacing w:val="-4"/>
          <w:vertAlign w:val="baseline"/>
        </w:rPr>
        <w:t>K. W.</w:t>
      </w:r>
      <w:r>
        <w:rPr>
          <w:color w:val="231F20"/>
          <w:spacing w:val="-3"/>
          <w:vertAlign w:val="baseline"/>
        </w:rPr>
        <w:t> </w:t>
      </w:r>
      <w:r>
        <w:rPr>
          <w:color w:val="231F20"/>
          <w:spacing w:val="-4"/>
          <w:vertAlign w:val="baseline"/>
        </w:rPr>
        <w:t>(2018).</w:t>
      </w:r>
      <w:r>
        <w:rPr>
          <w:color w:val="231F20"/>
          <w:spacing w:val="-11"/>
          <w:vertAlign w:val="baseline"/>
        </w:rPr>
        <w:t> </w:t>
      </w:r>
      <w:r>
        <w:rPr>
          <w:color w:val="231F20"/>
          <w:spacing w:val="-4"/>
          <w:vertAlign w:val="baseline"/>
        </w:rPr>
        <w:t>The</w:t>
      </w:r>
      <w:r>
        <w:rPr>
          <w:color w:val="231F20"/>
          <w:spacing w:val="-7"/>
          <w:vertAlign w:val="baseline"/>
        </w:rPr>
        <w:t> </w:t>
      </w:r>
      <w:r>
        <w:rPr>
          <w:color w:val="231F20"/>
          <w:spacing w:val="-4"/>
          <w:vertAlign w:val="baseline"/>
        </w:rPr>
        <w:t>collaborative</w:t>
      </w:r>
      <w:r>
        <w:rPr>
          <w:color w:val="231F20"/>
          <w:spacing w:val="-7"/>
          <w:vertAlign w:val="baseline"/>
        </w:rPr>
        <w:t> </w:t>
      </w:r>
      <w:r>
        <w:rPr>
          <w:color w:val="231F20"/>
          <w:spacing w:val="-4"/>
          <w:vertAlign w:val="baseline"/>
        </w:rPr>
        <w:t>assessment</w:t>
      </w:r>
      <w:r>
        <w:rPr>
          <w:color w:val="231F20"/>
          <w:spacing w:val="-7"/>
          <w:vertAlign w:val="baseline"/>
        </w:rPr>
        <w:t> </w:t>
      </w:r>
      <w:r>
        <w:rPr>
          <w:color w:val="231F20"/>
          <w:spacing w:val="-4"/>
          <w:vertAlign w:val="baseline"/>
        </w:rPr>
        <w:t>and</w:t>
      </w:r>
      <w:r>
        <w:rPr>
          <w:color w:val="231F20"/>
          <w:spacing w:val="-7"/>
          <w:vertAlign w:val="baseline"/>
        </w:rPr>
        <w:t> </w:t>
      </w:r>
      <w:r>
        <w:rPr>
          <w:color w:val="231F20"/>
          <w:spacing w:val="-4"/>
          <w:vertAlign w:val="baseline"/>
        </w:rPr>
        <w:t>management</w:t>
      </w:r>
      <w:r>
        <w:rPr>
          <w:color w:val="231F20"/>
          <w:spacing w:val="-52"/>
          <w:vertAlign w:val="baseline"/>
        </w:rPr>
        <w:t> </w:t>
      </w:r>
      <w:r>
        <w:rPr>
          <w:color w:val="231F20"/>
          <w:spacing w:val="-1"/>
          <w:vertAlign w:val="baseline"/>
        </w:rPr>
        <w:t>of</w:t>
      </w:r>
      <w:r>
        <w:rPr>
          <w:color w:val="231F20"/>
          <w:spacing w:val="-13"/>
          <w:vertAlign w:val="baseline"/>
        </w:rPr>
        <w:t> </w:t>
      </w:r>
      <w:r>
        <w:rPr>
          <w:color w:val="231F20"/>
          <w:spacing w:val="-1"/>
          <w:vertAlign w:val="baseline"/>
        </w:rPr>
        <w:t>suicidality</w:t>
      </w:r>
      <w:r>
        <w:rPr>
          <w:color w:val="231F20"/>
          <w:spacing w:val="-13"/>
          <w:vertAlign w:val="baseline"/>
        </w:rPr>
        <w:t> </w:t>
      </w:r>
      <w:r>
        <w:rPr>
          <w:color w:val="231F20"/>
          <w:spacing w:val="-1"/>
          <w:vertAlign w:val="baseline"/>
        </w:rPr>
        <w:t>(CAMS)</w:t>
      </w:r>
      <w:r>
        <w:rPr>
          <w:color w:val="231F20"/>
          <w:spacing w:val="-13"/>
          <w:vertAlign w:val="baseline"/>
        </w:rPr>
        <w:t> </w:t>
      </w:r>
      <w:r>
        <w:rPr>
          <w:color w:val="231F20"/>
          <w:spacing w:val="-1"/>
          <w:vertAlign w:val="baseline"/>
        </w:rPr>
        <w:t>versus</w:t>
      </w:r>
      <w:r>
        <w:rPr>
          <w:color w:val="231F20"/>
          <w:spacing w:val="-12"/>
          <w:vertAlign w:val="baseline"/>
        </w:rPr>
        <w:t> </w:t>
      </w:r>
      <w:r>
        <w:rPr>
          <w:color w:val="231F20"/>
          <w:spacing w:val="-1"/>
          <w:vertAlign w:val="baseline"/>
        </w:rPr>
        <w:t>enhanced</w:t>
      </w:r>
      <w:r>
        <w:rPr>
          <w:color w:val="231F20"/>
          <w:spacing w:val="-13"/>
          <w:vertAlign w:val="baseline"/>
        </w:rPr>
        <w:t> </w:t>
      </w:r>
      <w:r>
        <w:rPr>
          <w:color w:val="231F20"/>
          <w:spacing w:val="-1"/>
          <w:vertAlign w:val="baseline"/>
        </w:rPr>
        <w:t>care</w:t>
      </w:r>
      <w:r>
        <w:rPr>
          <w:color w:val="231F20"/>
          <w:spacing w:val="-13"/>
          <w:vertAlign w:val="baseline"/>
        </w:rPr>
        <w:t> </w:t>
      </w:r>
      <w:r>
        <w:rPr>
          <w:color w:val="231F20"/>
          <w:vertAlign w:val="baseline"/>
        </w:rPr>
        <w:t>as</w:t>
      </w:r>
    </w:p>
    <w:p>
      <w:pPr>
        <w:pStyle w:val="BodyText"/>
        <w:spacing w:line="228" w:lineRule="auto"/>
        <w:ind w:left="480" w:right="712"/>
      </w:pPr>
      <w:r>
        <w:rPr>
          <w:color w:val="231F20"/>
          <w:spacing w:val="-3"/>
        </w:rPr>
        <w:t>usual (E-CAU) with suicidal </w:t>
      </w:r>
      <w:r>
        <w:rPr>
          <w:color w:val="231F20"/>
          <w:spacing w:val="-2"/>
        </w:rPr>
        <w:t>soldiers: Moderator</w:t>
      </w:r>
      <w:r>
        <w:rPr>
          <w:color w:val="231F20"/>
          <w:spacing w:val="-1"/>
        </w:rPr>
        <w:t> </w:t>
      </w:r>
      <w:r>
        <w:rPr>
          <w:color w:val="231F20"/>
          <w:spacing w:val="-4"/>
        </w:rPr>
        <w:t>analyses from a randomized </w:t>
      </w:r>
      <w:r>
        <w:rPr>
          <w:color w:val="231F20"/>
          <w:spacing w:val="-3"/>
        </w:rPr>
        <w:t>controlled trial. </w:t>
      </w:r>
      <w:r>
        <w:rPr>
          <w:i/>
          <w:color w:val="231F20"/>
          <w:spacing w:val="-3"/>
        </w:rPr>
        <w:t>Military</w:t>
      </w:r>
      <w:r>
        <w:rPr>
          <w:i/>
          <w:color w:val="231F20"/>
          <w:spacing w:val="-2"/>
        </w:rPr>
        <w:t> </w:t>
      </w:r>
      <w:r>
        <w:rPr>
          <w:i/>
          <w:color w:val="231F20"/>
          <w:spacing w:val="-5"/>
        </w:rPr>
        <w:t>Psychology,</w:t>
      </w:r>
      <w:r>
        <w:rPr>
          <w:i/>
          <w:color w:val="231F20"/>
          <w:spacing w:val="-7"/>
        </w:rPr>
        <w:t> </w:t>
      </w:r>
      <w:r>
        <w:rPr>
          <w:i/>
          <w:color w:val="231F20"/>
          <w:spacing w:val="-5"/>
        </w:rPr>
        <w:t>30</w:t>
      </w:r>
      <w:r>
        <w:rPr>
          <w:color w:val="231F20"/>
          <w:spacing w:val="-5"/>
        </w:rPr>
        <w:t>(6),</w:t>
      </w:r>
      <w:r>
        <w:rPr>
          <w:color w:val="231F20"/>
          <w:spacing w:val="-7"/>
        </w:rPr>
        <w:t> </w:t>
      </w:r>
      <w:r>
        <w:rPr>
          <w:color w:val="231F20"/>
          <w:spacing w:val="-5"/>
        </w:rPr>
        <w:t>495-506.</w:t>
      </w:r>
      <w:r>
        <w:rPr>
          <w:color w:val="231F20"/>
          <w:spacing w:val="-6"/>
        </w:rPr>
        <w:t> </w:t>
      </w:r>
      <w:hyperlink r:id="rId213">
        <w:r>
          <w:rPr>
            <w:color w:val="3953A4"/>
            <w:spacing w:val="-4"/>
            <w:u w:val="single" w:color="3953A4"/>
          </w:rPr>
          <w:t>https://doi.org/10.1080/08</w:t>
        </w:r>
      </w:hyperlink>
    </w:p>
    <w:p>
      <w:pPr>
        <w:pStyle w:val="BodyText"/>
        <w:spacing w:line="242" w:lineRule="exact"/>
        <w:ind w:left="480"/>
      </w:pPr>
      <w:hyperlink r:id="rId213">
        <w:r>
          <w:rPr>
            <w:color w:val="3953A4"/>
            <w:u w:val="single" w:color="3953A4"/>
          </w:rPr>
          <w:t>995605.2018.1503001</w:t>
        </w:r>
      </w:hyperlink>
    </w:p>
    <w:p>
      <w:pPr>
        <w:pStyle w:val="BodyText"/>
        <w:tabs>
          <w:tab w:pos="359" w:val="left" w:leader="none"/>
        </w:tabs>
        <w:spacing w:line="246" w:lineRule="exact" w:before="76"/>
        <w:ind w:right="939"/>
        <w:jc w:val="right"/>
      </w:pPr>
      <w:r>
        <w:rPr>
          <w:color w:val="231F20"/>
          <w:vertAlign w:val="superscript"/>
        </w:rPr>
        <w:t>86</w:t>
      </w:r>
      <w:r>
        <w:rPr>
          <w:color w:val="231F20"/>
          <w:vertAlign w:val="baseline"/>
        </w:rPr>
        <w:tab/>
      </w:r>
      <w:r>
        <w:rPr>
          <w:color w:val="231F20"/>
          <w:spacing w:val="-1"/>
          <w:vertAlign w:val="baseline"/>
        </w:rPr>
        <w:t>Pistorello, </w:t>
      </w:r>
      <w:r>
        <w:rPr>
          <w:color w:val="231F20"/>
          <w:vertAlign w:val="baseline"/>
        </w:rPr>
        <w:t>J., Jobes,</w:t>
      </w:r>
      <w:r>
        <w:rPr>
          <w:color w:val="231F20"/>
          <w:spacing w:val="-1"/>
          <w:vertAlign w:val="baseline"/>
        </w:rPr>
        <w:t> </w:t>
      </w:r>
      <w:r>
        <w:rPr>
          <w:color w:val="231F20"/>
          <w:vertAlign w:val="baseline"/>
        </w:rPr>
        <w:t>D.</w:t>
      </w:r>
      <w:r>
        <w:rPr>
          <w:color w:val="231F20"/>
          <w:spacing w:val="-13"/>
          <w:vertAlign w:val="baseline"/>
        </w:rPr>
        <w:t> </w:t>
      </w:r>
      <w:r>
        <w:rPr>
          <w:color w:val="231F20"/>
          <w:vertAlign w:val="baseline"/>
        </w:rPr>
        <w:t>A.,</w:t>
      </w:r>
      <w:r>
        <w:rPr>
          <w:color w:val="231F20"/>
          <w:spacing w:val="-1"/>
          <w:vertAlign w:val="baseline"/>
        </w:rPr>
        <w:t> </w:t>
      </w:r>
      <w:r>
        <w:rPr>
          <w:color w:val="231F20"/>
          <w:vertAlign w:val="baseline"/>
        </w:rPr>
        <w:t>Compton, S.</w:t>
      </w:r>
      <w:r>
        <w:rPr>
          <w:color w:val="231F20"/>
          <w:spacing w:val="-1"/>
          <w:vertAlign w:val="baseline"/>
        </w:rPr>
        <w:t> </w:t>
      </w:r>
      <w:r>
        <w:rPr>
          <w:color w:val="231F20"/>
          <w:vertAlign w:val="baseline"/>
        </w:rPr>
        <w:t>N., Locey,</w:t>
      </w:r>
    </w:p>
    <w:p>
      <w:pPr>
        <w:pStyle w:val="BodyText"/>
        <w:spacing w:line="240" w:lineRule="exact"/>
        <w:ind w:right="1013"/>
        <w:jc w:val="right"/>
      </w:pPr>
      <w:r>
        <w:rPr>
          <w:color w:val="231F20"/>
          <w:spacing w:val="-1"/>
        </w:rPr>
        <w:t>N. S.,</w:t>
      </w:r>
      <w:r>
        <w:rPr>
          <w:color w:val="231F20"/>
          <w:spacing w:val="-4"/>
        </w:rPr>
        <w:t> </w:t>
      </w:r>
      <w:r>
        <w:rPr>
          <w:color w:val="231F20"/>
          <w:spacing w:val="-1"/>
        </w:rPr>
        <w:t>Walloch, </w:t>
      </w:r>
      <w:r>
        <w:rPr>
          <w:color w:val="231F20"/>
        </w:rPr>
        <w:t>J. C.,</w:t>
      </w:r>
      <w:r>
        <w:rPr>
          <w:color w:val="231F20"/>
          <w:spacing w:val="-1"/>
        </w:rPr>
        <w:t> </w:t>
      </w:r>
      <w:r>
        <w:rPr>
          <w:color w:val="231F20"/>
        </w:rPr>
        <w:t>Gallop, R.,</w:t>
      </w:r>
      <w:r>
        <w:rPr>
          <w:color w:val="231F20"/>
          <w:spacing w:val="-14"/>
        </w:rPr>
        <w:t> </w:t>
      </w:r>
      <w:r>
        <w:rPr>
          <w:color w:val="231F20"/>
        </w:rPr>
        <w:t>Au, J.</w:t>
      </w:r>
      <w:r>
        <w:rPr>
          <w:color w:val="231F20"/>
          <w:spacing w:val="-1"/>
        </w:rPr>
        <w:t> </w:t>
      </w:r>
      <w:r>
        <w:rPr>
          <w:color w:val="231F20"/>
        </w:rPr>
        <w:t>S., Noose,</w:t>
      </w:r>
    </w:p>
    <w:p>
      <w:pPr>
        <w:pStyle w:val="BodyText"/>
        <w:spacing w:line="228" w:lineRule="auto" w:before="4"/>
        <w:ind w:left="480" w:right="826"/>
      </w:pPr>
      <w:r>
        <w:rPr>
          <w:color w:val="231F20"/>
        </w:rPr>
        <w:t>S.</w:t>
      </w:r>
      <w:r>
        <w:rPr>
          <w:color w:val="231F20"/>
          <w:spacing w:val="-5"/>
        </w:rPr>
        <w:t> </w:t>
      </w:r>
      <w:r>
        <w:rPr>
          <w:color w:val="231F20"/>
        </w:rPr>
        <w:t>K.,</w:t>
      </w:r>
      <w:r>
        <w:rPr>
          <w:color w:val="231F20"/>
          <w:spacing w:val="-13"/>
        </w:rPr>
        <w:t> </w:t>
      </w:r>
      <w:r>
        <w:rPr>
          <w:color w:val="231F20"/>
        </w:rPr>
        <w:t>Young,</w:t>
      </w:r>
      <w:r>
        <w:rPr>
          <w:color w:val="231F20"/>
          <w:spacing w:val="-5"/>
        </w:rPr>
        <w:t> </w:t>
      </w:r>
      <w:r>
        <w:rPr>
          <w:color w:val="231F20"/>
        </w:rPr>
        <w:t>M.,</w:t>
      </w:r>
      <w:r>
        <w:rPr>
          <w:color w:val="231F20"/>
          <w:spacing w:val="-5"/>
        </w:rPr>
        <w:t> </w:t>
      </w:r>
      <w:r>
        <w:rPr>
          <w:color w:val="231F20"/>
        </w:rPr>
        <w:t>&amp;</w:t>
      </w:r>
      <w:r>
        <w:rPr>
          <w:color w:val="231F20"/>
          <w:spacing w:val="-4"/>
        </w:rPr>
        <w:t> </w:t>
      </w:r>
      <w:r>
        <w:rPr>
          <w:color w:val="231F20"/>
        </w:rPr>
        <w:t>Johnson,</w:t>
      </w:r>
      <w:r>
        <w:rPr>
          <w:color w:val="231F20"/>
          <w:spacing w:val="-5"/>
        </w:rPr>
        <w:t> </w:t>
      </w:r>
      <w:r>
        <w:rPr>
          <w:color w:val="231F20"/>
        </w:rPr>
        <w:t>J.</w:t>
      </w:r>
      <w:r>
        <w:rPr>
          <w:color w:val="231F20"/>
          <w:spacing w:val="-5"/>
        </w:rPr>
        <w:t> </w:t>
      </w:r>
      <w:r>
        <w:rPr>
          <w:color w:val="231F20"/>
        </w:rPr>
        <w:t>(2018).</w:t>
      </w:r>
      <w:r>
        <w:rPr>
          <w:color w:val="231F20"/>
          <w:spacing w:val="-4"/>
        </w:rPr>
        <w:t> </w:t>
      </w:r>
      <w:r>
        <w:rPr>
          <w:color w:val="231F20"/>
        </w:rPr>
        <w:t>Developing</w:t>
      </w:r>
      <w:r>
        <w:rPr>
          <w:color w:val="231F20"/>
          <w:spacing w:val="-52"/>
        </w:rPr>
        <w:t> </w:t>
      </w:r>
      <w:r>
        <w:rPr>
          <w:color w:val="231F20"/>
        </w:rPr>
        <w:t>adaptive</w:t>
      </w:r>
      <w:r>
        <w:rPr>
          <w:color w:val="231F20"/>
          <w:spacing w:val="9"/>
        </w:rPr>
        <w:t> </w:t>
      </w:r>
      <w:r>
        <w:rPr>
          <w:color w:val="231F20"/>
        </w:rPr>
        <w:t>treatment</w:t>
      </w:r>
      <w:r>
        <w:rPr>
          <w:color w:val="231F20"/>
          <w:spacing w:val="9"/>
        </w:rPr>
        <w:t> </w:t>
      </w:r>
      <w:r>
        <w:rPr>
          <w:color w:val="231F20"/>
        </w:rPr>
        <w:t>strategies</w:t>
      </w:r>
      <w:r>
        <w:rPr>
          <w:color w:val="231F20"/>
          <w:spacing w:val="10"/>
        </w:rPr>
        <w:t> </w:t>
      </w:r>
      <w:r>
        <w:rPr>
          <w:color w:val="231F20"/>
        </w:rPr>
        <w:t>to</w:t>
      </w:r>
      <w:r>
        <w:rPr>
          <w:color w:val="231F20"/>
          <w:spacing w:val="9"/>
        </w:rPr>
        <w:t> </w:t>
      </w:r>
      <w:r>
        <w:rPr>
          <w:color w:val="231F20"/>
        </w:rPr>
        <w:t>address</w:t>
      </w:r>
      <w:r>
        <w:rPr>
          <w:color w:val="231F20"/>
          <w:spacing w:val="10"/>
        </w:rPr>
        <w:t> </w:t>
      </w:r>
      <w:r>
        <w:rPr>
          <w:color w:val="231F20"/>
        </w:rPr>
        <w:t>suicidal</w:t>
      </w:r>
      <w:r>
        <w:rPr>
          <w:color w:val="231F20"/>
          <w:spacing w:val="1"/>
        </w:rPr>
        <w:t> </w:t>
      </w:r>
      <w:r>
        <w:rPr>
          <w:color w:val="231F20"/>
        </w:rPr>
        <w:t>risk in</w:t>
      </w:r>
      <w:r>
        <w:rPr>
          <w:color w:val="231F20"/>
          <w:spacing w:val="-1"/>
        </w:rPr>
        <w:t> </w:t>
      </w:r>
      <w:r>
        <w:rPr>
          <w:color w:val="231F20"/>
        </w:rPr>
        <w:t>college students:</w:t>
      </w:r>
      <w:r>
        <w:rPr>
          <w:color w:val="231F20"/>
          <w:spacing w:val="-13"/>
        </w:rPr>
        <w:t> </w:t>
      </w:r>
      <w:r>
        <w:rPr>
          <w:color w:val="231F20"/>
        </w:rPr>
        <w:t>A</w:t>
      </w:r>
      <w:r>
        <w:rPr>
          <w:color w:val="231F20"/>
          <w:spacing w:val="-13"/>
        </w:rPr>
        <w:t> </w:t>
      </w:r>
      <w:r>
        <w:rPr>
          <w:color w:val="231F20"/>
        </w:rPr>
        <w:t>pilot sequential, multiple</w:t>
      </w:r>
    </w:p>
    <w:p>
      <w:pPr>
        <w:spacing w:line="228" w:lineRule="auto" w:before="0"/>
        <w:ind w:left="480" w:right="772" w:firstLine="0"/>
        <w:jc w:val="both"/>
        <w:rPr>
          <w:sz w:val="22"/>
        </w:rPr>
      </w:pPr>
      <w:r>
        <w:rPr>
          <w:color w:val="231F20"/>
          <w:sz w:val="22"/>
        </w:rPr>
        <w:t>assignment, randomized trial (SMART). </w:t>
      </w:r>
      <w:r>
        <w:rPr>
          <w:i/>
          <w:color w:val="231F20"/>
          <w:sz w:val="22"/>
        </w:rPr>
        <w:t>Archives of</w:t>
      </w:r>
      <w:r>
        <w:rPr>
          <w:i/>
          <w:color w:val="231F20"/>
          <w:spacing w:val="-52"/>
          <w:sz w:val="22"/>
        </w:rPr>
        <w:t> </w:t>
      </w:r>
      <w:r>
        <w:rPr>
          <w:i/>
          <w:color w:val="231F20"/>
          <w:sz w:val="22"/>
        </w:rPr>
        <w:t>Suicide</w:t>
      </w:r>
      <w:r>
        <w:rPr>
          <w:i/>
          <w:color w:val="231F20"/>
          <w:spacing w:val="-7"/>
          <w:sz w:val="22"/>
        </w:rPr>
        <w:t> </w:t>
      </w:r>
      <w:r>
        <w:rPr>
          <w:i/>
          <w:color w:val="231F20"/>
          <w:sz w:val="22"/>
        </w:rPr>
        <w:t>Research,</w:t>
      </w:r>
      <w:r>
        <w:rPr>
          <w:i/>
          <w:color w:val="231F20"/>
          <w:spacing w:val="-7"/>
          <w:sz w:val="22"/>
        </w:rPr>
        <w:t> </w:t>
      </w:r>
      <w:r>
        <w:rPr>
          <w:i/>
          <w:color w:val="231F20"/>
          <w:sz w:val="22"/>
        </w:rPr>
        <w:t>22</w:t>
      </w:r>
      <w:r>
        <w:rPr>
          <w:color w:val="231F20"/>
          <w:sz w:val="22"/>
        </w:rPr>
        <w:t>(4),</w:t>
      </w:r>
      <w:r>
        <w:rPr>
          <w:color w:val="231F20"/>
          <w:spacing w:val="-7"/>
          <w:sz w:val="22"/>
        </w:rPr>
        <w:t> </w:t>
      </w:r>
      <w:r>
        <w:rPr>
          <w:color w:val="231F20"/>
          <w:sz w:val="22"/>
        </w:rPr>
        <w:t>644-664.</w:t>
      </w:r>
      <w:r>
        <w:rPr>
          <w:color w:val="231F20"/>
          <w:spacing w:val="-7"/>
          <w:sz w:val="22"/>
        </w:rPr>
        <w:t> </w:t>
      </w:r>
      <w:hyperlink r:id="rId214">
        <w:r>
          <w:rPr>
            <w:color w:val="3953A4"/>
            <w:sz w:val="22"/>
            <w:u w:val="single" w:color="3953A4"/>
          </w:rPr>
          <w:t>https://doi.org/10.</w:t>
        </w:r>
      </w:hyperlink>
      <w:r>
        <w:rPr>
          <w:color w:val="3953A4"/>
          <w:spacing w:val="-52"/>
          <w:sz w:val="22"/>
        </w:rPr>
        <w:t> </w:t>
      </w:r>
      <w:hyperlink r:id="rId214">
        <w:r>
          <w:rPr>
            <w:color w:val="3953A4"/>
            <w:sz w:val="22"/>
            <w:u w:val="single" w:color="3953A4"/>
          </w:rPr>
          <w:t>1080/13811118.2017.1392915</w:t>
        </w:r>
      </w:hyperlink>
    </w:p>
    <w:p>
      <w:pPr>
        <w:spacing w:after="0" w:line="228" w:lineRule="auto"/>
        <w:jc w:val="both"/>
        <w:rPr>
          <w:sz w:val="22"/>
        </w:rPr>
        <w:sectPr>
          <w:type w:val="continuous"/>
          <w:pgSz w:w="12240" w:h="15840"/>
          <w:pgMar w:header="0" w:footer="666" w:top="1500" w:bottom="0" w:left="600" w:right="0"/>
          <w:cols w:num="2" w:equalWidth="0">
            <w:col w:w="5136" w:space="624"/>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tabs>
          <w:tab w:pos="479" w:val="left" w:leader="none"/>
        </w:tabs>
        <w:spacing w:line="246" w:lineRule="exact" w:before="91"/>
        <w:ind w:left="120"/>
      </w:pPr>
      <w:r>
        <w:rPr>
          <w:color w:val="231F20"/>
          <w:vertAlign w:val="superscript"/>
        </w:rPr>
        <w:t>87</w:t>
      </w:r>
      <w:r>
        <w:rPr>
          <w:color w:val="231F20"/>
          <w:vertAlign w:val="baseline"/>
        </w:rPr>
        <w:tab/>
      </w:r>
      <w:r>
        <w:rPr>
          <w:color w:val="231F20"/>
          <w:spacing w:val="-2"/>
          <w:vertAlign w:val="baseline"/>
        </w:rPr>
        <w:t>Dimeff,</w:t>
      </w:r>
      <w:r>
        <w:rPr>
          <w:color w:val="231F20"/>
          <w:spacing w:val="-1"/>
          <w:vertAlign w:val="baseline"/>
        </w:rPr>
        <w:t> L.</w:t>
      </w:r>
      <w:r>
        <w:rPr>
          <w:color w:val="231F20"/>
          <w:spacing w:val="-13"/>
          <w:vertAlign w:val="baseline"/>
        </w:rPr>
        <w:t> </w:t>
      </w:r>
      <w:r>
        <w:rPr>
          <w:color w:val="231F20"/>
          <w:spacing w:val="-1"/>
          <w:vertAlign w:val="baseline"/>
        </w:rPr>
        <w:t>A., Jobes, D.</w:t>
      </w:r>
      <w:r>
        <w:rPr>
          <w:color w:val="231F20"/>
          <w:spacing w:val="-13"/>
          <w:vertAlign w:val="baseline"/>
        </w:rPr>
        <w:t> </w:t>
      </w:r>
      <w:r>
        <w:rPr>
          <w:color w:val="231F20"/>
          <w:spacing w:val="-1"/>
          <w:vertAlign w:val="baseline"/>
        </w:rPr>
        <w:t>A., Chalker,</w:t>
      </w:r>
      <w:r>
        <w:rPr>
          <w:color w:val="231F20"/>
          <w:vertAlign w:val="baseline"/>
        </w:rPr>
        <w:t> </w:t>
      </w:r>
      <w:r>
        <w:rPr>
          <w:color w:val="231F20"/>
          <w:spacing w:val="-1"/>
          <w:vertAlign w:val="baseline"/>
        </w:rPr>
        <w:t>S.</w:t>
      </w:r>
      <w:r>
        <w:rPr>
          <w:color w:val="231F20"/>
          <w:spacing w:val="-12"/>
          <w:vertAlign w:val="baseline"/>
        </w:rPr>
        <w:t> </w:t>
      </w:r>
      <w:r>
        <w:rPr>
          <w:color w:val="231F20"/>
          <w:spacing w:val="-1"/>
          <w:vertAlign w:val="baseline"/>
        </w:rPr>
        <w:t>A., Piehl,</w:t>
      </w:r>
    </w:p>
    <w:p>
      <w:pPr>
        <w:pStyle w:val="BodyText"/>
        <w:spacing w:line="228" w:lineRule="auto" w:before="4"/>
        <w:ind w:left="480" w:right="387"/>
        <w:rPr>
          <w:i/>
        </w:rPr>
      </w:pPr>
      <w:r>
        <w:rPr>
          <w:color w:val="231F20"/>
        </w:rPr>
        <w:t>B.</w:t>
      </w:r>
      <w:r>
        <w:rPr>
          <w:color w:val="231F20"/>
          <w:spacing w:val="5"/>
        </w:rPr>
        <w:t> </w:t>
      </w:r>
      <w:r>
        <w:rPr>
          <w:color w:val="231F20"/>
        </w:rPr>
        <w:t>M.,</w:t>
      </w:r>
      <w:r>
        <w:rPr>
          <w:color w:val="231F20"/>
          <w:spacing w:val="5"/>
        </w:rPr>
        <w:t> </w:t>
      </w:r>
      <w:r>
        <w:rPr>
          <w:color w:val="231F20"/>
        </w:rPr>
        <w:t>Duvivier,</w:t>
      </w:r>
      <w:r>
        <w:rPr>
          <w:color w:val="231F20"/>
          <w:spacing w:val="6"/>
        </w:rPr>
        <w:t> </w:t>
      </w:r>
      <w:r>
        <w:rPr>
          <w:color w:val="231F20"/>
        </w:rPr>
        <w:t>L.</w:t>
      </w:r>
      <w:r>
        <w:rPr>
          <w:color w:val="231F20"/>
          <w:spacing w:val="5"/>
        </w:rPr>
        <w:t> </w:t>
      </w:r>
      <w:r>
        <w:rPr>
          <w:color w:val="231F20"/>
        </w:rPr>
        <w:t>L.,</w:t>
      </w:r>
      <w:r>
        <w:rPr>
          <w:color w:val="231F20"/>
          <w:spacing w:val="5"/>
        </w:rPr>
        <w:t> </w:t>
      </w:r>
      <w:r>
        <w:rPr>
          <w:color w:val="231F20"/>
        </w:rPr>
        <w:t>Lok,</w:t>
      </w:r>
      <w:r>
        <w:rPr>
          <w:color w:val="231F20"/>
          <w:spacing w:val="6"/>
        </w:rPr>
        <w:t> </w:t>
      </w:r>
      <w:r>
        <w:rPr>
          <w:color w:val="231F20"/>
        </w:rPr>
        <w:t>B.</w:t>
      </w:r>
      <w:r>
        <w:rPr>
          <w:color w:val="231F20"/>
          <w:spacing w:val="5"/>
        </w:rPr>
        <w:t> </w:t>
      </w:r>
      <w:r>
        <w:rPr>
          <w:color w:val="231F20"/>
        </w:rPr>
        <w:t>C.,</w:t>
      </w:r>
      <w:r>
        <w:rPr>
          <w:color w:val="231F20"/>
          <w:spacing w:val="6"/>
        </w:rPr>
        <w:t> </w:t>
      </w:r>
      <w:r>
        <w:rPr>
          <w:color w:val="231F20"/>
        </w:rPr>
        <w:t>Zalake,</w:t>
      </w:r>
      <w:r>
        <w:rPr>
          <w:color w:val="231F20"/>
          <w:spacing w:val="5"/>
        </w:rPr>
        <w:t> </w:t>
      </w:r>
      <w:r>
        <w:rPr>
          <w:color w:val="231F20"/>
        </w:rPr>
        <w:t>M.</w:t>
      </w:r>
      <w:r>
        <w:rPr>
          <w:color w:val="231F20"/>
          <w:spacing w:val="1"/>
        </w:rPr>
        <w:t> </w:t>
      </w:r>
      <w:r>
        <w:rPr>
          <w:color w:val="231F20"/>
        </w:rPr>
        <w:t>S., Chung, J., &amp; Koerner, K. (2020). A novel</w:t>
      </w:r>
      <w:r>
        <w:rPr>
          <w:color w:val="231F20"/>
          <w:spacing w:val="1"/>
        </w:rPr>
        <w:t> </w:t>
      </w:r>
      <w:r>
        <w:rPr>
          <w:color w:val="231F20"/>
        </w:rPr>
        <w:t>engagement of suicidality in the emergency</w:t>
      </w:r>
      <w:r>
        <w:rPr>
          <w:color w:val="231F20"/>
          <w:spacing w:val="1"/>
        </w:rPr>
        <w:t> </w:t>
      </w:r>
      <w:r>
        <w:rPr>
          <w:color w:val="231F20"/>
        </w:rPr>
        <w:t>department:</w:t>
      </w:r>
      <w:r>
        <w:rPr>
          <w:color w:val="231F20"/>
          <w:spacing w:val="-11"/>
        </w:rPr>
        <w:t> </w:t>
      </w:r>
      <w:r>
        <w:rPr>
          <w:color w:val="231F20"/>
        </w:rPr>
        <w:t>Virtual</w:t>
      </w:r>
      <w:r>
        <w:rPr>
          <w:color w:val="231F20"/>
          <w:spacing w:val="-7"/>
        </w:rPr>
        <w:t> </w:t>
      </w:r>
      <w:r>
        <w:rPr>
          <w:color w:val="231F20"/>
        </w:rPr>
        <w:t>collaborative</w:t>
      </w:r>
      <w:r>
        <w:rPr>
          <w:color w:val="231F20"/>
          <w:spacing w:val="-6"/>
        </w:rPr>
        <w:t> </w:t>
      </w:r>
      <w:r>
        <w:rPr>
          <w:color w:val="231F20"/>
        </w:rPr>
        <w:t>assessment</w:t>
      </w:r>
      <w:r>
        <w:rPr>
          <w:color w:val="231F20"/>
          <w:spacing w:val="-6"/>
        </w:rPr>
        <w:t> </w:t>
      </w:r>
      <w:r>
        <w:rPr>
          <w:color w:val="231F20"/>
        </w:rPr>
        <w:t>and</w:t>
      </w:r>
      <w:r>
        <w:rPr>
          <w:color w:val="231F20"/>
          <w:spacing w:val="-52"/>
        </w:rPr>
        <w:t> </w:t>
      </w:r>
      <w:r>
        <w:rPr>
          <w:color w:val="231F20"/>
        </w:rPr>
        <w:t>management</w:t>
      </w:r>
      <w:r>
        <w:rPr>
          <w:color w:val="231F20"/>
          <w:spacing w:val="-2"/>
        </w:rPr>
        <w:t> </w:t>
      </w:r>
      <w:r>
        <w:rPr>
          <w:color w:val="231F20"/>
        </w:rPr>
        <w:t>of</w:t>
      </w:r>
      <w:r>
        <w:rPr>
          <w:color w:val="231F20"/>
          <w:spacing w:val="-1"/>
        </w:rPr>
        <w:t> </w:t>
      </w:r>
      <w:r>
        <w:rPr>
          <w:color w:val="231F20"/>
        </w:rPr>
        <w:t>suicidality.</w:t>
      </w:r>
      <w:r>
        <w:rPr>
          <w:color w:val="231F20"/>
          <w:spacing w:val="-2"/>
        </w:rPr>
        <w:t> </w:t>
      </w:r>
      <w:r>
        <w:rPr>
          <w:i/>
          <w:color w:val="231F20"/>
        </w:rPr>
        <w:t>General</w:t>
      </w:r>
      <w:r>
        <w:rPr>
          <w:i/>
          <w:color w:val="231F20"/>
          <w:spacing w:val="-1"/>
        </w:rPr>
        <w:t> </w:t>
      </w:r>
      <w:r>
        <w:rPr>
          <w:i/>
          <w:color w:val="231F20"/>
        </w:rPr>
        <w:t>Hospital</w:t>
      </w:r>
    </w:p>
    <w:p>
      <w:pPr>
        <w:pStyle w:val="BodyText"/>
        <w:spacing w:line="228" w:lineRule="auto"/>
        <w:ind w:left="480" w:right="312"/>
      </w:pPr>
      <w:r>
        <w:rPr>
          <w:i/>
          <w:color w:val="231F20"/>
        </w:rPr>
        <w:t>Psychiatry,</w:t>
      </w:r>
      <w:r>
        <w:rPr>
          <w:i/>
          <w:color w:val="231F20"/>
          <w:spacing w:val="-13"/>
        </w:rPr>
        <w:t> </w:t>
      </w:r>
      <w:r>
        <w:rPr>
          <w:i/>
          <w:color w:val="231F20"/>
        </w:rPr>
        <w:t>63</w:t>
      </w:r>
      <w:r>
        <w:rPr>
          <w:color w:val="231F20"/>
        </w:rPr>
        <w:t>,</w:t>
      </w:r>
      <w:r>
        <w:rPr>
          <w:color w:val="231F20"/>
          <w:spacing w:val="-12"/>
        </w:rPr>
        <w:t> </w:t>
      </w:r>
      <w:r>
        <w:rPr>
          <w:color w:val="231F20"/>
        </w:rPr>
        <w:t>119-126.</w:t>
      </w:r>
      <w:r>
        <w:rPr>
          <w:color w:val="231F20"/>
          <w:spacing w:val="-13"/>
        </w:rPr>
        <w:t> </w:t>
      </w:r>
      <w:hyperlink r:id="rId215">
        <w:r>
          <w:rPr>
            <w:color w:val="3953A4"/>
            <w:u w:val="single" w:color="3953A4"/>
          </w:rPr>
          <w:t>https://doi.org/10.1016/j.</w:t>
        </w:r>
      </w:hyperlink>
      <w:r>
        <w:rPr>
          <w:color w:val="3953A4"/>
          <w:spacing w:val="-52"/>
        </w:rPr>
        <w:t> </w:t>
      </w:r>
      <w:hyperlink r:id="rId215">
        <w:r>
          <w:rPr>
            <w:color w:val="3953A4"/>
            <w:u w:val="single" w:color="3953A4"/>
          </w:rPr>
          <w:t>genhosppsych.2018.05.005</w:t>
        </w:r>
      </w:hyperlink>
    </w:p>
    <w:p>
      <w:pPr>
        <w:pStyle w:val="BodyText"/>
        <w:tabs>
          <w:tab w:pos="479" w:val="left" w:leader="none"/>
        </w:tabs>
        <w:spacing w:line="228" w:lineRule="auto" w:before="87"/>
        <w:ind w:left="480" w:right="250" w:hanging="360"/>
      </w:pPr>
      <w:r>
        <w:rPr>
          <w:color w:val="231F20"/>
          <w:vertAlign w:val="superscript"/>
        </w:rPr>
        <w:t>88</w:t>
      </w:r>
      <w:r>
        <w:rPr>
          <w:color w:val="231F20"/>
          <w:vertAlign w:val="baseline"/>
        </w:rPr>
        <w:tab/>
      </w:r>
      <w:r>
        <w:rPr>
          <w:color w:val="231F20"/>
          <w:spacing w:val="-4"/>
          <w:vertAlign w:val="baseline"/>
        </w:rPr>
        <w:t>Posner, K., Brent, D., </w:t>
      </w:r>
      <w:r>
        <w:rPr>
          <w:color w:val="231F20"/>
          <w:spacing w:val="-3"/>
          <w:vertAlign w:val="baseline"/>
        </w:rPr>
        <w:t>Lucas, C., Gould, M., Stanley,</w:t>
      </w:r>
      <w:r>
        <w:rPr>
          <w:color w:val="231F20"/>
          <w:spacing w:val="-52"/>
          <w:vertAlign w:val="baseline"/>
        </w:rPr>
        <w:t> </w:t>
      </w:r>
      <w:r>
        <w:rPr>
          <w:color w:val="231F20"/>
          <w:spacing w:val="-5"/>
          <w:vertAlign w:val="baseline"/>
        </w:rPr>
        <w:t>B., Brown, G., Fisher, P., </w:t>
      </w:r>
      <w:r>
        <w:rPr>
          <w:color w:val="231F20"/>
          <w:spacing w:val="-4"/>
          <w:vertAlign w:val="baseline"/>
        </w:rPr>
        <w:t>Zelazny, J., Burke, A.,</w:t>
      </w:r>
      <w:r>
        <w:rPr>
          <w:color w:val="231F20"/>
          <w:spacing w:val="-3"/>
          <w:vertAlign w:val="baseline"/>
        </w:rPr>
        <w:t> </w:t>
      </w:r>
      <w:r>
        <w:rPr>
          <w:color w:val="231F20"/>
          <w:spacing w:val="-4"/>
          <w:vertAlign w:val="baseline"/>
        </w:rPr>
        <w:t>Oquendo, M., &amp; Mann, J. </w:t>
      </w:r>
      <w:r>
        <w:rPr>
          <w:color w:val="231F20"/>
          <w:spacing w:val="-3"/>
          <w:vertAlign w:val="baseline"/>
        </w:rPr>
        <w:t>(2008). Columbia-suicide</w:t>
      </w:r>
      <w:r>
        <w:rPr>
          <w:color w:val="231F20"/>
          <w:spacing w:val="-52"/>
          <w:vertAlign w:val="baseline"/>
        </w:rPr>
        <w:t> </w:t>
      </w:r>
      <w:r>
        <w:rPr>
          <w:color w:val="231F20"/>
          <w:spacing w:val="-3"/>
          <w:vertAlign w:val="baseline"/>
        </w:rPr>
        <w:t>severity rating scale (C-SSRS). </w:t>
      </w:r>
      <w:r>
        <w:rPr>
          <w:i/>
          <w:color w:val="231F20"/>
          <w:spacing w:val="-3"/>
          <w:vertAlign w:val="baseline"/>
        </w:rPr>
        <w:t>New York </w:t>
      </w:r>
      <w:r>
        <w:rPr>
          <w:i/>
          <w:color w:val="231F20"/>
          <w:spacing w:val="-2"/>
          <w:vertAlign w:val="baseline"/>
        </w:rPr>
        <w:t>State</w:t>
      </w:r>
      <w:r>
        <w:rPr>
          <w:i/>
          <w:color w:val="231F20"/>
          <w:spacing w:val="-1"/>
          <w:vertAlign w:val="baseline"/>
        </w:rPr>
        <w:t> </w:t>
      </w:r>
      <w:r>
        <w:rPr>
          <w:i/>
          <w:color w:val="231F20"/>
          <w:spacing w:val="-4"/>
          <w:vertAlign w:val="baseline"/>
        </w:rPr>
        <w:t>Psychiatric Institute, 10</w:t>
      </w:r>
      <w:r>
        <w:rPr>
          <w:color w:val="231F20"/>
          <w:spacing w:val="-4"/>
          <w:vertAlign w:val="baseline"/>
        </w:rPr>
        <w:t>. </w:t>
      </w:r>
      <w:hyperlink r:id="rId216">
        <w:r>
          <w:rPr>
            <w:color w:val="3953A4"/>
            <w:spacing w:val="-3"/>
            <w:u w:val="single" w:color="3953A4"/>
            <w:vertAlign w:val="baseline"/>
          </w:rPr>
          <w:t>https://depts.washington.</w:t>
        </w:r>
      </w:hyperlink>
      <w:r>
        <w:rPr>
          <w:color w:val="3953A4"/>
          <w:spacing w:val="-2"/>
          <w:vertAlign w:val="baseline"/>
        </w:rPr>
        <w:t> </w:t>
      </w:r>
      <w:hyperlink r:id="rId216">
        <w:r>
          <w:rPr>
            <w:color w:val="3953A4"/>
            <w:w w:val="95"/>
            <w:u w:val="single" w:color="3953A4"/>
            <w:vertAlign w:val="baseline"/>
          </w:rPr>
          <w:t>edu/ebpa/sites/default/files/C-SSRS-LifetimeRecent-</w:t>
        </w:r>
      </w:hyperlink>
      <w:r>
        <w:rPr>
          <w:color w:val="3953A4"/>
          <w:spacing w:val="-50"/>
          <w:w w:val="95"/>
          <w:vertAlign w:val="baseline"/>
        </w:rPr>
        <w:t> </w:t>
      </w:r>
      <w:hyperlink r:id="rId216">
        <w:r>
          <w:rPr>
            <w:color w:val="3953A4"/>
            <w:u w:val="single" w:color="3953A4"/>
            <w:vertAlign w:val="baseline"/>
          </w:rPr>
          <w:t>Clinical.pdf</w:t>
        </w:r>
      </w:hyperlink>
    </w:p>
    <w:p>
      <w:pPr>
        <w:pStyle w:val="BodyText"/>
        <w:tabs>
          <w:tab w:pos="479" w:val="left" w:leader="none"/>
        </w:tabs>
        <w:spacing w:line="228" w:lineRule="auto" w:before="88"/>
        <w:ind w:left="480" w:right="38" w:hanging="360"/>
      </w:pPr>
      <w:r>
        <w:rPr>
          <w:color w:val="231F20"/>
          <w:vertAlign w:val="superscript"/>
        </w:rPr>
        <w:t>89</w:t>
      </w:r>
      <w:r>
        <w:rPr>
          <w:color w:val="231F20"/>
          <w:vertAlign w:val="baseline"/>
        </w:rPr>
        <w:tab/>
        <w:t>McGinn, M. M., Roussev, M. S., Shearer, E. M.,</w:t>
      </w:r>
      <w:r>
        <w:rPr>
          <w:color w:val="231F20"/>
          <w:spacing w:val="1"/>
          <w:vertAlign w:val="baseline"/>
        </w:rPr>
        <w:t> </w:t>
      </w:r>
      <w:r>
        <w:rPr>
          <w:color w:val="231F20"/>
          <w:spacing w:val="-1"/>
          <w:vertAlign w:val="baseline"/>
        </w:rPr>
        <w:t>McCann, R. A., Rojas, S. M., &amp; Felker, </w:t>
      </w:r>
      <w:r>
        <w:rPr>
          <w:color w:val="231F20"/>
          <w:vertAlign w:val="baseline"/>
        </w:rPr>
        <w:t>B. L. (2019).</w:t>
      </w:r>
      <w:r>
        <w:rPr>
          <w:color w:val="231F20"/>
          <w:spacing w:val="-52"/>
          <w:vertAlign w:val="baseline"/>
        </w:rPr>
        <w:t> </w:t>
      </w:r>
      <w:r>
        <w:rPr>
          <w:color w:val="231F20"/>
          <w:vertAlign w:val="baseline"/>
        </w:rPr>
        <w:t>Recommendations for using clinical video telehealth</w:t>
      </w:r>
      <w:r>
        <w:rPr>
          <w:color w:val="231F20"/>
          <w:spacing w:val="-52"/>
          <w:vertAlign w:val="baseline"/>
        </w:rPr>
        <w:t> </w:t>
      </w:r>
      <w:r>
        <w:rPr>
          <w:color w:val="231F20"/>
          <w:vertAlign w:val="baseline"/>
        </w:rPr>
        <w:t>with patients at high risk for suicide. </w:t>
      </w:r>
      <w:r>
        <w:rPr>
          <w:i/>
          <w:color w:val="231F20"/>
          <w:vertAlign w:val="baseline"/>
        </w:rPr>
        <w:t>Psychiatric</w:t>
      </w:r>
      <w:r>
        <w:rPr>
          <w:i/>
          <w:color w:val="231F20"/>
          <w:spacing w:val="1"/>
          <w:vertAlign w:val="baseline"/>
        </w:rPr>
        <w:t> </w:t>
      </w:r>
      <w:r>
        <w:rPr>
          <w:i/>
          <w:color w:val="231F20"/>
          <w:vertAlign w:val="baseline"/>
        </w:rPr>
        <w:t>Clinics of North America</w:t>
      </w:r>
      <w:r>
        <w:rPr>
          <w:color w:val="231F20"/>
          <w:vertAlign w:val="baseline"/>
        </w:rPr>
        <w:t>. </w:t>
      </w:r>
      <w:hyperlink r:id="rId217">
        <w:r>
          <w:rPr>
            <w:color w:val="3953A4"/>
            <w:u w:val="single" w:color="3953A4"/>
            <w:vertAlign w:val="baseline"/>
          </w:rPr>
          <w:t>https://doi.org/10.1016/j.</w:t>
        </w:r>
      </w:hyperlink>
      <w:r>
        <w:rPr>
          <w:color w:val="3953A4"/>
          <w:spacing w:val="1"/>
          <w:vertAlign w:val="baseline"/>
        </w:rPr>
        <w:t> </w:t>
      </w:r>
      <w:hyperlink r:id="rId217">
        <w:r>
          <w:rPr>
            <w:color w:val="3953A4"/>
            <w:u w:val="single" w:color="3953A4"/>
            <w:vertAlign w:val="baseline"/>
          </w:rPr>
          <w:t>psc.2019.08.009</w:t>
        </w:r>
      </w:hyperlink>
    </w:p>
    <w:p>
      <w:pPr>
        <w:tabs>
          <w:tab w:pos="479" w:val="left" w:leader="none"/>
        </w:tabs>
        <w:spacing w:line="228" w:lineRule="auto" w:before="88"/>
        <w:ind w:left="480" w:right="197" w:hanging="360"/>
        <w:jc w:val="left"/>
        <w:rPr>
          <w:sz w:val="22"/>
        </w:rPr>
      </w:pPr>
      <w:r>
        <w:rPr>
          <w:color w:val="231F20"/>
          <w:sz w:val="22"/>
          <w:vertAlign w:val="superscript"/>
        </w:rPr>
        <w:t>90</w:t>
      </w:r>
      <w:r>
        <w:rPr>
          <w:color w:val="231F20"/>
          <w:sz w:val="22"/>
          <w:vertAlign w:val="baseline"/>
        </w:rPr>
        <w:tab/>
        <w:t>Luxton, D. D., O’Brien, K., Pruitt, L. D., Johnson,</w:t>
      </w:r>
      <w:r>
        <w:rPr>
          <w:color w:val="231F20"/>
          <w:spacing w:val="1"/>
          <w:sz w:val="22"/>
          <w:vertAlign w:val="baseline"/>
        </w:rPr>
        <w:t> </w:t>
      </w:r>
      <w:r>
        <w:rPr>
          <w:color w:val="231F20"/>
          <w:sz w:val="22"/>
          <w:vertAlign w:val="baseline"/>
        </w:rPr>
        <w:t>K.,</w:t>
      </w:r>
      <w:r>
        <w:rPr>
          <w:color w:val="231F20"/>
          <w:spacing w:val="-4"/>
          <w:sz w:val="22"/>
          <w:vertAlign w:val="baseline"/>
        </w:rPr>
        <w:t> </w:t>
      </w:r>
      <w:r>
        <w:rPr>
          <w:color w:val="231F20"/>
          <w:sz w:val="22"/>
          <w:vertAlign w:val="baseline"/>
        </w:rPr>
        <w:t>&amp;</w:t>
      </w:r>
      <w:r>
        <w:rPr>
          <w:color w:val="231F20"/>
          <w:spacing w:val="-4"/>
          <w:sz w:val="22"/>
          <w:vertAlign w:val="baseline"/>
        </w:rPr>
        <w:t> </w:t>
      </w:r>
      <w:r>
        <w:rPr>
          <w:color w:val="231F20"/>
          <w:sz w:val="22"/>
          <w:vertAlign w:val="baseline"/>
        </w:rPr>
        <w:t>Kramer,</w:t>
      </w:r>
      <w:r>
        <w:rPr>
          <w:color w:val="231F20"/>
          <w:spacing w:val="-3"/>
          <w:sz w:val="22"/>
          <w:vertAlign w:val="baseline"/>
        </w:rPr>
        <w:t> </w:t>
      </w:r>
      <w:r>
        <w:rPr>
          <w:color w:val="231F20"/>
          <w:sz w:val="22"/>
          <w:vertAlign w:val="baseline"/>
        </w:rPr>
        <w:t>G.</w:t>
      </w:r>
      <w:r>
        <w:rPr>
          <w:color w:val="231F20"/>
          <w:spacing w:val="-4"/>
          <w:sz w:val="22"/>
          <w:vertAlign w:val="baseline"/>
        </w:rPr>
        <w:t> </w:t>
      </w:r>
      <w:r>
        <w:rPr>
          <w:color w:val="231F20"/>
          <w:sz w:val="22"/>
          <w:vertAlign w:val="baseline"/>
        </w:rPr>
        <w:t>(2014).</w:t>
      </w:r>
      <w:r>
        <w:rPr>
          <w:color w:val="231F20"/>
          <w:spacing w:val="-3"/>
          <w:sz w:val="22"/>
          <w:vertAlign w:val="baseline"/>
        </w:rPr>
        <w:t> </w:t>
      </w:r>
      <w:r>
        <w:rPr>
          <w:color w:val="231F20"/>
          <w:sz w:val="22"/>
          <w:vertAlign w:val="baseline"/>
        </w:rPr>
        <w:t>Suicide</w:t>
      </w:r>
      <w:r>
        <w:rPr>
          <w:color w:val="231F20"/>
          <w:spacing w:val="-4"/>
          <w:sz w:val="22"/>
          <w:vertAlign w:val="baseline"/>
        </w:rPr>
        <w:t> </w:t>
      </w:r>
      <w:r>
        <w:rPr>
          <w:color w:val="231F20"/>
          <w:sz w:val="22"/>
          <w:vertAlign w:val="baseline"/>
        </w:rPr>
        <w:t>risk</w:t>
      </w:r>
      <w:r>
        <w:rPr>
          <w:color w:val="231F20"/>
          <w:spacing w:val="-3"/>
          <w:sz w:val="22"/>
          <w:vertAlign w:val="baseline"/>
        </w:rPr>
        <w:t> </w:t>
      </w:r>
      <w:r>
        <w:rPr>
          <w:color w:val="231F20"/>
          <w:sz w:val="22"/>
          <w:vertAlign w:val="baseline"/>
        </w:rPr>
        <w:t>management</w:t>
      </w:r>
      <w:r>
        <w:rPr>
          <w:color w:val="231F20"/>
          <w:spacing w:val="-52"/>
          <w:sz w:val="22"/>
          <w:vertAlign w:val="baseline"/>
        </w:rPr>
        <w:t> </w:t>
      </w:r>
      <w:r>
        <w:rPr>
          <w:color w:val="231F20"/>
          <w:sz w:val="22"/>
          <w:vertAlign w:val="baseline"/>
        </w:rPr>
        <w:t>during clinical telepractice. </w:t>
      </w:r>
      <w:r>
        <w:rPr>
          <w:i/>
          <w:color w:val="231F20"/>
          <w:sz w:val="22"/>
          <w:vertAlign w:val="baseline"/>
        </w:rPr>
        <w:t>The International</w:t>
      </w:r>
      <w:r>
        <w:rPr>
          <w:i/>
          <w:color w:val="231F20"/>
          <w:spacing w:val="1"/>
          <w:sz w:val="22"/>
          <w:vertAlign w:val="baseline"/>
        </w:rPr>
        <w:t> </w:t>
      </w:r>
      <w:r>
        <w:rPr>
          <w:i/>
          <w:color w:val="231F20"/>
          <w:sz w:val="22"/>
          <w:vertAlign w:val="baseline"/>
        </w:rPr>
        <w:t>Journal of Psychiatry in Medicine, 48</w:t>
      </w:r>
      <w:r>
        <w:rPr>
          <w:color w:val="231F20"/>
          <w:sz w:val="22"/>
          <w:vertAlign w:val="baseline"/>
        </w:rPr>
        <w:t>(1), 19-31.</w:t>
      </w:r>
      <w:r>
        <w:rPr>
          <w:color w:val="231F20"/>
          <w:spacing w:val="1"/>
          <w:sz w:val="22"/>
          <w:vertAlign w:val="baseline"/>
        </w:rPr>
        <w:t> </w:t>
      </w:r>
      <w:hyperlink r:id="rId218">
        <w:r>
          <w:rPr>
            <w:color w:val="3953A4"/>
            <w:sz w:val="22"/>
            <w:u w:val="single" w:color="3953A4"/>
            <w:vertAlign w:val="baseline"/>
          </w:rPr>
          <w:t>https://doi.org/10.2190/PM.48.1.c</w:t>
        </w:r>
      </w:hyperlink>
    </w:p>
    <w:p>
      <w:pPr>
        <w:pStyle w:val="BodyText"/>
        <w:tabs>
          <w:tab w:pos="479" w:val="left" w:leader="none"/>
        </w:tabs>
        <w:spacing w:line="228" w:lineRule="auto" w:before="101"/>
        <w:ind w:left="480" w:right="864" w:hanging="360"/>
      </w:pPr>
      <w:r>
        <w:rPr/>
        <w:br w:type="column"/>
      </w:r>
      <w:r>
        <w:rPr>
          <w:color w:val="231F20"/>
          <w:vertAlign w:val="superscript"/>
        </w:rPr>
        <w:t>91</w:t>
      </w:r>
      <w:r>
        <w:rPr>
          <w:color w:val="231F20"/>
          <w:vertAlign w:val="baseline"/>
        </w:rPr>
        <w:tab/>
      </w:r>
      <w:r>
        <w:rPr>
          <w:color w:val="231F20"/>
          <w:w w:val="95"/>
          <w:vertAlign w:val="baseline"/>
        </w:rPr>
        <w:t>Hoffman,</w:t>
      </w:r>
      <w:r>
        <w:rPr>
          <w:color w:val="231F20"/>
          <w:spacing w:val="12"/>
          <w:w w:val="95"/>
          <w:vertAlign w:val="baseline"/>
        </w:rPr>
        <w:t> </w:t>
      </w:r>
      <w:r>
        <w:rPr>
          <w:color w:val="231F20"/>
          <w:w w:val="95"/>
          <w:vertAlign w:val="baseline"/>
        </w:rPr>
        <w:t>J.</w:t>
      </w:r>
      <w:r>
        <w:rPr>
          <w:color w:val="231F20"/>
          <w:spacing w:val="-1"/>
          <w:w w:val="95"/>
          <w:vertAlign w:val="baseline"/>
        </w:rPr>
        <w:t> </w:t>
      </w:r>
      <w:r>
        <w:rPr>
          <w:color w:val="231F20"/>
          <w:w w:val="95"/>
          <w:vertAlign w:val="baseline"/>
        </w:rPr>
        <w:t>A.,</w:t>
      </w:r>
      <w:r>
        <w:rPr>
          <w:color w:val="231F20"/>
          <w:spacing w:val="13"/>
          <w:w w:val="95"/>
          <w:vertAlign w:val="baseline"/>
        </w:rPr>
        <w:t> </w:t>
      </w:r>
      <w:r>
        <w:rPr>
          <w:color w:val="231F20"/>
          <w:w w:val="95"/>
          <w:vertAlign w:val="baseline"/>
        </w:rPr>
        <w:t>Cunningham,</w:t>
      </w:r>
      <w:r>
        <w:rPr>
          <w:color w:val="231F20"/>
          <w:spacing w:val="14"/>
          <w:w w:val="95"/>
          <w:vertAlign w:val="baseline"/>
        </w:rPr>
        <w:t> </w:t>
      </w:r>
      <w:r>
        <w:rPr>
          <w:color w:val="231F20"/>
          <w:w w:val="95"/>
          <w:vertAlign w:val="baseline"/>
        </w:rPr>
        <w:t>J.</w:t>
      </w:r>
      <w:r>
        <w:rPr>
          <w:color w:val="231F20"/>
          <w:spacing w:val="13"/>
          <w:w w:val="95"/>
          <w:vertAlign w:val="baseline"/>
        </w:rPr>
        <w:t> </w:t>
      </w:r>
      <w:r>
        <w:rPr>
          <w:color w:val="231F20"/>
          <w:w w:val="95"/>
          <w:vertAlign w:val="baseline"/>
        </w:rPr>
        <w:t>R.,</w:t>
      </w:r>
      <w:r>
        <w:rPr>
          <w:color w:val="231F20"/>
          <w:spacing w:val="14"/>
          <w:w w:val="95"/>
          <w:vertAlign w:val="baseline"/>
        </w:rPr>
        <w:t> </w:t>
      </w:r>
      <w:r>
        <w:rPr>
          <w:color w:val="231F20"/>
          <w:w w:val="95"/>
          <w:vertAlign w:val="baseline"/>
        </w:rPr>
        <w:t>Suleh,</w:t>
      </w:r>
      <w:r>
        <w:rPr>
          <w:color w:val="231F20"/>
          <w:spacing w:val="-1"/>
          <w:w w:val="95"/>
          <w:vertAlign w:val="baseline"/>
        </w:rPr>
        <w:t> </w:t>
      </w:r>
      <w:r>
        <w:rPr>
          <w:color w:val="231F20"/>
          <w:w w:val="95"/>
          <w:vertAlign w:val="baseline"/>
        </w:rPr>
        <w:t>A.</w:t>
      </w:r>
      <w:r>
        <w:rPr>
          <w:color w:val="231F20"/>
          <w:spacing w:val="13"/>
          <w:w w:val="95"/>
          <w:vertAlign w:val="baseline"/>
        </w:rPr>
        <w:t> </w:t>
      </w:r>
      <w:r>
        <w:rPr>
          <w:color w:val="231F20"/>
          <w:w w:val="95"/>
          <w:vertAlign w:val="baseline"/>
        </w:rPr>
        <w:t>J.,</w:t>
      </w:r>
      <w:r>
        <w:rPr>
          <w:color w:val="231F20"/>
          <w:spacing w:val="1"/>
          <w:w w:val="95"/>
          <w:vertAlign w:val="baseline"/>
        </w:rPr>
        <w:t> </w:t>
      </w:r>
      <w:r>
        <w:rPr>
          <w:color w:val="231F20"/>
          <w:spacing w:val="-3"/>
          <w:vertAlign w:val="baseline"/>
        </w:rPr>
        <w:t>Sundsmo, A., Dekker, </w:t>
      </w:r>
      <w:r>
        <w:rPr>
          <w:color w:val="231F20"/>
          <w:spacing w:val="-2"/>
          <w:vertAlign w:val="baseline"/>
        </w:rPr>
        <w:t>D., Vago, F., Munly, K.,</w:t>
      </w:r>
      <w:r>
        <w:rPr>
          <w:color w:val="231F20"/>
          <w:spacing w:val="-1"/>
          <w:vertAlign w:val="baseline"/>
        </w:rPr>
        <w:t> </w:t>
      </w:r>
      <w:r>
        <w:rPr>
          <w:color w:val="231F20"/>
          <w:vertAlign w:val="baseline"/>
        </w:rPr>
        <w:t>Igonya, E. K., &amp; Hunt-Glassman, J. (2010). Mobile</w:t>
      </w:r>
      <w:r>
        <w:rPr>
          <w:color w:val="231F20"/>
          <w:spacing w:val="-53"/>
          <w:vertAlign w:val="baseline"/>
        </w:rPr>
        <w:t> </w:t>
      </w:r>
      <w:r>
        <w:rPr>
          <w:color w:val="231F20"/>
          <w:vertAlign w:val="baseline"/>
        </w:rPr>
        <w:t>direct observation treatment for tuberculosis</w:t>
      </w:r>
      <w:r>
        <w:rPr>
          <w:color w:val="231F20"/>
          <w:spacing w:val="1"/>
          <w:vertAlign w:val="baseline"/>
        </w:rPr>
        <w:t> </w:t>
      </w:r>
      <w:r>
        <w:rPr>
          <w:color w:val="231F20"/>
          <w:vertAlign w:val="baseline"/>
        </w:rPr>
        <w:t>patients: A technical feasibility pilot using mobile</w:t>
      </w:r>
      <w:r>
        <w:rPr>
          <w:color w:val="231F20"/>
          <w:spacing w:val="1"/>
          <w:vertAlign w:val="baseline"/>
        </w:rPr>
        <w:t> </w:t>
      </w:r>
      <w:r>
        <w:rPr>
          <w:color w:val="231F20"/>
          <w:vertAlign w:val="baseline"/>
        </w:rPr>
        <w:t>phones in Nairobi, Kenya. </w:t>
      </w:r>
      <w:r>
        <w:rPr>
          <w:i/>
          <w:color w:val="231F20"/>
          <w:vertAlign w:val="baseline"/>
        </w:rPr>
        <w:t>American Journal of</w:t>
      </w:r>
      <w:r>
        <w:rPr>
          <w:i/>
          <w:color w:val="231F20"/>
          <w:spacing w:val="1"/>
          <w:vertAlign w:val="baseline"/>
        </w:rPr>
        <w:t> </w:t>
      </w:r>
      <w:r>
        <w:rPr>
          <w:i/>
          <w:color w:val="231F20"/>
          <w:vertAlign w:val="baseline"/>
        </w:rPr>
        <w:t>Preventive Medicine, 39</w:t>
      </w:r>
      <w:r>
        <w:rPr>
          <w:color w:val="231F20"/>
          <w:vertAlign w:val="baseline"/>
        </w:rPr>
        <w:t>(1), 78-80. </w:t>
      </w:r>
      <w:hyperlink r:id="rId219">
        <w:r>
          <w:rPr>
            <w:color w:val="3953A4"/>
            <w:u w:val="single" w:color="3953A4"/>
            <w:vertAlign w:val="baseline"/>
          </w:rPr>
          <w:t>https://doi.</w:t>
        </w:r>
      </w:hyperlink>
      <w:r>
        <w:rPr>
          <w:color w:val="3953A4"/>
          <w:spacing w:val="1"/>
          <w:vertAlign w:val="baseline"/>
        </w:rPr>
        <w:t> </w:t>
      </w:r>
      <w:hyperlink r:id="rId219">
        <w:r>
          <w:rPr>
            <w:color w:val="3953A4"/>
            <w:u w:val="single" w:color="3953A4"/>
            <w:vertAlign w:val="baseline"/>
          </w:rPr>
          <w:t>org/10.1016/j.amepre.2010.02.018</w:t>
        </w:r>
      </w:hyperlink>
    </w:p>
    <w:p>
      <w:pPr>
        <w:pStyle w:val="BodyText"/>
        <w:tabs>
          <w:tab w:pos="479" w:val="left" w:leader="none"/>
        </w:tabs>
        <w:spacing w:line="246" w:lineRule="exact" w:before="77"/>
        <w:ind w:left="120"/>
      </w:pPr>
      <w:r>
        <w:rPr>
          <w:color w:val="231F20"/>
          <w:vertAlign w:val="superscript"/>
        </w:rPr>
        <w:t>92</w:t>
      </w:r>
      <w:r>
        <w:rPr>
          <w:color w:val="231F20"/>
          <w:vertAlign w:val="baseline"/>
        </w:rPr>
        <w:tab/>
      </w:r>
      <w:r>
        <w:rPr>
          <w:color w:val="231F20"/>
          <w:spacing w:val="-2"/>
          <w:vertAlign w:val="baseline"/>
        </w:rPr>
        <w:t>Cowan,</w:t>
      </w:r>
      <w:r>
        <w:rPr>
          <w:color w:val="231F20"/>
          <w:spacing w:val="-1"/>
          <w:vertAlign w:val="baseline"/>
        </w:rPr>
        <w:t> K. E., McKean,</w:t>
      </w:r>
      <w:r>
        <w:rPr>
          <w:color w:val="231F20"/>
          <w:spacing w:val="-13"/>
          <w:vertAlign w:val="baseline"/>
        </w:rPr>
        <w:t> </w:t>
      </w:r>
      <w:r>
        <w:rPr>
          <w:color w:val="231F20"/>
          <w:spacing w:val="-1"/>
          <w:vertAlign w:val="baseline"/>
        </w:rPr>
        <w:t>A. J., Gentry, M.</w:t>
      </w:r>
      <w:r>
        <w:rPr>
          <w:color w:val="231F20"/>
          <w:spacing w:val="-5"/>
          <w:vertAlign w:val="baseline"/>
        </w:rPr>
        <w:t> </w:t>
      </w:r>
      <w:r>
        <w:rPr>
          <w:color w:val="231F20"/>
          <w:spacing w:val="-1"/>
          <w:vertAlign w:val="baseline"/>
        </w:rPr>
        <w:t>T., &amp; Hilty,</w:t>
      </w:r>
    </w:p>
    <w:p>
      <w:pPr>
        <w:pStyle w:val="BodyText"/>
        <w:spacing w:line="228" w:lineRule="auto" w:before="4"/>
        <w:ind w:left="480" w:right="743"/>
      </w:pPr>
      <w:r>
        <w:rPr>
          <w:color w:val="231F20"/>
        </w:rPr>
        <w:t>D. M. (2019). Barriers to use of telepsychiatry:</w:t>
      </w:r>
      <w:r>
        <w:rPr>
          <w:color w:val="231F20"/>
          <w:spacing w:val="1"/>
        </w:rPr>
        <w:t> </w:t>
      </w:r>
      <w:r>
        <w:rPr>
          <w:color w:val="231F20"/>
        </w:rPr>
        <w:t>Clinicians as gatekeepers. </w:t>
      </w:r>
      <w:r>
        <w:rPr>
          <w:i/>
          <w:color w:val="231F20"/>
        </w:rPr>
        <w:t>Mayo Clinic Proceedings,</w:t>
      </w:r>
      <w:r>
        <w:rPr>
          <w:i/>
          <w:color w:val="231F20"/>
          <w:spacing w:val="-53"/>
        </w:rPr>
        <w:t> </w:t>
      </w:r>
      <w:r>
        <w:rPr>
          <w:i/>
          <w:color w:val="231F20"/>
        </w:rPr>
        <w:t>94</w:t>
      </w:r>
      <w:r>
        <w:rPr>
          <w:color w:val="231F20"/>
        </w:rPr>
        <w:t>(12), 2510-2523.</w:t>
      </w:r>
      <w:r>
        <w:rPr>
          <w:color w:val="3953A4"/>
          <w:spacing w:val="1"/>
        </w:rPr>
        <w:t> </w:t>
      </w:r>
      <w:hyperlink r:id="rId220">
        <w:r>
          <w:rPr>
            <w:color w:val="3953A4"/>
            <w:u w:val="single" w:color="3953A4"/>
          </w:rPr>
          <w:t>https://pubmed.ncbi.nlm.nih.gov/31806104/</w:t>
        </w:r>
      </w:hyperlink>
    </w:p>
    <w:p>
      <w:pPr>
        <w:tabs>
          <w:tab w:pos="479" w:val="left" w:leader="none"/>
        </w:tabs>
        <w:spacing w:line="228" w:lineRule="auto" w:before="89"/>
        <w:ind w:left="480" w:right="819" w:hanging="360"/>
        <w:jc w:val="left"/>
        <w:rPr>
          <w:sz w:val="22"/>
        </w:rPr>
      </w:pPr>
      <w:r>
        <w:rPr>
          <w:color w:val="231F20"/>
          <w:sz w:val="22"/>
          <w:vertAlign w:val="superscript"/>
        </w:rPr>
        <w:t>93</w:t>
      </w:r>
      <w:r>
        <w:rPr>
          <w:color w:val="231F20"/>
          <w:sz w:val="22"/>
          <w:vertAlign w:val="baseline"/>
        </w:rPr>
        <w:tab/>
        <w:t>Young,</w:t>
      </w:r>
      <w:r>
        <w:rPr>
          <w:color w:val="231F20"/>
          <w:spacing w:val="-9"/>
          <w:sz w:val="22"/>
          <w:vertAlign w:val="baseline"/>
        </w:rPr>
        <w:t> </w:t>
      </w:r>
      <w:r>
        <w:rPr>
          <w:color w:val="231F20"/>
          <w:sz w:val="22"/>
          <w:vertAlign w:val="baseline"/>
        </w:rPr>
        <w:t>L.</w:t>
      </w:r>
      <w:r>
        <w:rPr>
          <w:color w:val="231F20"/>
          <w:spacing w:val="-8"/>
          <w:sz w:val="22"/>
          <w:vertAlign w:val="baseline"/>
        </w:rPr>
        <w:t> </w:t>
      </w:r>
      <w:r>
        <w:rPr>
          <w:color w:val="231F20"/>
          <w:sz w:val="22"/>
          <w:vertAlign w:val="baseline"/>
        </w:rPr>
        <w:t>B.</w:t>
      </w:r>
      <w:r>
        <w:rPr>
          <w:color w:val="231F20"/>
          <w:spacing w:val="-8"/>
          <w:sz w:val="22"/>
          <w:vertAlign w:val="baseline"/>
        </w:rPr>
        <w:t> </w:t>
      </w:r>
      <w:r>
        <w:rPr>
          <w:color w:val="231F20"/>
          <w:sz w:val="22"/>
          <w:vertAlign w:val="baseline"/>
        </w:rPr>
        <w:t>(2012).</w:t>
      </w:r>
      <w:r>
        <w:rPr>
          <w:color w:val="231F20"/>
          <w:spacing w:val="-13"/>
          <w:sz w:val="22"/>
          <w:vertAlign w:val="baseline"/>
        </w:rPr>
        <w:t> </w:t>
      </w:r>
      <w:r>
        <w:rPr>
          <w:color w:val="231F20"/>
          <w:sz w:val="22"/>
          <w:vertAlign w:val="baseline"/>
        </w:rPr>
        <w:t>Telemedicine</w:t>
      </w:r>
      <w:r>
        <w:rPr>
          <w:color w:val="231F20"/>
          <w:spacing w:val="-8"/>
          <w:sz w:val="22"/>
          <w:vertAlign w:val="baseline"/>
        </w:rPr>
        <w:t> </w:t>
      </w:r>
      <w:r>
        <w:rPr>
          <w:color w:val="231F20"/>
          <w:sz w:val="22"/>
          <w:vertAlign w:val="baseline"/>
        </w:rPr>
        <w:t>interventions</w:t>
      </w:r>
      <w:r>
        <w:rPr>
          <w:color w:val="231F20"/>
          <w:spacing w:val="-8"/>
          <w:sz w:val="22"/>
          <w:vertAlign w:val="baseline"/>
        </w:rPr>
        <w:t> </w:t>
      </w:r>
      <w:r>
        <w:rPr>
          <w:color w:val="231F20"/>
          <w:sz w:val="22"/>
          <w:vertAlign w:val="baseline"/>
        </w:rPr>
        <w:t>for</w:t>
      </w:r>
      <w:r>
        <w:rPr>
          <w:color w:val="231F20"/>
          <w:spacing w:val="-52"/>
          <w:sz w:val="22"/>
          <w:vertAlign w:val="baseline"/>
        </w:rPr>
        <w:t> </w:t>
      </w:r>
      <w:r>
        <w:rPr>
          <w:color w:val="231F20"/>
          <w:spacing w:val="-1"/>
          <w:sz w:val="22"/>
          <w:vertAlign w:val="baseline"/>
        </w:rPr>
        <w:t>substance-use </w:t>
      </w:r>
      <w:r>
        <w:rPr>
          <w:color w:val="231F20"/>
          <w:sz w:val="22"/>
          <w:vertAlign w:val="baseline"/>
        </w:rPr>
        <w:t>disorder: A literature review. </w:t>
      </w:r>
      <w:r>
        <w:rPr>
          <w:i/>
          <w:color w:val="231F20"/>
          <w:sz w:val="22"/>
          <w:vertAlign w:val="baseline"/>
        </w:rPr>
        <w:t>Journal</w:t>
      </w:r>
      <w:r>
        <w:rPr>
          <w:i/>
          <w:color w:val="231F20"/>
          <w:spacing w:val="-52"/>
          <w:sz w:val="22"/>
          <w:vertAlign w:val="baseline"/>
        </w:rPr>
        <w:t> </w:t>
      </w:r>
      <w:r>
        <w:rPr>
          <w:i/>
          <w:color w:val="231F20"/>
          <w:sz w:val="22"/>
          <w:vertAlign w:val="baseline"/>
        </w:rPr>
        <w:t>of Telemedicine and Telecare, 18</w:t>
      </w:r>
      <w:r>
        <w:rPr>
          <w:color w:val="231F20"/>
          <w:sz w:val="22"/>
          <w:vertAlign w:val="baseline"/>
        </w:rPr>
        <w:t>(1), 47-53. </w:t>
      </w:r>
      <w:hyperlink r:id="rId102">
        <w:r>
          <w:rPr>
            <w:color w:val="3953A4"/>
            <w:sz w:val="22"/>
            <w:u w:val="single" w:color="3953A4"/>
            <w:vertAlign w:val="baseline"/>
          </w:rPr>
          <w:t>https://</w:t>
        </w:r>
      </w:hyperlink>
      <w:r>
        <w:rPr>
          <w:color w:val="3953A4"/>
          <w:spacing w:val="-52"/>
          <w:sz w:val="22"/>
          <w:vertAlign w:val="baseline"/>
        </w:rPr>
        <w:t> </w:t>
      </w:r>
      <w:hyperlink r:id="rId102">
        <w:r>
          <w:rPr>
            <w:color w:val="3953A4"/>
            <w:sz w:val="22"/>
            <w:u w:val="single" w:color="3953A4"/>
            <w:vertAlign w:val="baseline"/>
          </w:rPr>
          <w:t>doi.org/10.1016/j.jsat.2019.03.007</w:t>
        </w:r>
      </w:hyperlink>
    </w:p>
    <w:p>
      <w:pPr>
        <w:pStyle w:val="BodyText"/>
        <w:tabs>
          <w:tab w:pos="479" w:val="left" w:leader="none"/>
        </w:tabs>
        <w:spacing w:line="228" w:lineRule="auto" w:before="88"/>
        <w:ind w:left="480" w:right="823" w:hanging="360"/>
      </w:pPr>
      <w:r>
        <w:rPr>
          <w:color w:val="231F20"/>
          <w:vertAlign w:val="superscript"/>
        </w:rPr>
        <w:t>94</w:t>
      </w:r>
      <w:r>
        <w:rPr>
          <w:color w:val="231F20"/>
          <w:vertAlign w:val="baseline"/>
        </w:rPr>
        <w:tab/>
        <w:t>Chan, S., Li, L., Torous, J., Gratzer, D., &amp;</w:t>
      </w:r>
      <w:r>
        <w:rPr>
          <w:color w:val="231F20"/>
          <w:spacing w:val="1"/>
          <w:vertAlign w:val="baseline"/>
        </w:rPr>
        <w:t> </w:t>
      </w:r>
      <w:r>
        <w:rPr>
          <w:color w:val="231F20"/>
          <w:vertAlign w:val="baseline"/>
        </w:rPr>
        <w:t>Yellowlees, P. M. (2018). Review of use of</w:t>
      </w:r>
      <w:r>
        <w:rPr>
          <w:color w:val="231F20"/>
          <w:spacing w:val="1"/>
          <w:vertAlign w:val="baseline"/>
        </w:rPr>
        <w:t> </w:t>
      </w:r>
      <w:r>
        <w:rPr>
          <w:color w:val="231F20"/>
          <w:vertAlign w:val="baseline"/>
        </w:rPr>
        <w:t>asynchronous technologies incorporated in mental</w:t>
      </w:r>
      <w:r>
        <w:rPr>
          <w:color w:val="231F20"/>
          <w:spacing w:val="1"/>
          <w:vertAlign w:val="baseline"/>
        </w:rPr>
        <w:t> </w:t>
      </w:r>
      <w:r>
        <w:rPr>
          <w:color w:val="231F20"/>
          <w:vertAlign w:val="baseline"/>
        </w:rPr>
        <w:t>health</w:t>
      </w:r>
      <w:r>
        <w:rPr>
          <w:color w:val="231F20"/>
          <w:spacing w:val="-4"/>
          <w:vertAlign w:val="baseline"/>
        </w:rPr>
        <w:t> </w:t>
      </w:r>
      <w:r>
        <w:rPr>
          <w:color w:val="231F20"/>
          <w:vertAlign w:val="baseline"/>
        </w:rPr>
        <w:t>care.</w:t>
      </w:r>
      <w:r>
        <w:rPr>
          <w:color w:val="231F20"/>
          <w:spacing w:val="-5"/>
          <w:vertAlign w:val="baseline"/>
        </w:rPr>
        <w:t> </w:t>
      </w:r>
      <w:r>
        <w:rPr>
          <w:i/>
          <w:color w:val="231F20"/>
          <w:vertAlign w:val="baseline"/>
        </w:rPr>
        <w:t>Current</w:t>
      </w:r>
      <w:r>
        <w:rPr>
          <w:i/>
          <w:color w:val="231F20"/>
          <w:spacing w:val="-4"/>
          <w:vertAlign w:val="baseline"/>
        </w:rPr>
        <w:t> </w:t>
      </w:r>
      <w:r>
        <w:rPr>
          <w:i/>
          <w:color w:val="231F20"/>
          <w:vertAlign w:val="baseline"/>
        </w:rPr>
        <w:t>Psychiatry</w:t>
      </w:r>
      <w:r>
        <w:rPr>
          <w:i/>
          <w:color w:val="231F20"/>
          <w:spacing w:val="-4"/>
          <w:vertAlign w:val="baseline"/>
        </w:rPr>
        <w:t> </w:t>
      </w:r>
      <w:r>
        <w:rPr>
          <w:i/>
          <w:color w:val="231F20"/>
          <w:vertAlign w:val="baseline"/>
        </w:rPr>
        <w:t>Reports,</w:t>
      </w:r>
      <w:r>
        <w:rPr>
          <w:i/>
          <w:color w:val="231F20"/>
          <w:spacing w:val="-3"/>
          <w:vertAlign w:val="baseline"/>
        </w:rPr>
        <w:t> </w:t>
      </w:r>
      <w:r>
        <w:rPr>
          <w:i/>
          <w:color w:val="231F20"/>
          <w:vertAlign w:val="baseline"/>
        </w:rPr>
        <w:t>20</w:t>
      </w:r>
      <w:r>
        <w:rPr>
          <w:color w:val="231F20"/>
          <w:vertAlign w:val="baseline"/>
        </w:rPr>
        <w:t>(10),</w:t>
      </w:r>
      <w:r>
        <w:rPr>
          <w:color w:val="231F20"/>
          <w:spacing w:val="-4"/>
          <w:vertAlign w:val="baseline"/>
        </w:rPr>
        <w:t> </w:t>
      </w:r>
      <w:r>
        <w:rPr>
          <w:color w:val="231F20"/>
          <w:vertAlign w:val="baseline"/>
        </w:rPr>
        <w:t>85.</w:t>
      </w:r>
      <w:r>
        <w:rPr>
          <w:color w:val="231F20"/>
          <w:spacing w:val="-52"/>
          <w:vertAlign w:val="baseline"/>
        </w:rPr>
        <w:t> </w:t>
      </w:r>
      <w:hyperlink r:id="rId221">
        <w:r>
          <w:rPr>
            <w:color w:val="3953A4"/>
            <w:u w:val="single" w:color="3953A4"/>
            <w:vertAlign w:val="baseline"/>
          </w:rPr>
          <w:t>https://doi.org/10.1007/s11920-018-0954-3</w:t>
        </w:r>
      </w:hyperlink>
    </w:p>
    <w:p>
      <w:pPr>
        <w:spacing w:after="0" w:line="228" w:lineRule="auto"/>
        <w:sectPr>
          <w:type w:val="continuous"/>
          <w:pgSz w:w="12240" w:h="15840"/>
          <w:pgMar w:header="0" w:footer="666" w:top="1500" w:bottom="0" w:left="600" w:right="0"/>
          <w:cols w:num="2" w:equalWidth="0">
            <w:col w:w="5193" w:space="567"/>
            <w:col w:w="5880"/>
          </w:cols>
        </w:sectPr>
      </w:pPr>
    </w:p>
    <w:p>
      <w:pPr>
        <w:pStyle w:val="BodyText"/>
        <w:ind w:left="-600"/>
        <w:rPr>
          <w:sz w:val="20"/>
        </w:rPr>
      </w:pPr>
      <w:bookmarkStart w:name="_bookmark3" w:id="24"/>
      <w:bookmarkEnd w:id="24"/>
      <w:r>
        <w:rPr/>
      </w:r>
      <w:r>
        <w:rPr>
          <w:sz w:val="20"/>
        </w:rPr>
        <w:pict>
          <v:group style="width:119.55pt;height:111.25pt;mso-position-horizontal-relative:char;mso-position-vertical-relative:line" id="docshapegroup101" coordorigin="0,0" coordsize="2391,2225">
            <v:rect style="position:absolute;left:0;top:0;width:720;height:394" id="docshape102" filled="true" fillcolor="#1d384a" stroked="false">
              <v:fill type="solid"/>
            </v:rect>
            <v:shape style="position:absolute;left:720;top:0;width:1671;height:2225" type="#_x0000_t202" id="docshape103" filled="true" fillcolor="#cf382d" stroked="false">
              <v:textbox inset="0,0,0,0">
                <w:txbxContent>
                  <w:p>
                    <w:pPr>
                      <w:spacing w:line="1580" w:lineRule="exact" w:before="644"/>
                      <w:ind w:left="354" w:right="0" w:firstLine="0"/>
                      <w:jc w:val="left"/>
                      <w:rPr>
                        <w:rFonts w:ascii="Arial"/>
                        <w:color w:val="000000"/>
                        <w:sz w:val="16"/>
                      </w:rPr>
                    </w:pPr>
                    <w:bookmarkStart w:name="3 Guidance for Implementing Evidence-Bas" w:id="25"/>
                    <w:bookmarkEnd w:id="25"/>
                    <w:r>
                      <w:rPr>
                        <w:color w:val="000000"/>
                      </w:rPr>
                    </w:r>
                    <w:r>
                      <w:rPr>
                        <w:rFonts w:ascii="Arial Black"/>
                        <w:color w:val="FFFFFF"/>
                        <w:spacing w:val="-911"/>
                        <w:position w:val="-119"/>
                        <w:sz w:val="144"/>
                      </w:rPr>
                      <w:t>3</w:t>
                    </w:r>
                    <w:r>
                      <w:rPr>
                        <w:rFonts w:ascii="Arial"/>
                        <w:color w:val="FFFFFF"/>
                        <w:spacing w:val="16"/>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spacing w:before="3"/>
        <w:rPr>
          <w:sz w:val="26"/>
        </w:rPr>
      </w:pPr>
    </w:p>
    <w:p>
      <w:pPr>
        <w:pStyle w:val="Heading1"/>
        <w:spacing w:line="196" w:lineRule="auto" w:before="180"/>
        <w:ind w:right="8084"/>
      </w:pPr>
      <w:r>
        <w:rPr/>
        <w:pict>
          <v:group style="position:absolute;margin-left:119.519997pt;margin-top:-162.586807pt;width:492.5pt;height:283.5pt;mso-position-horizontal-relative:page;mso-position-vertical-relative:paragraph;z-index:-17873920" id="docshapegroup104" coordorigin="2390,-3252" coordsize="9850,5670">
            <v:rect style="position:absolute;left:2390;top:-3252;width:9850;height:394" id="docshape105" filled="true" fillcolor="#1d384a" stroked="false">
              <v:fill type="solid"/>
            </v:rect>
            <v:shape style="position:absolute;left:6480;top:-2859;width:5760;height:5277" type="#_x0000_t75" id="docshape106" stroked="false">
              <v:imagedata r:id="rId224" o:title=""/>
            </v:shape>
            <w10:wrap type="none"/>
          </v:group>
        </w:pict>
      </w:r>
      <w:r>
        <w:rPr>
          <w:color w:val="1C384B"/>
        </w:rPr>
        <w:t>Guidance for</w:t>
      </w:r>
      <w:r>
        <w:rPr>
          <w:color w:val="1C384B"/>
          <w:spacing w:val="1"/>
        </w:rPr>
        <w:t> </w:t>
      </w:r>
      <w:r>
        <w:rPr>
          <w:color w:val="1C384B"/>
        </w:rPr>
        <w:t>Implementing</w:t>
      </w:r>
      <w:r>
        <w:rPr>
          <w:color w:val="1C384B"/>
          <w:spacing w:val="1"/>
        </w:rPr>
        <w:t> </w:t>
      </w:r>
      <w:r>
        <w:rPr>
          <w:color w:val="1C384B"/>
          <w:spacing w:val="-4"/>
        </w:rPr>
        <w:t>Evidence-Based</w:t>
      </w:r>
      <w:r>
        <w:rPr>
          <w:color w:val="1C384B"/>
          <w:spacing w:val="-132"/>
        </w:rPr>
        <w:t> </w:t>
      </w:r>
      <w:r>
        <w:rPr>
          <w:color w:val="1C384B"/>
        </w:rPr>
        <w:t>Practices</w:t>
      </w:r>
    </w:p>
    <w:p>
      <w:pPr>
        <w:pStyle w:val="BodyText"/>
        <w:spacing w:before="1"/>
        <w:rPr>
          <w:rFonts w:ascii="Arial Black"/>
          <w:sz w:val="25"/>
        </w:rPr>
      </w:pPr>
      <w:r>
        <w:rPr/>
        <w:pict>
          <v:shape style="position:absolute;margin-left:35.5pt;margin-top:18.897949pt;width:252.5pt;height:.1pt;mso-position-horizontal-relative:page;mso-position-vertical-relative:paragraph;z-index:-15711232;mso-wrap-distance-left:0;mso-wrap-distance-right:0" id="docshape107" coordorigin="710,378" coordsize="5050,0" path="m710,378l5760,378e" filled="false" stroked="true" strokeweight="1pt" strokecolor="#ce372e">
            <v:path arrowok="t"/>
            <v:stroke dashstyle="solid"/>
            <w10:wrap type="topAndBottom"/>
          </v:shape>
        </w:pict>
      </w:r>
    </w:p>
    <w:p>
      <w:pPr>
        <w:pStyle w:val="BodyText"/>
        <w:spacing w:before="4"/>
        <w:rPr>
          <w:rFonts w:ascii="Arial Black"/>
          <w:sz w:val="18"/>
        </w:rPr>
      </w:pPr>
    </w:p>
    <w:p>
      <w:pPr>
        <w:spacing w:after="0"/>
        <w:rPr>
          <w:rFonts w:ascii="Arial Black"/>
          <w:sz w:val="18"/>
        </w:rPr>
        <w:sectPr>
          <w:headerReference w:type="default" r:id="rId222"/>
          <w:footerReference w:type="default" r:id="rId223"/>
          <w:pgSz w:w="12240" w:h="15840"/>
          <w:pgMar w:header="0" w:footer="666" w:top="0" w:bottom="860" w:left="600" w:right="0"/>
        </w:sectPr>
      </w:pPr>
    </w:p>
    <w:p>
      <w:pPr>
        <w:pStyle w:val="BodyText"/>
        <w:spacing w:line="266" w:lineRule="auto" w:before="91"/>
        <w:ind w:left="120" w:right="38"/>
      </w:pPr>
      <w:r>
        <w:rPr>
          <w:color w:val="231F20"/>
        </w:rPr>
        <w:t>Before using telehealth modalities for screening,</w:t>
      </w:r>
      <w:r>
        <w:rPr>
          <w:color w:val="231F20"/>
          <w:spacing w:val="1"/>
        </w:rPr>
        <w:t> </w:t>
      </w:r>
      <w:r>
        <w:rPr>
          <w:color w:val="231F20"/>
        </w:rPr>
        <w:t>assessing, treating, and supporting people with serious</w:t>
      </w:r>
      <w:r>
        <w:rPr>
          <w:color w:val="231F20"/>
          <w:spacing w:val="1"/>
        </w:rPr>
        <w:t> </w:t>
      </w:r>
      <w:r>
        <w:rPr>
          <w:color w:val="231F20"/>
        </w:rPr>
        <w:t>mental</w:t>
      </w:r>
      <w:r>
        <w:rPr>
          <w:color w:val="231F20"/>
          <w:spacing w:val="1"/>
        </w:rPr>
        <w:t> </w:t>
      </w:r>
      <w:r>
        <w:rPr>
          <w:color w:val="231F20"/>
        </w:rPr>
        <w:t>illness</w:t>
      </w:r>
      <w:r>
        <w:rPr>
          <w:color w:val="231F20"/>
          <w:spacing w:val="1"/>
        </w:rPr>
        <w:t> </w:t>
      </w:r>
      <w:r>
        <w:rPr>
          <w:color w:val="231F20"/>
        </w:rPr>
        <w:t>(SMI)</w:t>
      </w:r>
      <w:r>
        <w:rPr>
          <w:color w:val="231F20"/>
          <w:spacing w:val="2"/>
        </w:rPr>
        <w:t> </w:t>
      </w:r>
      <w:r>
        <w:rPr>
          <w:color w:val="231F20"/>
        </w:rPr>
        <w:t>and</w:t>
      </w:r>
      <w:r>
        <w:rPr>
          <w:color w:val="231F20"/>
          <w:spacing w:val="1"/>
        </w:rPr>
        <w:t> </w:t>
      </w:r>
      <w:r>
        <w:rPr>
          <w:color w:val="231F20"/>
        </w:rPr>
        <w:t>substance</w:t>
      </w:r>
      <w:r>
        <w:rPr>
          <w:color w:val="231F20"/>
          <w:spacing w:val="2"/>
        </w:rPr>
        <w:t> </w:t>
      </w:r>
      <w:r>
        <w:rPr>
          <w:color w:val="231F20"/>
        </w:rPr>
        <w:t>use</w:t>
      </w:r>
      <w:r>
        <w:rPr>
          <w:color w:val="231F20"/>
          <w:spacing w:val="1"/>
        </w:rPr>
        <w:t> </w:t>
      </w:r>
      <w:r>
        <w:rPr>
          <w:color w:val="231F20"/>
        </w:rPr>
        <w:t>disorder</w:t>
      </w:r>
      <w:r>
        <w:rPr>
          <w:color w:val="231F20"/>
          <w:spacing w:val="1"/>
        </w:rPr>
        <w:t> </w:t>
      </w:r>
      <w:r>
        <w:rPr>
          <w:color w:val="231F20"/>
        </w:rPr>
        <w:t>(SUD), clinicians should consider several important</w:t>
      </w:r>
      <w:r>
        <w:rPr>
          <w:color w:val="231F20"/>
          <w:spacing w:val="1"/>
        </w:rPr>
        <w:t> </w:t>
      </w:r>
      <w:r>
        <w:rPr>
          <w:color w:val="231F20"/>
        </w:rPr>
        <w:t>implementation factors. While this guide is focused on</w:t>
      </w:r>
      <w:r>
        <w:rPr>
          <w:color w:val="231F20"/>
          <w:spacing w:val="-52"/>
        </w:rPr>
        <w:t> </w:t>
      </w:r>
      <w:r>
        <w:rPr>
          <w:color w:val="231F20"/>
        </w:rPr>
        <w:t>telehealth-delivered treatments for people experiencing</w:t>
      </w:r>
      <w:r>
        <w:rPr>
          <w:color w:val="231F20"/>
          <w:spacing w:val="-52"/>
        </w:rPr>
        <w:t> </w:t>
      </w:r>
      <w:r>
        <w:rPr>
          <w:color w:val="231F20"/>
        </w:rPr>
        <w:t>SMI</w:t>
      </w:r>
      <w:r>
        <w:rPr>
          <w:color w:val="231F20"/>
          <w:spacing w:val="-1"/>
        </w:rPr>
        <w:t> </w:t>
      </w:r>
      <w:r>
        <w:rPr>
          <w:color w:val="231F20"/>
        </w:rPr>
        <w:t>and SUD, the implementation considerations</w:t>
      </w:r>
    </w:p>
    <w:p>
      <w:pPr>
        <w:pStyle w:val="BodyText"/>
        <w:spacing w:line="266" w:lineRule="auto"/>
        <w:ind w:left="120" w:right="131"/>
      </w:pPr>
      <w:r>
        <w:rPr>
          <w:color w:val="231F20"/>
        </w:rPr>
        <w:t>and strategies discussed in this chapter can be broadly</w:t>
      </w:r>
      <w:r>
        <w:rPr>
          <w:color w:val="231F20"/>
          <w:spacing w:val="-52"/>
        </w:rPr>
        <w:t> </w:t>
      </w:r>
      <w:r>
        <w:rPr>
          <w:color w:val="231F20"/>
        </w:rPr>
        <w:t>applied for the</w:t>
      </w:r>
      <w:r>
        <w:rPr>
          <w:color w:val="231F20"/>
          <w:spacing w:val="-1"/>
        </w:rPr>
        <w:t> </w:t>
      </w:r>
      <w:r>
        <w:rPr>
          <w:color w:val="231F20"/>
        </w:rPr>
        <w:t>treatment of any mental illness.</w:t>
      </w:r>
    </w:p>
    <w:p>
      <w:pPr>
        <w:pStyle w:val="BodyText"/>
        <w:spacing w:line="266" w:lineRule="auto" w:before="91"/>
        <w:ind w:left="120" w:right="973"/>
      </w:pPr>
      <w:r>
        <w:rPr/>
        <w:br w:type="column"/>
      </w:r>
      <w:r>
        <w:rPr>
          <w:color w:val="231F20"/>
        </w:rPr>
        <w:t>This chapter presents implementation considerations</w:t>
      </w:r>
      <w:r>
        <w:rPr>
          <w:color w:val="231F20"/>
          <w:spacing w:val="1"/>
        </w:rPr>
        <w:t> </w:t>
      </w:r>
      <w:r>
        <w:rPr>
          <w:color w:val="231F20"/>
        </w:rPr>
        <w:t>and</w:t>
      </w:r>
      <w:r>
        <w:rPr>
          <w:color w:val="231F20"/>
          <w:spacing w:val="-4"/>
        </w:rPr>
        <w:t> </w:t>
      </w:r>
      <w:r>
        <w:rPr>
          <w:color w:val="231F20"/>
        </w:rPr>
        <w:t>strategies</w:t>
      </w:r>
      <w:r>
        <w:rPr>
          <w:color w:val="231F20"/>
          <w:spacing w:val="-5"/>
        </w:rPr>
        <w:t> </w:t>
      </w:r>
      <w:r>
        <w:rPr>
          <w:color w:val="231F20"/>
        </w:rPr>
        <w:t>to</w:t>
      </w:r>
      <w:r>
        <w:rPr>
          <w:color w:val="231F20"/>
          <w:spacing w:val="-3"/>
        </w:rPr>
        <w:t> </w:t>
      </w:r>
      <w:r>
        <w:rPr>
          <w:color w:val="231F20"/>
        </w:rPr>
        <w:t>facilitate</w:t>
      </w:r>
      <w:r>
        <w:rPr>
          <w:color w:val="231F20"/>
          <w:spacing w:val="-4"/>
        </w:rPr>
        <w:t> </w:t>
      </w:r>
      <w:r>
        <w:rPr>
          <w:color w:val="231F20"/>
        </w:rPr>
        <w:t>effective</w:t>
      </w:r>
      <w:r>
        <w:rPr>
          <w:color w:val="231F20"/>
          <w:spacing w:val="-4"/>
        </w:rPr>
        <w:t> </w:t>
      </w:r>
      <w:r>
        <w:rPr>
          <w:color w:val="231F20"/>
        </w:rPr>
        <w:t>implementation</w:t>
      </w:r>
      <w:r>
        <w:rPr>
          <w:color w:val="231F20"/>
          <w:spacing w:val="-3"/>
        </w:rPr>
        <w:t> </w:t>
      </w:r>
      <w:r>
        <w:rPr>
          <w:color w:val="231F20"/>
        </w:rPr>
        <w:t>on</w:t>
      </w:r>
      <w:r>
        <w:rPr>
          <w:color w:val="231F20"/>
          <w:spacing w:val="-52"/>
        </w:rPr>
        <w:t> </w:t>
      </w:r>
      <w:r>
        <w:rPr>
          <w:color w:val="231F20"/>
        </w:rPr>
        <w:t>multiple, interrelated levels.</w:t>
      </w:r>
    </w:p>
    <w:p>
      <w:pPr>
        <w:pStyle w:val="BodyText"/>
        <w:spacing w:line="266" w:lineRule="auto" w:before="178"/>
        <w:ind w:left="120" w:right="759"/>
      </w:pPr>
      <w:r>
        <w:rPr>
          <w:color w:val="231F20"/>
        </w:rPr>
        <w:t>This chapter starts with factors focused on the individual</w:t>
      </w:r>
      <w:r>
        <w:rPr>
          <w:color w:val="231F20"/>
          <w:spacing w:val="-52"/>
        </w:rPr>
        <w:t> </w:t>
      </w:r>
      <w:r>
        <w:rPr>
          <w:color w:val="231F20"/>
        </w:rPr>
        <w:t>level, including the client and provider. It then identifies</w:t>
      </w:r>
      <w:r>
        <w:rPr>
          <w:color w:val="231F20"/>
          <w:spacing w:val="-52"/>
        </w:rPr>
        <w:t> </w:t>
      </w:r>
      <w:r>
        <w:rPr>
          <w:color w:val="231F20"/>
        </w:rPr>
        <w:t>considerations and strategies across the interpersonal</w:t>
      </w:r>
      <w:r>
        <w:rPr>
          <w:color w:val="231F20"/>
          <w:spacing w:val="1"/>
        </w:rPr>
        <w:t> </w:t>
      </w:r>
      <w:r>
        <w:rPr>
          <w:color w:val="231F20"/>
        </w:rPr>
        <w:t>client-provider relationship, the organization, and the</w:t>
      </w:r>
      <w:r>
        <w:rPr>
          <w:color w:val="231F20"/>
          <w:spacing w:val="1"/>
        </w:rPr>
        <w:t> </w:t>
      </w:r>
      <w:r>
        <w:rPr>
          <w:color w:val="231F20"/>
        </w:rPr>
        <w:t>policy and</w:t>
      </w:r>
      <w:r>
        <w:rPr>
          <w:color w:val="231F20"/>
          <w:spacing w:val="-1"/>
        </w:rPr>
        <w:t> </w:t>
      </w:r>
      <w:r>
        <w:rPr>
          <w:color w:val="231F20"/>
        </w:rPr>
        <w:t>regulatory landscape.</w:t>
      </w:r>
    </w:p>
    <w:p>
      <w:pPr>
        <w:spacing w:after="0" w:line="266" w:lineRule="auto"/>
        <w:sectPr>
          <w:type w:val="continuous"/>
          <w:pgSz w:w="12240" w:h="15840"/>
          <w:pgMar w:header="0" w:footer="666" w:top="1500" w:bottom="0" w:left="600" w:right="0"/>
          <w:cols w:num="2" w:equalWidth="0">
            <w:col w:w="5024" w:space="736"/>
            <w:col w:w="5880"/>
          </w:cols>
        </w:sectPr>
      </w:pPr>
    </w:p>
    <w:p>
      <w:pPr>
        <w:pStyle w:val="BodyText"/>
        <w:spacing w:before="7" w:after="1"/>
        <w:rPr>
          <w:sz w:val="20"/>
        </w:rPr>
      </w:pPr>
    </w:p>
    <w:p>
      <w:pPr>
        <w:pStyle w:val="BodyText"/>
        <w:ind w:left="376"/>
        <w:rPr>
          <w:sz w:val="20"/>
        </w:rPr>
      </w:pPr>
      <w:r>
        <w:rPr>
          <w:sz w:val="20"/>
        </w:rPr>
        <w:drawing>
          <wp:inline distT="0" distB="0" distL="0" distR="0">
            <wp:extent cx="6429791" cy="2784348"/>
            <wp:effectExtent l="0" t="0" r="0" b="0"/>
            <wp:docPr id="35" name="image18.jpeg" descr="This graphic depicts the implementation considerations and strategies at multiple, interrelated levels. The graphic shows four nested circles with different labels, each with a call out box. The smallest innermost circle is labeled Individual-Client and ProviderŽ and the associated call out box reads Assess access to and comfort using telehealthŽ. The next circle is labeled Client-Provider RelationshipŽ and the call out box reads Prepare clients to use telehealth; Building a therapeutic relationshipŽ. The third circle is labeled OrganizationalŽ and the call out box reads Assess organizational needs; Increase organizational readiness and workforce capacity to participate in telehealth; Ensure security and confidentialityŽ. The fourth and largest outermost circle is label Regulatory and ReimbursementŽ and the call out box read Comply with federal, state, and local regulations.Ž  "/>
            <wp:cNvGraphicFramePr>
              <a:graphicFrameLocks noChangeAspect="1"/>
            </wp:cNvGraphicFramePr>
            <a:graphic>
              <a:graphicData uri="http://schemas.openxmlformats.org/drawingml/2006/picture">
                <pic:pic>
                  <pic:nvPicPr>
                    <pic:cNvPr id="36" name="image18.jpeg"/>
                    <pic:cNvPicPr/>
                  </pic:nvPicPr>
                  <pic:blipFill>
                    <a:blip r:embed="rId225" cstate="print"/>
                    <a:stretch>
                      <a:fillRect/>
                    </a:stretch>
                  </pic:blipFill>
                  <pic:spPr>
                    <a:xfrm>
                      <a:off x="0" y="0"/>
                      <a:ext cx="6429791" cy="2784348"/>
                    </a:xfrm>
                    <a:prstGeom prst="rect">
                      <a:avLst/>
                    </a:prstGeom>
                  </pic:spPr>
                </pic:pic>
              </a:graphicData>
            </a:graphic>
          </wp:inline>
        </w:drawing>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spacing w:before="2"/>
        <w:rPr>
          <w:sz w:val="27"/>
        </w:rPr>
      </w:pPr>
    </w:p>
    <w:p>
      <w:pPr>
        <w:spacing w:after="0"/>
        <w:rPr>
          <w:sz w:val="27"/>
        </w:rPr>
        <w:sectPr>
          <w:headerReference w:type="default" r:id="rId226"/>
          <w:footerReference w:type="default" r:id="rId227"/>
          <w:pgSz w:w="12240" w:h="15840"/>
          <w:pgMar w:header="0" w:footer="666" w:top="380" w:bottom="860" w:left="600" w:right="0"/>
        </w:sectPr>
      </w:pPr>
    </w:p>
    <w:p>
      <w:pPr>
        <w:spacing w:before="98"/>
        <w:ind w:left="120" w:right="0" w:firstLine="0"/>
        <w:jc w:val="left"/>
        <w:rPr>
          <w:rFonts w:ascii="Arial"/>
          <w:b/>
          <w:sz w:val="22"/>
        </w:rPr>
      </w:pPr>
      <w:bookmarkStart w:name="Individual-Level Considerations" w:id="26"/>
      <w:bookmarkEnd w:id="26"/>
      <w:r>
        <w:rPr/>
      </w:r>
      <w:r>
        <w:rPr>
          <w:rFonts w:ascii="Arial"/>
          <w:b/>
          <w:color w:val="CE384B"/>
          <w:sz w:val="22"/>
        </w:rPr>
        <w:t>Individual-Level Considerations</w:t>
      </w:r>
    </w:p>
    <w:p>
      <w:pPr>
        <w:pStyle w:val="Heading4"/>
        <w:spacing w:before="106"/>
        <w:rPr>
          <w:i/>
        </w:rPr>
      </w:pPr>
      <w:r>
        <w:rPr>
          <w:i/>
          <w:color w:val="1C384B"/>
        </w:rPr>
        <w:t>Client-Level</w:t>
      </w:r>
    </w:p>
    <w:p>
      <w:pPr>
        <w:pStyle w:val="BodyText"/>
        <w:spacing w:before="183"/>
        <w:ind w:left="120"/>
      </w:pPr>
      <w:r>
        <w:rPr>
          <w:color w:val="231F20"/>
        </w:rPr>
        <w:t>Clients</w:t>
      </w:r>
      <w:r>
        <w:rPr>
          <w:color w:val="231F20"/>
          <w:spacing w:val="-3"/>
        </w:rPr>
        <w:t> </w:t>
      </w:r>
      <w:r>
        <w:rPr>
          <w:color w:val="231F20"/>
        </w:rPr>
        <w:t>have</w:t>
      </w:r>
      <w:r>
        <w:rPr>
          <w:color w:val="231F20"/>
          <w:spacing w:val="-3"/>
        </w:rPr>
        <w:t> </w:t>
      </w:r>
      <w:r>
        <w:rPr>
          <w:color w:val="231F20"/>
        </w:rPr>
        <w:t>different</w:t>
      </w:r>
      <w:r>
        <w:rPr>
          <w:color w:val="231F20"/>
          <w:spacing w:val="-2"/>
        </w:rPr>
        <w:t> </w:t>
      </w:r>
      <w:r>
        <w:rPr>
          <w:color w:val="231F20"/>
        </w:rPr>
        <w:t>levels</w:t>
      </w:r>
      <w:r>
        <w:rPr>
          <w:color w:val="231F20"/>
          <w:spacing w:val="-3"/>
        </w:rPr>
        <w:t> </w:t>
      </w:r>
      <w:r>
        <w:rPr>
          <w:color w:val="231F20"/>
        </w:rPr>
        <w:t>of:</w:t>
      </w:r>
    </w:p>
    <w:p>
      <w:pPr>
        <w:pStyle w:val="ListParagraph"/>
        <w:numPr>
          <w:ilvl w:val="0"/>
          <w:numId w:val="13"/>
        </w:numPr>
        <w:tabs>
          <w:tab w:pos="839" w:val="left" w:leader="none"/>
          <w:tab w:pos="840" w:val="left" w:leader="none"/>
        </w:tabs>
        <w:spacing w:line="240" w:lineRule="auto" w:before="192" w:after="0"/>
        <w:ind w:left="839" w:right="0" w:hanging="361"/>
        <w:jc w:val="left"/>
        <w:rPr>
          <w:sz w:val="22"/>
        </w:rPr>
      </w:pPr>
      <w:r>
        <w:rPr>
          <w:color w:val="010202"/>
          <w:sz w:val="22"/>
        </w:rPr>
        <w:t>Comfort</w:t>
      </w:r>
      <w:r>
        <w:rPr>
          <w:color w:val="010202"/>
          <w:spacing w:val="-1"/>
          <w:sz w:val="22"/>
        </w:rPr>
        <w:t> </w:t>
      </w:r>
      <w:r>
        <w:rPr>
          <w:color w:val="010202"/>
          <w:sz w:val="22"/>
        </w:rPr>
        <w:t>or willingness to engage with telehealth</w:t>
      </w:r>
    </w:p>
    <w:p>
      <w:pPr>
        <w:pStyle w:val="ListParagraph"/>
        <w:numPr>
          <w:ilvl w:val="0"/>
          <w:numId w:val="13"/>
        </w:numPr>
        <w:tabs>
          <w:tab w:pos="839" w:val="left" w:leader="none"/>
          <w:tab w:pos="840" w:val="left" w:leader="none"/>
        </w:tabs>
        <w:spacing w:line="240" w:lineRule="auto" w:before="57" w:after="0"/>
        <w:ind w:left="839" w:right="0" w:hanging="361"/>
        <w:jc w:val="left"/>
        <w:rPr>
          <w:sz w:val="22"/>
        </w:rPr>
      </w:pPr>
      <w:r>
        <w:rPr>
          <w:color w:val="010202"/>
          <w:sz w:val="22"/>
        </w:rPr>
        <w:t>Access</w:t>
      </w:r>
      <w:r>
        <w:rPr>
          <w:color w:val="010202"/>
          <w:spacing w:val="-1"/>
          <w:sz w:val="22"/>
        </w:rPr>
        <w:t> </w:t>
      </w:r>
      <w:r>
        <w:rPr>
          <w:color w:val="010202"/>
          <w:sz w:val="22"/>
        </w:rPr>
        <w:t>to technology or high-speed Internet</w:t>
      </w:r>
    </w:p>
    <w:p>
      <w:pPr>
        <w:pStyle w:val="ListParagraph"/>
        <w:numPr>
          <w:ilvl w:val="0"/>
          <w:numId w:val="13"/>
        </w:numPr>
        <w:tabs>
          <w:tab w:pos="839" w:val="left" w:leader="none"/>
          <w:tab w:pos="840" w:val="left" w:leader="none"/>
        </w:tabs>
        <w:spacing w:line="264" w:lineRule="auto" w:before="57" w:after="0"/>
        <w:ind w:left="839" w:right="758" w:hanging="360"/>
        <w:jc w:val="left"/>
        <w:rPr>
          <w:sz w:val="22"/>
        </w:rPr>
      </w:pPr>
      <w:r>
        <w:rPr>
          <w:color w:val="010202"/>
          <w:sz w:val="22"/>
        </w:rPr>
        <w:t>Apprehension about using technology or</w:t>
      </w:r>
      <w:r>
        <w:rPr>
          <w:color w:val="010202"/>
          <w:spacing w:val="-52"/>
          <w:sz w:val="22"/>
        </w:rPr>
        <w:t> </w:t>
      </w:r>
      <w:r>
        <w:rPr>
          <w:color w:val="010202"/>
          <w:sz w:val="22"/>
        </w:rPr>
        <w:t>concern</w:t>
      </w:r>
      <w:r>
        <w:rPr>
          <w:color w:val="010202"/>
          <w:spacing w:val="-1"/>
          <w:sz w:val="22"/>
        </w:rPr>
        <w:t> </w:t>
      </w:r>
      <w:r>
        <w:rPr>
          <w:color w:val="010202"/>
          <w:sz w:val="22"/>
        </w:rPr>
        <w:t>about the privacy risks involved</w:t>
      </w:r>
    </w:p>
    <w:p>
      <w:pPr>
        <w:pStyle w:val="BodyText"/>
        <w:spacing w:line="266" w:lineRule="auto" w:before="181"/>
        <w:ind w:left="119" w:right="90"/>
      </w:pPr>
      <w:r>
        <w:rPr>
          <w:color w:val="231F20"/>
        </w:rPr>
        <w:t>The recent proliferation of smartphones provides a</w:t>
      </w:r>
      <w:r>
        <w:rPr>
          <w:color w:val="231F20"/>
          <w:spacing w:val="1"/>
        </w:rPr>
        <w:t> </w:t>
      </w:r>
      <w:r>
        <w:rPr>
          <w:color w:val="231F20"/>
        </w:rPr>
        <w:t>convenient</w:t>
      </w:r>
      <w:r>
        <w:rPr>
          <w:color w:val="231F20"/>
          <w:spacing w:val="1"/>
        </w:rPr>
        <w:t> </w:t>
      </w:r>
      <w:r>
        <w:rPr>
          <w:color w:val="231F20"/>
        </w:rPr>
        <w:t>way</w:t>
      </w:r>
      <w:r>
        <w:rPr>
          <w:color w:val="231F20"/>
          <w:spacing w:val="2"/>
        </w:rPr>
        <w:t> </w:t>
      </w:r>
      <w:r>
        <w:rPr>
          <w:color w:val="231F20"/>
        </w:rPr>
        <w:t>for</w:t>
      </w:r>
      <w:r>
        <w:rPr>
          <w:color w:val="231F20"/>
          <w:spacing w:val="2"/>
        </w:rPr>
        <w:t> </w:t>
      </w:r>
      <w:r>
        <w:rPr>
          <w:color w:val="231F20"/>
        </w:rPr>
        <w:t>many</w:t>
      </w:r>
      <w:r>
        <w:rPr>
          <w:color w:val="231F20"/>
          <w:spacing w:val="2"/>
        </w:rPr>
        <w:t> </w:t>
      </w:r>
      <w:r>
        <w:rPr>
          <w:color w:val="231F20"/>
        </w:rPr>
        <w:t>to</w:t>
      </w:r>
      <w:r>
        <w:rPr>
          <w:color w:val="231F20"/>
          <w:spacing w:val="2"/>
        </w:rPr>
        <w:t> </w:t>
      </w:r>
      <w:r>
        <w:rPr>
          <w:color w:val="231F20"/>
        </w:rPr>
        <w:t>engage</w:t>
      </w:r>
      <w:r>
        <w:rPr>
          <w:color w:val="231F20"/>
          <w:spacing w:val="1"/>
        </w:rPr>
        <w:t> </w:t>
      </w:r>
      <w:r>
        <w:rPr>
          <w:color w:val="231F20"/>
        </w:rPr>
        <w:t>in</w:t>
      </w:r>
      <w:r>
        <w:rPr>
          <w:color w:val="231F20"/>
          <w:spacing w:val="2"/>
        </w:rPr>
        <w:t> </w:t>
      </w:r>
      <w:r>
        <w:rPr>
          <w:color w:val="231F20"/>
        </w:rPr>
        <w:t>telehealth.</w:t>
      </w:r>
      <w:r>
        <w:rPr>
          <w:color w:val="231F20"/>
          <w:spacing w:val="1"/>
        </w:rPr>
        <w:t> </w:t>
      </w:r>
      <w:r>
        <w:rPr>
          <w:color w:val="231F20"/>
        </w:rPr>
        <w:t>Access to smartphones allows for both synchronous</w:t>
      </w:r>
      <w:r>
        <w:rPr>
          <w:color w:val="231F20"/>
          <w:spacing w:val="1"/>
        </w:rPr>
        <w:t> </w:t>
      </w:r>
      <w:r>
        <w:rPr>
          <w:color w:val="231F20"/>
        </w:rPr>
        <w:t>videoconferencing for telehealth-based therapy, as well</w:t>
      </w:r>
      <w:r>
        <w:rPr>
          <w:color w:val="231F20"/>
          <w:spacing w:val="1"/>
        </w:rPr>
        <w:t> </w:t>
      </w:r>
      <w:r>
        <w:rPr>
          <w:color w:val="231F20"/>
        </w:rPr>
        <w:t>as asynchronous apps to support medication monitoring,</w:t>
      </w:r>
      <w:r>
        <w:rPr>
          <w:color w:val="231F20"/>
          <w:spacing w:val="-52"/>
        </w:rPr>
        <w:t> </w:t>
      </w:r>
      <w:r>
        <w:rPr>
          <w:color w:val="231F20"/>
        </w:rPr>
        <w:t>symptom recording, and messaging between the client</w:t>
      </w:r>
      <w:r>
        <w:rPr>
          <w:color w:val="231F20"/>
          <w:spacing w:val="1"/>
        </w:rPr>
        <w:t> </w:t>
      </w:r>
      <w:r>
        <w:rPr>
          <w:color w:val="231F20"/>
        </w:rPr>
        <w:t>and</w:t>
      </w:r>
      <w:r>
        <w:rPr>
          <w:color w:val="231F20"/>
          <w:spacing w:val="-1"/>
        </w:rPr>
        <w:t> </w:t>
      </w:r>
      <w:r>
        <w:rPr>
          <w:color w:val="231F20"/>
        </w:rPr>
        <w:t>provider.</w:t>
      </w:r>
    </w:p>
    <w:p>
      <w:pPr>
        <w:pStyle w:val="BodyText"/>
        <w:spacing w:before="10"/>
        <w:rPr>
          <w:sz w:val="21"/>
        </w:rPr>
      </w:pPr>
      <w:r>
        <w:rPr/>
        <w:pict>
          <v:group style="position:absolute;margin-left:36pt;margin-top:13.788814pt;width:252pt;height:221.8pt;mso-position-horizontal-relative:page;mso-position-vertical-relative:paragraph;z-index:-15710208;mso-wrap-distance-left:0;mso-wrap-distance-right:0" id="docshapegroup112" coordorigin="720,276" coordsize="5040,4436">
            <v:shape style="position:absolute;left:720;top:275;width:5040;height:4436" id="docshape113" coordorigin="720,276" coordsize="5040,4436" path="m5670,276l810,276,775,283,746,302,727,331,720,366,720,4621,727,4656,746,4685,775,4704,810,4711,5670,4711,5705,4704,5734,4685,5753,4656,5760,4621,5760,366,5753,331,5734,302,5705,283,5670,276xe" filled="true" fillcolor="#f7e0e0" stroked="false">
              <v:path arrowok="t"/>
              <v:fill type="solid"/>
            </v:shape>
            <v:shape style="position:absolute;left:720;top:275;width:5040;height:4436" type="#_x0000_t202" id="docshape114" filled="false" stroked="false">
              <v:textbox inset="0,0,0,0">
                <w:txbxContent>
                  <w:p>
                    <w:pPr>
                      <w:spacing w:before="87"/>
                      <w:ind w:left="180" w:right="0" w:firstLine="440"/>
                      <w:jc w:val="left"/>
                      <w:rPr>
                        <w:rFonts w:ascii="Arial Black"/>
                        <w:sz w:val="24"/>
                      </w:rPr>
                    </w:pPr>
                    <w:r>
                      <w:rPr>
                        <w:rFonts w:ascii="Arial Black"/>
                        <w:color w:val="CE384B"/>
                        <w:sz w:val="24"/>
                      </w:rPr>
                      <w:t>Health</w:t>
                    </w:r>
                    <w:r>
                      <w:rPr>
                        <w:rFonts w:ascii="Arial Black"/>
                        <w:color w:val="CE384B"/>
                        <w:spacing w:val="-5"/>
                        <w:sz w:val="24"/>
                      </w:rPr>
                      <w:t> </w:t>
                    </w:r>
                    <w:r>
                      <w:rPr>
                        <w:rFonts w:ascii="Arial Black"/>
                        <w:color w:val="CE384B"/>
                        <w:sz w:val="24"/>
                      </w:rPr>
                      <w:t>Equity</w:t>
                    </w:r>
                    <w:r>
                      <w:rPr>
                        <w:rFonts w:ascii="Arial Black"/>
                        <w:color w:val="CE384B"/>
                        <w:spacing w:val="-5"/>
                        <w:sz w:val="24"/>
                      </w:rPr>
                      <w:t> </w:t>
                    </w:r>
                    <w:r>
                      <w:rPr>
                        <w:rFonts w:ascii="Arial Black"/>
                        <w:color w:val="CE384B"/>
                        <w:sz w:val="24"/>
                      </w:rPr>
                      <w:t>and</w:t>
                    </w:r>
                    <w:r>
                      <w:rPr>
                        <w:rFonts w:ascii="Arial Black"/>
                        <w:color w:val="CE384B"/>
                        <w:spacing w:val="-5"/>
                        <w:sz w:val="24"/>
                      </w:rPr>
                      <w:t> </w:t>
                    </w:r>
                    <w:r>
                      <w:rPr>
                        <w:rFonts w:ascii="Arial Black"/>
                        <w:color w:val="CE384B"/>
                        <w:sz w:val="24"/>
                      </w:rPr>
                      <w:t>Telehealth</w:t>
                    </w:r>
                  </w:p>
                  <w:p>
                    <w:pPr>
                      <w:spacing w:line="259" w:lineRule="auto" w:before="109"/>
                      <w:ind w:left="179" w:right="224" w:firstLine="0"/>
                      <w:jc w:val="left"/>
                      <w:rPr>
                        <w:rFonts w:ascii="Arial" w:hAnsi="Arial"/>
                        <w:sz w:val="12"/>
                      </w:rPr>
                    </w:pPr>
                    <w:r>
                      <w:rPr>
                        <w:rFonts w:ascii="Arial" w:hAnsi="Arial"/>
                        <w:color w:val="010202"/>
                        <w:sz w:val="21"/>
                      </w:rPr>
                      <w:t>Telehealth</w:t>
                    </w:r>
                    <w:r>
                      <w:rPr>
                        <w:rFonts w:ascii="Arial" w:hAnsi="Arial"/>
                        <w:color w:val="010202"/>
                        <w:spacing w:val="-7"/>
                        <w:sz w:val="21"/>
                      </w:rPr>
                      <w:t> </w:t>
                    </w:r>
                    <w:r>
                      <w:rPr>
                        <w:rFonts w:ascii="Arial" w:hAnsi="Arial"/>
                        <w:color w:val="010202"/>
                        <w:sz w:val="21"/>
                      </w:rPr>
                      <w:t>holds</w:t>
                    </w:r>
                    <w:r>
                      <w:rPr>
                        <w:rFonts w:ascii="Arial" w:hAnsi="Arial"/>
                        <w:color w:val="010202"/>
                        <w:spacing w:val="-6"/>
                        <w:sz w:val="21"/>
                      </w:rPr>
                      <w:t> </w:t>
                    </w:r>
                    <w:r>
                      <w:rPr>
                        <w:rFonts w:ascii="Arial" w:hAnsi="Arial"/>
                        <w:color w:val="010202"/>
                        <w:sz w:val="21"/>
                      </w:rPr>
                      <w:t>the</w:t>
                    </w:r>
                    <w:r>
                      <w:rPr>
                        <w:rFonts w:ascii="Arial" w:hAnsi="Arial"/>
                        <w:color w:val="010202"/>
                        <w:spacing w:val="-7"/>
                        <w:sz w:val="21"/>
                      </w:rPr>
                      <w:t> </w:t>
                    </w:r>
                    <w:r>
                      <w:rPr>
                        <w:rFonts w:ascii="Arial" w:hAnsi="Arial"/>
                        <w:color w:val="010202"/>
                        <w:sz w:val="21"/>
                      </w:rPr>
                      <w:t>promise</w:t>
                    </w:r>
                    <w:r>
                      <w:rPr>
                        <w:rFonts w:ascii="Arial" w:hAnsi="Arial"/>
                        <w:color w:val="010202"/>
                        <w:spacing w:val="-6"/>
                        <w:sz w:val="21"/>
                      </w:rPr>
                      <w:t> </w:t>
                    </w:r>
                    <w:r>
                      <w:rPr>
                        <w:rFonts w:ascii="Arial" w:hAnsi="Arial"/>
                        <w:color w:val="010202"/>
                        <w:sz w:val="21"/>
                      </w:rPr>
                      <w:t>of</w:t>
                    </w:r>
                    <w:r>
                      <w:rPr>
                        <w:rFonts w:ascii="Arial" w:hAnsi="Arial"/>
                        <w:color w:val="010202"/>
                        <w:spacing w:val="-6"/>
                        <w:sz w:val="21"/>
                      </w:rPr>
                      <w:t> </w:t>
                    </w:r>
                    <w:r>
                      <w:rPr>
                        <w:rFonts w:ascii="Arial" w:hAnsi="Arial"/>
                        <w:color w:val="010202"/>
                        <w:sz w:val="21"/>
                      </w:rPr>
                      <w:t>increasing</w:t>
                    </w:r>
                    <w:r>
                      <w:rPr>
                        <w:rFonts w:ascii="Arial" w:hAnsi="Arial"/>
                        <w:color w:val="010202"/>
                        <w:spacing w:val="-7"/>
                        <w:sz w:val="21"/>
                      </w:rPr>
                      <w:t> </w:t>
                    </w:r>
                    <w:r>
                      <w:rPr>
                        <w:rFonts w:ascii="Arial" w:hAnsi="Arial"/>
                        <w:color w:val="010202"/>
                        <w:sz w:val="21"/>
                      </w:rPr>
                      <w:t>access</w:t>
                    </w:r>
                    <w:r>
                      <w:rPr>
                        <w:rFonts w:ascii="Arial" w:hAnsi="Arial"/>
                        <w:color w:val="010202"/>
                        <w:spacing w:val="-55"/>
                        <w:sz w:val="21"/>
                      </w:rPr>
                      <w:t> </w:t>
                    </w:r>
                    <w:r>
                      <w:rPr>
                        <w:rFonts w:ascii="Arial" w:hAnsi="Arial"/>
                        <w:color w:val="010202"/>
                        <w:sz w:val="21"/>
                      </w:rPr>
                      <w:t>to equitable health. However, telehealth-delivered</w:t>
                    </w:r>
                    <w:r>
                      <w:rPr>
                        <w:rFonts w:ascii="Arial" w:hAnsi="Arial"/>
                        <w:color w:val="010202"/>
                        <w:spacing w:val="-56"/>
                        <w:sz w:val="21"/>
                      </w:rPr>
                      <w:t> </w:t>
                    </w:r>
                    <w:r>
                      <w:rPr>
                        <w:rFonts w:ascii="Arial" w:hAnsi="Arial"/>
                        <w:color w:val="010202"/>
                        <w:sz w:val="21"/>
                      </w:rPr>
                      <w:t>treatments require access to technology and the</w:t>
                    </w:r>
                    <w:r>
                      <w:rPr>
                        <w:rFonts w:ascii="Arial" w:hAnsi="Arial"/>
                        <w:color w:val="010202"/>
                        <w:spacing w:val="1"/>
                        <w:sz w:val="21"/>
                      </w:rPr>
                      <w:t> </w:t>
                    </w:r>
                    <w:r>
                      <w:rPr>
                        <w:rFonts w:ascii="Arial" w:hAnsi="Arial"/>
                        <w:color w:val="010202"/>
                        <w:sz w:val="21"/>
                      </w:rPr>
                      <w:t>Internet. Approximately 10 percent of Americans</w:t>
                    </w:r>
                    <w:r>
                      <w:rPr>
                        <w:rFonts w:ascii="Arial" w:hAnsi="Arial"/>
                        <w:color w:val="010202"/>
                        <w:spacing w:val="1"/>
                        <w:sz w:val="21"/>
                      </w:rPr>
                      <w:t> </w:t>
                    </w:r>
                    <w:r>
                      <w:rPr>
                        <w:rFonts w:ascii="Arial" w:hAnsi="Arial"/>
                        <w:color w:val="010202"/>
                        <w:sz w:val="21"/>
                      </w:rPr>
                      <w:t>did not have Internet access in 2019. People who</w:t>
                    </w:r>
                    <w:r>
                      <w:rPr>
                        <w:rFonts w:ascii="Arial" w:hAnsi="Arial"/>
                        <w:color w:val="010202"/>
                        <w:spacing w:val="-56"/>
                        <w:sz w:val="21"/>
                      </w:rPr>
                      <w:t> </w:t>
                    </w:r>
                    <w:r>
                      <w:rPr>
                        <w:rFonts w:ascii="Arial" w:hAnsi="Arial"/>
                        <w:color w:val="010202"/>
                        <w:sz w:val="21"/>
                      </w:rPr>
                      <w:t>don’t</w:t>
                    </w:r>
                    <w:r>
                      <w:rPr>
                        <w:rFonts w:ascii="Arial" w:hAnsi="Arial"/>
                        <w:color w:val="010202"/>
                        <w:spacing w:val="1"/>
                        <w:sz w:val="21"/>
                      </w:rPr>
                      <w:t> </w:t>
                    </w:r>
                    <w:r>
                      <w:rPr>
                        <w:rFonts w:ascii="Arial" w:hAnsi="Arial"/>
                        <w:color w:val="010202"/>
                        <w:sz w:val="21"/>
                      </w:rPr>
                      <w:t>use</w:t>
                    </w:r>
                    <w:r>
                      <w:rPr>
                        <w:rFonts w:ascii="Arial" w:hAnsi="Arial"/>
                        <w:color w:val="010202"/>
                        <w:spacing w:val="2"/>
                        <w:sz w:val="21"/>
                      </w:rPr>
                      <w:t> </w:t>
                    </w:r>
                    <w:r>
                      <w:rPr>
                        <w:rFonts w:ascii="Arial" w:hAnsi="Arial"/>
                        <w:color w:val="010202"/>
                        <w:sz w:val="21"/>
                      </w:rPr>
                      <w:t>the</w:t>
                    </w:r>
                    <w:r>
                      <w:rPr>
                        <w:rFonts w:ascii="Arial" w:hAnsi="Arial"/>
                        <w:color w:val="010202"/>
                        <w:spacing w:val="1"/>
                        <w:sz w:val="21"/>
                      </w:rPr>
                      <w:t> </w:t>
                    </w:r>
                    <w:r>
                      <w:rPr>
                        <w:rFonts w:ascii="Arial" w:hAnsi="Arial"/>
                        <w:color w:val="010202"/>
                        <w:sz w:val="21"/>
                      </w:rPr>
                      <w:t>Internet</w:t>
                    </w:r>
                    <w:r>
                      <w:rPr>
                        <w:rFonts w:ascii="Arial" w:hAnsi="Arial"/>
                        <w:color w:val="010202"/>
                        <w:spacing w:val="2"/>
                        <w:sz w:val="21"/>
                      </w:rPr>
                      <w:t> </w:t>
                    </w:r>
                    <w:r>
                      <w:rPr>
                        <w:rFonts w:ascii="Arial" w:hAnsi="Arial"/>
                        <w:color w:val="010202"/>
                        <w:sz w:val="21"/>
                      </w:rPr>
                      <w:t>tend</w:t>
                    </w:r>
                    <w:r>
                      <w:rPr>
                        <w:rFonts w:ascii="Arial" w:hAnsi="Arial"/>
                        <w:color w:val="010202"/>
                        <w:spacing w:val="1"/>
                        <w:sz w:val="21"/>
                      </w:rPr>
                      <w:t> </w:t>
                    </w:r>
                    <w:r>
                      <w:rPr>
                        <w:rFonts w:ascii="Arial" w:hAnsi="Arial"/>
                        <w:color w:val="010202"/>
                        <w:sz w:val="21"/>
                      </w:rPr>
                      <w:t>to</w:t>
                    </w:r>
                    <w:r>
                      <w:rPr>
                        <w:rFonts w:ascii="Arial" w:hAnsi="Arial"/>
                        <w:color w:val="010202"/>
                        <w:spacing w:val="2"/>
                        <w:sz w:val="21"/>
                      </w:rPr>
                      <w:t> </w:t>
                    </w:r>
                    <w:r>
                      <w:rPr>
                        <w:rFonts w:ascii="Arial" w:hAnsi="Arial"/>
                        <w:color w:val="010202"/>
                        <w:sz w:val="21"/>
                      </w:rPr>
                      <w:t>live</w:t>
                    </w:r>
                    <w:r>
                      <w:rPr>
                        <w:rFonts w:ascii="Arial" w:hAnsi="Arial"/>
                        <w:color w:val="010202"/>
                        <w:spacing w:val="1"/>
                        <w:sz w:val="21"/>
                      </w:rPr>
                      <w:t> </w:t>
                    </w:r>
                    <w:r>
                      <w:rPr>
                        <w:rFonts w:ascii="Arial" w:hAnsi="Arial"/>
                        <w:color w:val="010202"/>
                        <w:sz w:val="21"/>
                      </w:rPr>
                      <w:t>in</w:t>
                    </w:r>
                    <w:r>
                      <w:rPr>
                        <w:rFonts w:ascii="Arial" w:hAnsi="Arial"/>
                        <w:color w:val="010202"/>
                        <w:spacing w:val="2"/>
                        <w:sz w:val="21"/>
                      </w:rPr>
                      <w:t> </w:t>
                    </w:r>
                    <w:r>
                      <w:rPr>
                        <w:rFonts w:ascii="Arial" w:hAnsi="Arial"/>
                        <w:color w:val="010202"/>
                        <w:sz w:val="21"/>
                      </w:rPr>
                      <w:t>rural</w:t>
                    </w:r>
                    <w:r>
                      <w:rPr>
                        <w:rFonts w:ascii="Arial" w:hAnsi="Arial"/>
                        <w:color w:val="010202"/>
                        <w:spacing w:val="2"/>
                        <w:sz w:val="21"/>
                      </w:rPr>
                      <w:t> </w:t>
                    </w:r>
                    <w:r>
                      <w:rPr>
                        <w:rFonts w:ascii="Arial" w:hAnsi="Arial"/>
                        <w:color w:val="010202"/>
                        <w:sz w:val="21"/>
                      </w:rPr>
                      <w:t>areas,</w:t>
                    </w:r>
                    <w:r>
                      <w:rPr>
                        <w:rFonts w:ascii="Arial" w:hAnsi="Arial"/>
                        <w:color w:val="010202"/>
                        <w:spacing w:val="1"/>
                        <w:sz w:val="21"/>
                      </w:rPr>
                      <w:t> </w:t>
                    </w:r>
                    <w:r>
                      <w:rPr>
                        <w:rFonts w:ascii="Arial" w:hAnsi="Arial"/>
                        <w:color w:val="010202"/>
                        <w:sz w:val="21"/>
                      </w:rPr>
                      <w:t>be 65 and older, have less than a high school</w:t>
                    </w:r>
                    <w:r>
                      <w:rPr>
                        <w:rFonts w:ascii="Arial" w:hAnsi="Arial"/>
                        <w:color w:val="010202"/>
                        <w:spacing w:val="1"/>
                        <w:sz w:val="21"/>
                      </w:rPr>
                      <w:t> </w:t>
                    </w:r>
                    <w:r>
                      <w:rPr>
                        <w:rFonts w:ascii="Arial" w:hAnsi="Arial"/>
                        <w:color w:val="010202"/>
                        <w:sz w:val="21"/>
                      </w:rPr>
                      <w:t>education, and be people of color.</w:t>
                    </w:r>
                    <w:r>
                      <w:rPr>
                        <w:rFonts w:ascii="Arial" w:hAnsi="Arial"/>
                        <w:color w:val="010202"/>
                        <w:position w:val="7"/>
                        <w:sz w:val="12"/>
                      </w:rPr>
                      <w:t>1</w:t>
                    </w:r>
                    <w:r>
                      <w:rPr>
                        <w:rFonts w:ascii="Arial" w:hAnsi="Arial"/>
                        <w:color w:val="010202"/>
                        <w:spacing w:val="1"/>
                        <w:position w:val="7"/>
                        <w:sz w:val="12"/>
                      </w:rPr>
                      <w:t> </w:t>
                    </w:r>
                    <w:r>
                      <w:rPr>
                        <w:rFonts w:ascii="Arial" w:hAnsi="Arial"/>
                        <w:color w:val="010202"/>
                        <w:sz w:val="21"/>
                      </w:rPr>
                      <w:t>Organizations</w:t>
                    </w:r>
                    <w:r>
                      <w:rPr>
                        <w:rFonts w:ascii="Arial" w:hAnsi="Arial"/>
                        <w:color w:val="010202"/>
                        <w:spacing w:val="-56"/>
                        <w:sz w:val="21"/>
                      </w:rPr>
                      <w:t> </w:t>
                    </w:r>
                    <w:r>
                      <w:rPr>
                        <w:rFonts w:ascii="Arial" w:hAnsi="Arial"/>
                        <w:color w:val="010202"/>
                        <w:sz w:val="21"/>
                      </w:rPr>
                      <w:t>and practitioners should be aware of and address</w:t>
                    </w:r>
                    <w:r>
                      <w:rPr>
                        <w:rFonts w:ascii="Arial" w:hAnsi="Arial"/>
                        <w:color w:val="010202"/>
                        <w:spacing w:val="-56"/>
                        <w:sz w:val="21"/>
                      </w:rPr>
                      <w:t> </w:t>
                    </w:r>
                    <w:r>
                      <w:rPr>
                        <w:rFonts w:ascii="Arial" w:hAnsi="Arial"/>
                        <w:color w:val="010202"/>
                        <w:sz w:val="21"/>
                      </w:rPr>
                      <w:t>equity issues and guard against increasing</w:t>
                    </w:r>
                    <w:r>
                      <w:rPr>
                        <w:rFonts w:ascii="Arial" w:hAnsi="Arial"/>
                        <w:color w:val="010202"/>
                        <w:spacing w:val="1"/>
                        <w:sz w:val="21"/>
                      </w:rPr>
                      <w:t> </w:t>
                    </w:r>
                    <w:r>
                      <w:rPr>
                        <w:rFonts w:ascii="Arial" w:hAnsi="Arial"/>
                        <w:color w:val="010202"/>
                        <w:sz w:val="21"/>
                      </w:rPr>
                      <w:t>disparities in equitable healthcare access for</w:t>
                    </w:r>
                    <w:r>
                      <w:rPr>
                        <w:rFonts w:ascii="Arial" w:hAnsi="Arial"/>
                        <w:color w:val="010202"/>
                        <w:spacing w:val="1"/>
                        <w:sz w:val="21"/>
                      </w:rPr>
                      <w:t> </w:t>
                    </w:r>
                    <w:r>
                      <w:rPr>
                        <w:rFonts w:ascii="Arial" w:hAnsi="Arial"/>
                        <w:color w:val="010202"/>
                        <w:sz w:val="21"/>
                      </w:rPr>
                      <w:t>underserved populations.</w:t>
                    </w:r>
                    <w:r>
                      <w:rPr>
                        <w:rFonts w:ascii="Arial" w:hAnsi="Arial"/>
                        <w:color w:val="010202"/>
                        <w:position w:val="7"/>
                        <w:sz w:val="12"/>
                      </w:rPr>
                      <w:t>2</w:t>
                    </w:r>
                    <w:r>
                      <w:rPr>
                        <w:rFonts w:ascii="Arial" w:hAnsi="Arial"/>
                        <w:color w:val="010202"/>
                        <w:spacing w:val="1"/>
                        <w:position w:val="7"/>
                        <w:sz w:val="12"/>
                      </w:rPr>
                      <w:t> </w:t>
                    </w:r>
                    <w:r>
                      <w:rPr>
                        <w:rFonts w:ascii="Arial" w:hAnsi="Arial"/>
                        <w:color w:val="010202"/>
                        <w:sz w:val="21"/>
                      </w:rPr>
                      <w:t>Translation services</w:t>
                    </w:r>
                    <w:r>
                      <w:rPr>
                        <w:rFonts w:ascii="Arial" w:hAnsi="Arial"/>
                        <w:color w:val="010202"/>
                        <w:spacing w:val="1"/>
                        <w:sz w:val="21"/>
                      </w:rPr>
                      <w:t> </w:t>
                    </w:r>
                    <w:r>
                      <w:rPr>
                        <w:rFonts w:ascii="Arial" w:hAnsi="Arial"/>
                        <w:color w:val="010202"/>
                        <w:sz w:val="21"/>
                      </w:rPr>
                      <w:t>increase accessibility for clients not proficient in</w:t>
                    </w:r>
                    <w:r>
                      <w:rPr>
                        <w:rFonts w:ascii="Arial" w:hAnsi="Arial"/>
                        <w:color w:val="010202"/>
                        <w:spacing w:val="1"/>
                        <w:sz w:val="21"/>
                      </w:rPr>
                      <w:t> </w:t>
                    </w:r>
                    <w:r>
                      <w:rPr>
                        <w:rFonts w:ascii="Arial" w:hAnsi="Arial"/>
                        <w:color w:val="010202"/>
                        <w:sz w:val="21"/>
                      </w:rPr>
                      <w:t>English.</w:t>
                    </w:r>
                    <w:r>
                      <w:rPr>
                        <w:rFonts w:ascii="Arial" w:hAnsi="Arial"/>
                        <w:color w:val="010202"/>
                        <w:position w:val="7"/>
                        <w:sz w:val="12"/>
                      </w:rPr>
                      <w:t>3</w:t>
                    </w:r>
                  </w:p>
                </w:txbxContent>
              </v:textbox>
              <w10:wrap type="none"/>
            </v:shape>
            <w10:wrap type="topAndBottom"/>
          </v:group>
        </w:pict>
      </w:r>
    </w:p>
    <w:p>
      <w:pPr>
        <w:pStyle w:val="BodyText"/>
        <w:rPr>
          <w:sz w:val="21"/>
        </w:rPr>
      </w:pPr>
    </w:p>
    <w:p>
      <w:pPr>
        <w:spacing w:line="249" w:lineRule="auto" w:before="0"/>
        <w:ind w:left="120" w:right="206" w:firstLine="0"/>
        <w:jc w:val="left"/>
        <w:rPr>
          <w:rFonts w:ascii="Arial"/>
          <w:b/>
          <w:sz w:val="20"/>
        </w:rPr>
      </w:pPr>
      <w:r>
        <w:rPr>
          <w:rFonts w:ascii="Arial"/>
          <w:b/>
          <w:color w:val="010202"/>
          <w:sz w:val="20"/>
        </w:rPr>
        <w:t>Strategies to increase client access to and comfort</w:t>
      </w:r>
      <w:r>
        <w:rPr>
          <w:rFonts w:ascii="Arial"/>
          <w:b/>
          <w:color w:val="010202"/>
          <w:spacing w:val="-54"/>
          <w:sz w:val="20"/>
        </w:rPr>
        <w:t> </w:t>
      </w:r>
      <w:r>
        <w:rPr>
          <w:rFonts w:ascii="Arial"/>
          <w:b/>
          <w:color w:val="010202"/>
          <w:sz w:val="20"/>
        </w:rPr>
        <w:t>using telehealth</w:t>
      </w:r>
    </w:p>
    <w:p>
      <w:pPr>
        <w:pStyle w:val="Heading5"/>
        <w:numPr>
          <w:ilvl w:val="0"/>
          <w:numId w:val="13"/>
        </w:numPr>
        <w:tabs>
          <w:tab w:pos="839" w:val="left" w:leader="none"/>
          <w:tab w:pos="840" w:val="left" w:leader="none"/>
        </w:tabs>
        <w:spacing w:line="240" w:lineRule="auto" w:before="168" w:after="0"/>
        <w:ind w:left="839" w:right="0" w:hanging="360"/>
        <w:jc w:val="left"/>
        <w:rPr>
          <w:rFonts w:ascii="Times New Roman" w:hAnsi="Times New Roman"/>
        </w:rPr>
      </w:pPr>
      <w:r>
        <w:rPr>
          <w:rFonts w:ascii="Times New Roman" w:hAnsi="Times New Roman"/>
          <w:color w:val="010202"/>
          <w:spacing w:val="-2"/>
        </w:rPr>
        <w:t>Increase</w:t>
      </w:r>
      <w:r>
        <w:rPr>
          <w:rFonts w:ascii="Times New Roman" w:hAnsi="Times New Roman"/>
          <w:color w:val="010202"/>
          <w:spacing w:val="-12"/>
        </w:rPr>
        <w:t> </w:t>
      </w:r>
      <w:r>
        <w:rPr>
          <w:rFonts w:ascii="Times New Roman" w:hAnsi="Times New Roman"/>
          <w:color w:val="010202"/>
          <w:spacing w:val="-1"/>
        </w:rPr>
        <w:t>access</w:t>
      </w:r>
      <w:r>
        <w:rPr>
          <w:rFonts w:ascii="Times New Roman" w:hAnsi="Times New Roman"/>
          <w:color w:val="010202"/>
          <w:spacing w:val="-12"/>
        </w:rPr>
        <w:t> </w:t>
      </w:r>
      <w:r>
        <w:rPr>
          <w:rFonts w:ascii="Times New Roman" w:hAnsi="Times New Roman"/>
          <w:color w:val="010202"/>
          <w:spacing w:val="-1"/>
        </w:rPr>
        <w:t>to</w:t>
      </w:r>
      <w:r>
        <w:rPr>
          <w:rFonts w:ascii="Times New Roman" w:hAnsi="Times New Roman"/>
          <w:color w:val="010202"/>
          <w:spacing w:val="-11"/>
        </w:rPr>
        <w:t> </w:t>
      </w:r>
      <w:r>
        <w:rPr>
          <w:rFonts w:ascii="Times New Roman" w:hAnsi="Times New Roman"/>
          <w:color w:val="010202"/>
          <w:spacing w:val="-1"/>
        </w:rPr>
        <w:t>mobile</w:t>
      </w:r>
      <w:r>
        <w:rPr>
          <w:rFonts w:ascii="Times New Roman" w:hAnsi="Times New Roman"/>
          <w:color w:val="010202"/>
          <w:spacing w:val="-12"/>
        </w:rPr>
        <w:t> </w:t>
      </w:r>
      <w:r>
        <w:rPr>
          <w:rFonts w:ascii="Times New Roman" w:hAnsi="Times New Roman"/>
          <w:color w:val="010202"/>
          <w:spacing w:val="-1"/>
        </w:rPr>
        <w:t>phones</w:t>
      </w:r>
      <w:r>
        <w:rPr>
          <w:rFonts w:ascii="Times New Roman" w:hAnsi="Times New Roman"/>
          <w:color w:val="010202"/>
          <w:spacing w:val="-12"/>
        </w:rPr>
        <w:t> </w:t>
      </w:r>
      <w:r>
        <w:rPr>
          <w:rFonts w:ascii="Times New Roman" w:hAnsi="Times New Roman"/>
          <w:color w:val="010202"/>
          <w:spacing w:val="-1"/>
        </w:rPr>
        <w:t>and</w:t>
      </w:r>
    </w:p>
    <w:p>
      <w:pPr>
        <w:pStyle w:val="BodyText"/>
        <w:spacing w:line="266" w:lineRule="auto" w:before="26"/>
        <w:ind w:left="839" w:right="50"/>
      </w:pPr>
      <w:r>
        <w:rPr>
          <w:b/>
          <w:color w:val="010202"/>
          <w:spacing w:val="-1"/>
        </w:rPr>
        <w:t>Internet</w:t>
      </w:r>
      <w:r>
        <w:rPr>
          <w:b/>
          <w:color w:val="010202"/>
          <w:spacing w:val="-13"/>
        </w:rPr>
        <w:t> </w:t>
      </w:r>
      <w:r>
        <w:rPr>
          <w:color w:val="010202"/>
          <w:spacing w:val="-1"/>
        </w:rPr>
        <w:t>–</w:t>
      </w:r>
      <w:r>
        <w:rPr>
          <w:color w:val="010202"/>
          <w:spacing w:val="-13"/>
        </w:rPr>
        <w:t> </w:t>
      </w:r>
      <w:r>
        <w:rPr>
          <w:color w:val="010202"/>
          <w:spacing w:val="-1"/>
        </w:rPr>
        <w:t>In</w:t>
      </w:r>
      <w:r>
        <w:rPr>
          <w:color w:val="010202"/>
          <w:spacing w:val="-12"/>
        </w:rPr>
        <w:t> </w:t>
      </w:r>
      <w:r>
        <w:rPr>
          <w:color w:val="010202"/>
          <w:spacing w:val="-1"/>
        </w:rPr>
        <w:t>addition</w:t>
      </w:r>
      <w:r>
        <w:rPr>
          <w:color w:val="010202"/>
          <w:spacing w:val="-13"/>
        </w:rPr>
        <w:t> </w:t>
      </w:r>
      <w:r>
        <w:rPr>
          <w:color w:val="010202"/>
          <w:spacing w:val="-1"/>
        </w:rPr>
        <w:t>to</w:t>
      </w:r>
      <w:r>
        <w:rPr>
          <w:color w:val="010202"/>
          <w:spacing w:val="-12"/>
        </w:rPr>
        <w:t> </w:t>
      </w:r>
      <w:r>
        <w:rPr>
          <w:color w:val="010202"/>
          <w:spacing w:val="-1"/>
        </w:rPr>
        <w:t>a</w:t>
      </w:r>
      <w:r>
        <w:rPr>
          <w:color w:val="010202"/>
          <w:spacing w:val="-13"/>
        </w:rPr>
        <w:t> </w:t>
      </w:r>
      <w:r>
        <w:rPr>
          <w:color w:val="010202"/>
          <w:spacing w:val="-1"/>
        </w:rPr>
        <w:t>fast</w:t>
      </w:r>
      <w:r>
        <w:rPr>
          <w:color w:val="010202"/>
          <w:spacing w:val="-12"/>
        </w:rPr>
        <w:t> </w:t>
      </w:r>
      <w:r>
        <w:rPr>
          <w:color w:val="010202"/>
          <w:spacing w:val="-1"/>
        </w:rPr>
        <w:t>and</w:t>
      </w:r>
      <w:r>
        <w:rPr>
          <w:color w:val="010202"/>
          <w:spacing w:val="-13"/>
        </w:rPr>
        <w:t> </w:t>
      </w:r>
      <w:r>
        <w:rPr>
          <w:color w:val="010202"/>
        </w:rPr>
        <w:t>stable</w:t>
      </w:r>
      <w:r>
        <w:rPr>
          <w:color w:val="010202"/>
          <w:spacing w:val="-12"/>
        </w:rPr>
        <w:t> </w:t>
      </w:r>
      <w:r>
        <w:rPr>
          <w:color w:val="010202"/>
        </w:rPr>
        <w:t>Internet</w:t>
      </w:r>
      <w:r>
        <w:rPr>
          <w:color w:val="010202"/>
          <w:spacing w:val="-52"/>
        </w:rPr>
        <w:t> </w:t>
      </w:r>
      <w:r>
        <w:rPr>
          <w:color w:val="010202"/>
        </w:rPr>
        <w:t>connection,</w:t>
      </w:r>
      <w:r>
        <w:rPr>
          <w:color w:val="010202"/>
          <w:spacing w:val="-13"/>
        </w:rPr>
        <w:t> </w:t>
      </w:r>
      <w:r>
        <w:rPr>
          <w:color w:val="010202"/>
        </w:rPr>
        <w:t>clients</w:t>
      </w:r>
      <w:r>
        <w:rPr>
          <w:color w:val="010202"/>
          <w:spacing w:val="-12"/>
        </w:rPr>
        <w:t> </w:t>
      </w:r>
      <w:r>
        <w:rPr>
          <w:color w:val="010202"/>
        </w:rPr>
        <w:t>need</w:t>
      </w:r>
      <w:r>
        <w:rPr>
          <w:color w:val="010202"/>
          <w:spacing w:val="-12"/>
        </w:rPr>
        <w:t> </w:t>
      </w:r>
      <w:r>
        <w:rPr>
          <w:color w:val="010202"/>
        </w:rPr>
        <w:t>tablets,</w:t>
      </w:r>
      <w:r>
        <w:rPr>
          <w:color w:val="010202"/>
          <w:spacing w:val="-12"/>
        </w:rPr>
        <w:t> </w:t>
      </w:r>
      <w:r>
        <w:rPr>
          <w:color w:val="010202"/>
        </w:rPr>
        <w:t>computers,</w:t>
      </w:r>
    </w:p>
    <w:p>
      <w:pPr>
        <w:pStyle w:val="BodyText"/>
        <w:spacing w:line="266" w:lineRule="auto"/>
        <w:ind w:left="839" w:right="115"/>
      </w:pPr>
      <w:r>
        <w:rPr>
          <w:color w:val="010202"/>
        </w:rPr>
        <w:t>or smartphones that support face-to-face</w:t>
      </w:r>
      <w:r>
        <w:rPr>
          <w:color w:val="010202"/>
          <w:spacing w:val="1"/>
        </w:rPr>
        <w:t> </w:t>
      </w:r>
      <w:r>
        <w:rPr>
          <w:color w:val="010202"/>
        </w:rPr>
        <w:t>videoconferencing or eHealth app services.</w:t>
      </w:r>
      <w:r>
        <w:rPr>
          <w:color w:val="010202"/>
          <w:spacing w:val="1"/>
        </w:rPr>
        <w:t> </w:t>
      </w:r>
      <w:r>
        <w:rPr>
          <w:color w:val="010202"/>
        </w:rPr>
        <w:t>Technical difficulties, such as low image</w:t>
      </w:r>
      <w:r>
        <w:rPr>
          <w:color w:val="010202"/>
          <w:spacing w:val="1"/>
        </w:rPr>
        <w:t> </w:t>
      </w:r>
      <w:r>
        <w:rPr>
          <w:color w:val="010202"/>
        </w:rPr>
        <w:t>resolution, audio delays, or other glitches in</w:t>
      </w:r>
      <w:r>
        <w:rPr>
          <w:color w:val="010202"/>
          <w:spacing w:val="1"/>
        </w:rPr>
        <w:t> </w:t>
      </w:r>
      <w:r>
        <w:rPr>
          <w:color w:val="010202"/>
          <w:spacing w:val="-2"/>
        </w:rPr>
        <w:t>communication </w:t>
      </w:r>
      <w:r>
        <w:rPr>
          <w:color w:val="010202"/>
          <w:spacing w:val="-1"/>
        </w:rPr>
        <w:t>can disrupt the regular flow of</w:t>
      </w:r>
      <w:r>
        <w:rPr>
          <w:color w:val="010202"/>
        </w:rPr>
        <w:t> </w:t>
      </w:r>
      <w:r>
        <w:rPr>
          <w:color w:val="010202"/>
          <w:w w:val="95"/>
        </w:rPr>
        <w:t>conversation</w:t>
      </w:r>
      <w:r>
        <w:rPr>
          <w:color w:val="010202"/>
          <w:spacing w:val="9"/>
          <w:w w:val="95"/>
        </w:rPr>
        <w:t> </w:t>
      </w:r>
      <w:r>
        <w:rPr>
          <w:color w:val="010202"/>
          <w:w w:val="95"/>
        </w:rPr>
        <w:t>between</w:t>
      </w:r>
      <w:r>
        <w:rPr>
          <w:color w:val="010202"/>
          <w:spacing w:val="9"/>
          <w:w w:val="95"/>
        </w:rPr>
        <w:t> </w:t>
      </w:r>
      <w:r>
        <w:rPr>
          <w:color w:val="010202"/>
          <w:w w:val="95"/>
        </w:rPr>
        <w:t>the</w:t>
      </w:r>
      <w:r>
        <w:rPr>
          <w:color w:val="010202"/>
          <w:spacing w:val="9"/>
          <w:w w:val="95"/>
        </w:rPr>
        <w:t> </w:t>
      </w:r>
      <w:r>
        <w:rPr>
          <w:color w:val="010202"/>
          <w:w w:val="95"/>
        </w:rPr>
        <w:t>provider</w:t>
      </w:r>
      <w:r>
        <w:rPr>
          <w:color w:val="010202"/>
          <w:spacing w:val="9"/>
          <w:w w:val="95"/>
        </w:rPr>
        <w:t> </w:t>
      </w:r>
      <w:r>
        <w:rPr>
          <w:color w:val="010202"/>
          <w:w w:val="95"/>
        </w:rPr>
        <w:t>and</w:t>
      </w:r>
      <w:r>
        <w:rPr>
          <w:color w:val="010202"/>
          <w:spacing w:val="9"/>
          <w:w w:val="95"/>
        </w:rPr>
        <w:t> </w:t>
      </w:r>
      <w:r>
        <w:rPr>
          <w:color w:val="010202"/>
          <w:w w:val="95"/>
        </w:rPr>
        <w:t>client.</w:t>
      </w:r>
      <w:r>
        <w:rPr>
          <w:color w:val="010202"/>
          <w:w w:val="95"/>
          <w:vertAlign w:val="superscript"/>
        </w:rPr>
        <w:t>4,</w:t>
      </w:r>
      <w:r>
        <w:rPr>
          <w:color w:val="010202"/>
          <w:spacing w:val="-17"/>
          <w:w w:val="95"/>
          <w:vertAlign w:val="baseline"/>
        </w:rPr>
        <w:t> </w:t>
      </w:r>
      <w:r>
        <w:rPr>
          <w:color w:val="010202"/>
          <w:w w:val="95"/>
          <w:vertAlign w:val="superscript"/>
        </w:rPr>
        <w:t>5</w:t>
      </w:r>
    </w:p>
    <w:p>
      <w:pPr>
        <w:pStyle w:val="ListParagraph"/>
        <w:numPr>
          <w:ilvl w:val="0"/>
          <w:numId w:val="51"/>
        </w:numPr>
        <w:tabs>
          <w:tab w:pos="1199" w:val="left" w:leader="none"/>
          <w:tab w:pos="1200" w:val="left" w:leader="none"/>
        </w:tabs>
        <w:spacing w:line="249" w:lineRule="auto" w:before="9" w:after="0"/>
        <w:ind w:left="1199" w:right="466" w:hanging="360"/>
        <w:jc w:val="left"/>
        <w:rPr>
          <w:sz w:val="22"/>
        </w:rPr>
      </w:pPr>
      <w:r>
        <w:rPr>
          <w:color w:val="010202"/>
          <w:sz w:val="22"/>
        </w:rPr>
        <w:t>Providers can supply devices and signal</w:t>
      </w:r>
      <w:r>
        <w:rPr>
          <w:color w:val="010202"/>
          <w:spacing w:val="-52"/>
          <w:sz w:val="22"/>
        </w:rPr>
        <w:t> </w:t>
      </w:r>
      <w:r>
        <w:rPr>
          <w:color w:val="010202"/>
          <w:sz w:val="22"/>
        </w:rPr>
        <w:t>boosters to clients who need them.</w:t>
      </w:r>
      <w:r>
        <w:rPr>
          <w:color w:val="010202"/>
          <w:sz w:val="22"/>
          <w:vertAlign w:val="superscript"/>
        </w:rPr>
        <w:t>6</w:t>
      </w:r>
      <w:r>
        <w:rPr>
          <w:color w:val="010202"/>
          <w:spacing w:val="1"/>
          <w:sz w:val="22"/>
          <w:vertAlign w:val="baseline"/>
        </w:rPr>
        <w:t> </w:t>
      </w:r>
      <w:r>
        <w:rPr>
          <w:color w:val="010202"/>
          <w:sz w:val="22"/>
          <w:vertAlign w:val="baseline"/>
        </w:rPr>
        <w:t>However,</w:t>
      </w:r>
      <w:r>
        <w:rPr>
          <w:color w:val="010202"/>
          <w:spacing w:val="-1"/>
          <w:sz w:val="22"/>
          <w:vertAlign w:val="baseline"/>
        </w:rPr>
        <w:t> </w:t>
      </w:r>
      <w:r>
        <w:rPr>
          <w:color w:val="010202"/>
          <w:sz w:val="22"/>
          <w:vertAlign w:val="baseline"/>
        </w:rPr>
        <w:t>purchasing</w:t>
      </w:r>
      <w:r>
        <w:rPr>
          <w:color w:val="010202"/>
          <w:spacing w:val="-1"/>
          <w:sz w:val="22"/>
          <w:vertAlign w:val="baseline"/>
        </w:rPr>
        <w:t> </w:t>
      </w:r>
      <w:r>
        <w:rPr>
          <w:color w:val="010202"/>
          <w:sz w:val="22"/>
          <w:vertAlign w:val="baseline"/>
        </w:rPr>
        <w:t>phones</w:t>
      </w:r>
      <w:r>
        <w:rPr>
          <w:color w:val="010202"/>
          <w:spacing w:val="-1"/>
          <w:sz w:val="22"/>
          <w:vertAlign w:val="baseline"/>
        </w:rPr>
        <w:t> </w:t>
      </w:r>
      <w:r>
        <w:rPr>
          <w:color w:val="010202"/>
          <w:sz w:val="22"/>
          <w:vertAlign w:val="baseline"/>
        </w:rPr>
        <w:t>and</w:t>
      </w:r>
    </w:p>
    <w:p>
      <w:pPr>
        <w:pStyle w:val="BodyText"/>
        <w:spacing w:before="91"/>
        <w:ind w:left="1199"/>
      </w:pPr>
      <w:r>
        <w:rPr/>
        <w:br w:type="column"/>
      </w:r>
      <w:r>
        <w:rPr>
          <w:color w:val="010202"/>
        </w:rPr>
        <w:t>maintaining</w:t>
      </w:r>
      <w:r>
        <w:rPr>
          <w:color w:val="010202"/>
          <w:spacing w:val="-1"/>
        </w:rPr>
        <w:t> </w:t>
      </w:r>
      <w:r>
        <w:rPr>
          <w:color w:val="010202"/>
        </w:rPr>
        <w:t>Internet access involves</w:t>
      </w:r>
    </w:p>
    <w:p>
      <w:pPr>
        <w:pStyle w:val="BodyText"/>
        <w:spacing w:line="251" w:lineRule="exact" w:before="11"/>
        <w:ind w:left="1199"/>
      </w:pPr>
      <w:r>
        <w:rPr>
          <w:color w:val="010202"/>
        </w:rPr>
        <w:t>significant</w:t>
      </w:r>
      <w:r>
        <w:rPr>
          <w:color w:val="010202"/>
          <w:spacing w:val="-8"/>
        </w:rPr>
        <w:t> </w:t>
      </w:r>
      <w:r>
        <w:rPr>
          <w:color w:val="010202"/>
        </w:rPr>
        <w:t>start-up</w:t>
      </w:r>
      <w:r>
        <w:rPr>
          <w:color w:val="010202"/>
          <w:spacing w:val="-8"/>
        </w:rPr>
        <w:t> </w:t>
      </w:r>
      <w:r>
        <w:rPr>
          <w:color w:val="010202"/>
        </w:rPr>
        <w:t>and</w:t>
      </w:r>
      <w:r>
        <w:rPr>
          <w:color w:val="010202"/>
          <w:spacing w:val="-6"/>
        </w:rPr>
        <w:t> </w:t>
      </w:r>
      <w:r>
        <w:rPr>
          <w:color w:val="010202"/>
        </w:rPr>
        <w:t>maintenance</w:t>
      </w:r>
      <w:r>
        <w:rPr>
          <w:color w:val="010202"/>
          <w:spacing w:val="-7"/>
        </w:rPr>
        <w:t> </w:t>
      </w:r>
      <w:r>
        <w:rPr>
          <w:color w:val="010202"/>
        </w:rPr>
        <w:t>costs.</w:t>
      </w:r>
      <w:r>
        <w:rPr>
          <w:color w:val="010202"/>
          <w:vertAlign w:val="superscript"/>
        </w:rPr>
        <w:t>7</w:t>
      </w:r>
    </w:p>
    <w:p>
      <w:pPr>
        <w:pStyle w:val="ListParagraph"/>
        <w:numPr>
          <w:ilvl w:val="0"/>
          <w:numId w:val="51"/>
        </w:numPr>
        <w:tabs>
          <w:tab w:pos="1199" w:val="left" w:leader="none"/>
          <w:tab w:pos="1200" w:val="left" w:leader="none"/>
        </w:tabs>
        <w:spacing w:line="249" w:lineRule="auto" w:before="0" w:after="0"/>
        <w:ind w:left="1199" w:right="1152" w:hanging="360"/>
        <w:jc w:val="left"/>
        <w:rPr>
          <w:sz w:val="22"/>
        </w:rPr>
      </w:pPr>
      <w:r>
        <w:rPr>
          <w:color w:val="010202"/>
          <w:sz w:val="22"/>
        </w:rPr>
        <w:t>Clients who do not have smartphones,</w:t>
      </w:r>
      <w:r>
        <w:rPr>
          <w:color w:val="010202"/>
          <w:spacing w:val="1"/>
          <w:sz w:val="22"/>
        </w:rPr>
        <w:t> </w:t>
      </w:r>
      <w:r>
        <w:rPr>
          <w:color w:val="010202"/>
          <w:sz w:val="22"/>
        </w:rPr>
        <w:t>tablets,</w:t>
      </w:r>
      <w:r>
        <w:rPr>
          <w:color w:val="010202"/>
          <w:spacing w:val="10"/>
          <w:sz w:val="22"/>
        </w:rPr>
        <w:t> </w:t>
      </w:r>
      <w:r>
        <w:rPr>
          <w:color w:val="010202"/>
          <w:sz w:val="22"/>
        </w:rPr>
        <w:t>or</w:t>
      </w:r>
      <w:r>
        <w:rPr>
          <w:color w:val="010202"/>
          <w:spacing w:val="10"/>
          <w:sz w:val="22"/>
        </w:rPr>
        <w:t> </w:t>
      </w:r>
      <w:r>
        <w:rPr>
          <w:color w:val="010202"/>
          <w:sz w:val="22"/>
        </w:rPr>
        <w:t>computers</w:t>
      </w:r>
      <w:r>
        <w:rPr>
          <w:color w:val="010202"/>
          <w:spacing w:val="10"/>
          <w:sz w:val="22"/>
        </w:rPr>
        <w:t> </w:t>
      </w:r>
      <w:r>
        <w:rPr>
          <w:color w:val="010202"/>
          <w:sz w:val="22"/>
        </w:rPr>
        <w:t>have</w:t>
      </w:r>
      <w:r>
        <w:rPr>
          <w:color w:val="010202"/>
          <w:spacing w:val="10"/>
          <w:sz w:val="22"/>
        </w:rPr>
        <w:t> </w:t>
      </w:r>
      <w:r>
        <w:rPr>
          <w:color w:val="010202"/>
          <w:sz w:val="22"/>
        </w:rPr>
        <w:t>reported</w:t>
      </w:r>
      <w:r>
        <w:rPr>
          <w:color w:val="010202"/>
          <w:spacing w:val="1"/>
          <w:sz w:val="22"/>
        </w:rPr>
        <w:t> </w:t>
      </w:r>
      <w:r>
        <w:rPr>
          <w:color w:val="010202"/>
          <w:sz w:val="22"/>
        </w:rPr>
        <w:t>high satisfaction using the telephone for</w:t>
      </w:r>
      <w:r>
        <w:rPr>
          <w:color w:val="010202"/>
          <w:spacing w:val="-52"/>
          <w:sz w:val="22"/>
        </w:rPr>
        <w:t> </w:t>
      </w:r>
      <w:r>
        <w:rPr>
          <w:color w:val="010202"/>
          <w:w w:val="95"/>
          <w:sz w:val="22"/>
        </w:rPr>
        <w:t>psychotherapy.</w:t>
      </w:r>
      <w:r>
        <w:rPr>
          <w:color w:val="010202"/>
          <w:w w:val="95"/>
          <w:sz w:val="22"/>
          <w:vertAlign w:val="superscript"/>
        </w:rPr>
        <w:t>8,</w:t>
      </w:r>
      <w:r>
        <w:rPr>
          <w:color w:val="010202"/>
          <w:spacing w:val="-20"/>
          <w:w w:val="95"/>
          <w:sz w:val="22"/>
          <w:vertAlign w:val="baseline"/>
        </w:rPr>
        <w:t> </w:t>
      </w:r>
      <w:r>
        <w:rPr>
          <w:color w:val="010202"/>
          <w:w w:val="95"/>
          <w:sz w:val="22"/>
          <w:vertAlign w:val="superscript"/>
        </w:rPr>
        <w:t>9</w:t>
      </w:r>
    </w:p>
    <w:p>
      <w:pPr>
        <w:pStyle w:val="ListParagraph"/>
        <w:numPr>
          <w:ilvl w:val="0"/>
          <w:numId w:val="13"/>
        </w:numPr>
        <w:tabs>
          <w:tab w:pos="839" w:val="left" w:leader="none"/>
          <w:tab w:pos="840" w:val="left" w:leader="none"/>
        </w:tabs>
        <w:spacing w:line="264" w:lineRule="auto" w:before="0" w:after="0"/>
        <w:ind w:left="839" w:right="968" w:hanging="360"/>
        <w:jc w:val="left"/>
        <w:rPr>
          <w:sz w:val="22"/>
        </w:rPr>
      </w:pPr>
      <w:r>
        <w:rPr>
          <w:b/>
          <w:color w:val="010202"/>
          <w:sz w:val="22"/>
        </w:rPr>
        <w:t>Increase awareness of telehealth </w:t>
      </w:r>
      <w:r>
        <w:rPr>
          <w:color w:val="010202"/>
          <w:sz w:val="22"/>
        </w:rPr>
        <w:t>– Post</w:t>
      </w:r>
      <w:r>
        <w:rPr>
          <w:color w:val="010202"/>
          <w:spacing w:val="1"/>
          <w:sz w:val="22"/>
        </w:rPr>
        <w:t> </w:t>
      </w:r>
      <w:r>
        <w:rPr>
          <w:color w:val="010202"/>
          <w:sz w:val="22"/>
        </w:rPr>
        <w:t>signage about telehealth in waiting or exam</w:t>
      </w:r>
      <w:r>
        <w:rPr>
          <w:color w:val="010202"/>
          <w:spacing w:val="1"/>
          <w:sz w:val="22"/>
        </w:rPr>
        <w:t> </w:t>
      </w:r>
      <w:r>
        <w:rPr>
          <w:color w:val="010202"/>
          <w:sz w:val="22"/>
        </w:rPr>
        <w:t>rooms, share promotional materials during the</w:t>
      </w:r>
      <w:r>
        <w:rPr>
          <w:color w:val="010202"/>
          <w:spacing w:val="-52"/>
          <w:sz w:val="22"/>
        </w:rPr>
        <w:t> </w:t>
      </w:r>
      <w:r>
        <w:rPr>
          <w:color w:val="010202"/>
          <w:sz w:val="22"/>
        </w:rPr>
        <w:t>visit or as part of the after-visit summary, or</w:t>
      </w:r>
      <w:r>
        <w:rPr>
          <w:color w:val="010202"/>
          <w:spacing w:val="1"/>
          <w:sz w:val="22"/>
        </w:rPr>
        <w:t> </w:t>
      </w:r>
      <w:r>
        <w:rPr>
          <w:color w:val="010202"/>
          <w:sz w:val="22"/>
        </w:rPr>
        <w:t>provide</w:t>
      </w:r>
      <w:r>
        <w:rPr>
          <w:color w:val="010202"/>
          <w:spacing w:val="-1"/>
          <w:sz w:val="22"/>
        </w:rPr>
        <w:t> </w:t>
      </w:r>
      <w:r>
        <w:rPr>
          <w:color w:val="010202"/>
          <w:sz w:val="22"/>
        </w:rPr>
        <w:t>telehealth demonstrations.</w:t>
      </w:r>
      <w:r>
        <w:rPr>
          <w:color w:val="010202"/>
          <w:sz w:val="22"/>
          <w:vertAlign w:val="superscript"/>
        </w:rPr>
        <w:t>3</w:t>
      </w:r>
    </w:p>
    <w:p>
      <w:pPr>
        <w:pStyle w:val="BodyText"/>
        <w:spacing w:line="266" w:lineRule="auto" w:before="186"/>
        <w:ind w:left="119" w:right="713"/>
      </w:pPr>
      <w:r>
        <w:rPr>
          <w:b/>
          <w:color w:val="231F20"/>
        </w:rPr>
        <w:t>Discuss the individual-level benefits of telehealth </w:t>
      </w:r>
      <w:r>
        <w:rPr>
          <w:color w:val="231F20"/>
        </w:rPr>
        <w:t>–</w:t>
      </w:r>
      <w:r>
        <w:rPr>
          <w:color w:val="231F20"/>
          <w:spacing w:val="1"/>
        </w:rPr>
        <w:t> </w:t>
      </w:r>
      <w:r>
        <w:rPr>
          <w:color w:val="231F20"/>
        </w:rPr>
        <w:t>Clients may experience benefits that go beyond SMI or</w:t>
      </w:r>
      <w:r>
        <w:rPr>
          <w:color w:val="231F20"/>
          <w:spacing w:val="1"/>
        </w:rPr>
        <w:t> </w:t>
      </w:r>
      <w:r>
        <w:rPr>
          <w:color w:val="231F20"/>
        </w:rPr>
        <w:t>SUD outcomes. For example, for clients who experience</w:t>
      </w:r>
      <w:r>
        <w:rPr>
          <w:color w:val="231F20"/>
          <w:spacing w:val="-52"/>
        </w:rPr>
        <w:t> </w:t>
      </w:r>
      <w:r>
        <w:rPr>
          <w:color w:val="231F20"/>
        </w:rPr>
        <w:t>physical limitations (e.g., chronic pain or mobility-</w:t>
      </w:r>
      <w:r>
        <w:rPr>
          <w:color w:val="231F20"/>
          <w:spacing w:val="1"/>
        </w:rPr>
        <w:t> </w:t>
      </w:r>
      <w:r>
        <w:rPr>
          <w:color w:val="231F20"/>
        </w:rPr>
        <w:t>related challenges), have panic disorders, or are more</w:t>
      </w:r>
      <w:r>
        <w:rPr>
          <w:color w:val="231F20"/>
          <w:spacing w:val="1"/>
        </w:rPr>
        <w:t> </w:t>
      </w:r>
      <w:r>
        <w:rPr>
          <w:color w:val="231F20"/>
          <w:spacing w:val="-1"/>
        </w:rPr>
        <w:t>comfortable</w:t>
      </w:r>
      <w:r>
        <w:rPr>
          <w:color w:val="231F20"/>
          <w:spacing w:val="-12"/>
        </w:rPr>
        <w:t> </w:t>
      </w:r>
      <w:r>
        <w:rPr>
          <w:color w:val="231F20"/>
          <w:spacing w:val="-1"/>
        </w:rPr>
        <w:t>in</w:t>
      </w:r>
      <w:r>
        <w:rPr>
          <w:color w:val="231F20"/>
          <w:spacing w:val="-12"/>
        </w:rPr>
        <w:t> </w:t>
      </w:r>
      <w:r>
        <w:rPr>
          <w:color w:val="231F20"/>
          <w:spacing w:val="-1"/>
        </w:rPr>
        <w:t>environments</w:t>
      </w:r>
      <w:r>
        <w:rPr>
          <w:color w:val="231F20"/>
          <w:spacing w:val="-11"/>
        </w:rPr>
        <w:t> </w:t>
      </w:r>
      <w:r>
        <w:rPr>
          <w:color w:val="231F20"/>
        </w:rPr>
        <w:t>they</w:t>
      </w:r>
      <w:r>
        <w:rPr>
          <w:color w:val="231F20"/>
          <w:spacing w:val="-12"/>
        </w:rPr>
        <w:t> </w:t>
      </w:r>
      <w:r>
        <w:rPr>
          <w:color w:val="231F20"/>
        </w:rPr>
        <w:t>can</w:t>
      </w:r>
      <w:r>
        <w:rPr>
          <w:color w:val="231F20"/>
          <w:spacing w:val="-12"/>
        </w:rPr>
        <w:t> </w:t>
      </w:r>
      <w:r>
        <w:rPr>
          <w:color w:val="231F20"/>
        </w:rPr>
        <w:t>predict</w:t>
      </w:r>
      <w:r>
        <w:rPr>
          <w:color w:val="231F20"/>
          <w:spacing w:val="-11"/>
        </w:rPr>
        <w:t> </w:t>
      </w:r>
      <w:r>
        <w:rPr>
          <w:color w:val="231F20"/>
        </w:rPr>
        <w:t>and</w:t>
      </w:r>
      <w:r>
        <w:rPr>
          <w:color w:val="231F20"/>
          <w:spacing w:val="-12"/>
        </w:rPr>
        <w:t> </w:t>
      </w:r>
      <w:r>
        <w:rPr>
          <w:color w:val="231F20"/>
        </w:rPr>
        <w:t>control,</w:t>
      </w:r>
      <w:r>
        <w:rPr>
          <w:color w:val="231F20"/>
          <w:spacing w:val="-52"/>
        </w:rPr>
        <w:t> </w:t>
      </w:r>
      <w:r>
        <w:rPr>
          <w:color w:val="231F20"/>
        </w:rPr>
        <w:t>telehealth modalities can help them focus on their care in</w:t>
      </w:r>
      <w:r>
        <w:rPr>
          <w:color w:val="231F20"/>
          <w:spacing w:val="-52"/>
        </w:rPr>
        <w:t> </w:t>
      </w:r>
      <w:r>
        <w:rPr>
          <w:color w:val="231F20"/>
        </w:rPr>
        <w:t>a</w:t>
      </w:r>
      <w:r>
        <w:rPr>
          <w:color w:val="231F20"/>
          <w:spacing w:val="-6"/>
        </w:rPr>
        <w:t> </w:t>
      </w:r>
      <w:r>
        <w:rPr>
          <w:color w:val="231F20"/>
        </w:rPr>
        <w:t>safe</w:t>
      </w:r>
      <w:r>
        <w:rPr>
          <w:color w:val="231F20"/>
          <w:spacing w:val="-6"/>
        </w:rPr>
        <w:t> </w:t>
      </w:r>
      <w:r>
        <w:rPr>
          <w:color w:val="231F20"/>
        </w:rPr>
        <w:t>and</w:t>
      </w:r>
      <w:r>
        <w:rPr>
          <w:color w:val="231F20"/>
          <w:spacing w:val="-6"/>
        </w:rPr>
        <w:t> </w:t>
      </w:r>
      <w:r>
        <w:rPr>
          <w:color w:val="231F20"/>
        </w:rPr>
        <w:t>comfortable</w:t>
      </w:r>
      <w:r>
        <w:rPr>
          <w:color w:val="231F20"/>
          <w:spacing w:val="-6"/>
        </w:rPr>
        <w:t> </w:t>
      </w:r>
      <w:r>
        <w:rPr>
          <w:color w:val="231F20"/>
        </w:rPr>
        <w:t>setting</w:t>
      </w:r>
      <w:r>
        <w:rPr>
          <w:color w:val="231F20"/>
          <w:spacing w:val="-6"/>
        </w:rPr>
        <w:t> </w:t>
      </w:r>
      <w:r>
        <w:rPr>
          <w:color w:val="231F20"/>
        </w:rPr>
        <w:t>of</w:t>
      </w:r>
      <w:r>
        <w:rPr>
          <w:color w:val="231F20"/>
          <w:spacing w:val="-6"/>
        </w:rPr>
        <w:t> </w:t>
      </w:r>
      <w:r>
        <w:rPr>
          <w:color w:val="231F20"/>
        </w:rPr>
        <w:t>their</w:t>
      </w:r>
      <w:r>
        <w:rPr>
          <w:color w:val="231F20"/>
          <w:spacing w:val="-6"/>
        </w:rPr>
        <w:t> </w:t>
      </w:r>
      <w:r>
        <w:rPr>
          <w:color w:val="231F20"/>
        </w:rPr>
        <w:t>choosing.</w:t>
      </w:r>
    </w:p>
    <w:p>
      <w:pPr>
        <w:pStyle w:val="ListParagraph"/>
        <w:numPr>
          <w:ilvl w:val="0"/>
          <w:numId w:val="13"/>
        </w:numPr>
        <w:tabs>
          <w:tab w:pos="839" w:val="left" w:leader="none"/>
          <w:tab w:pos="840" w:val="left" w:leader="none"/>
        </w:tabs>
        <w:spacing w:line="264" w:lineRule="auto" w:before="158" w:after="0"/>
        <w:ind w:left="839" w:right="976" w:hanging="360"/>
        <w:jc w:val="left"/>
        <w:rPr>
          <w:sz w:val="22"/>
        </w:rPr>
      </w:pPr>
      <w:r>
        <w:rPr>
          <w:b/>
          <w:color w:val="010202"/>
          <w:sz w:val="22"/>
        </w:rPr>
        <w:t>Conduct a health technology trial-run </w:t>
      </w:r>
      <w:r>
        <w:rPr>
          <w:color w:val="010202"/>
          <w:sz w:val="22"/>
        </w:rPr>
        <w:t>–</w:t>
      </w:r>
      <w:r>
        <w:rPr>
          <w:color w:val="010202"/>
          <w:spacing w:val="1"/>
          <w:sz w:val="22"/>
        </w:rPr>
        <w:t> </w:t>
      </w:r>
      <w:r>
        <w:rPr>
          <w:color w:val="010202"/>
          <w:sz w:val="22"/>
        </w:rPr>
        <w:t>While many technologies are designed to be</w:t>
      </w:r>
      <w:r>
        <w:rPr>
          <w:color w:val="010202"/>
          <w:spacing w:val="1"/>
          <w:sz w:val="22"/>
        </w:rPr>
        <w:t> </w:t>
      </w:r>
      <w:r>
        <w:rPr>
          <w:color w:val="010202"/>
          <w:sz w:val="22"/>
        </w:rPr>
        <w:t>easy to use, people who have less comfort</w:t>
      </w:r>
      <w:r>
        <w:rPr>
          <w:color w:val="010202"/>
          <w:spacing w:val="1"/>
          <w:sz w:val="22"/>
        </w:rPr>
        <w:t> </w:t>
      </w:r>
      <w:r>
        <w:rPr>
          <w:color w:val="010202"/>
          <w:sz w:val="22"/>
        </w:rPr>
        <w:t>with technology may struggle with telehealth</w:t>
      </w:r>
      <w:r>
        <w:rPr>
          <w:color w:val="010202"/>
          <w:spacing w:val="1"/>
          <w:sz w:val="22"/>
        </w:rPr>
        <w:t> </w:t>
      </w:r>
      <w:r>
        <w:rPr>
          <w:color w:val="010202"/>
          <w:spacing w:val="-1"/>
          <w:sz w:val="22"/>
        </w:rPr>
        <w:t>platforms,</w:t>
      </w:r>
      <w:r>
        <w:rPr>
          <w:color w:val="010202"/>
          <w:spacing w:val="-13"/>
          <w:sz w:val="22"/>
        </w:rPr>
        <w:t> </w:t>
      </w:r>
      <w:r>
        <w:rPr>
          <w:color w:val="010202"/>
          <w:spacing w:val="-1"/>
          <w:sz w:val="22"/>
        </w:rPr>
        <w:t>devices,</w:t>
      </w:r>
      <w:r>
        <w:rPr>
          <w:color w:val="010202"/>
          <w:spacing w:val="-12"/>
          <w:sz w:val="22"/>
        </w:rPr>
        <w:t> </w:t>
      </w:r>
      <w:r>
        <w:rPr>
          <w:color w:val="010202"/>
          <w:sz w:val="22"/>
        </w:rPr>
        <w:t>and</w:t>
      </w:r>
      <w:r>
        <w:rPr>
          <w:color w:val="010202"/>
          <w:spacing w:val="-13"/>
          <w:sz w:val="22"/>
        </w:rPr>
        <w:t> </w:t>
      </w:r>
      <w:r>
        <w:rPr>
          <w:color w:val="010202"/>
          <w:sz w:val="22"/>
        </w:rPr>
        <w:t>applications</w:t>
      </w:r>
      <w:r>
        <w:rPr>
          <w:color w:val="010202"/>
          <w:spacing w:val="-12"/>
          <w:sz w:val="22"/>
        </w:rPr>
        <w:t> </w:t>
      </w:r>
      <w:r>
        <w:rPr>
          <w:color w:val="010202"/>
          <w:sz w:val="22"/>
        </w:rPr>
        <w:t>and</w:t>
      </w:r>
      <w:r>
        <w:rPr>
          <w:color w:val="010202"/>
          <w:spacing w:val="-12"/>
          <w:sz w:val="22"/>
        </w:rPr>
        <w:t> </w:t>
      </w:r>
      <w:r>
        <w:rPr>
          <w:color w:val="010202"/>
          <w:sz w:val="22"/>
        </w:rPr>
        <w:t>worry</w:t>
      </w:r>
      <w:r>
        <w:rPr>
          <w:color w:val="010202"/>
          <w:spacing w:val="-52"/>
          <w:sz w:val="22"/>
        </w:rPr>
        <w:t> </w:t>
      </w:r>
      <w:r>
        <w:rPr>
          <w:color w:val="010202"/>
          <w:spacing w:val="-1"/>
          <w:sz w:val="22"/>
        </w:rPr>
        <w:t>about technical problems that could occur.</w:t>
      </w:r>
      <w:r>
        <w:rPr>
          <w:color w:val="010202"/>
          <w:spacing w:val="-1"/>
          <w:sz w:val="22"/>
          <w:vertAlign w:val="superscript"/>
        </w:rPr>
        <w:t>10-12</w:t>
      </w:r>
      <w:r>
        <w:rPr>
          <w:color w:val="010202"/>
          <w:spacing w:val="-52"/>
          <w:sz w:val="22"/>
          <w:vertAlign w:val="baseline"/>
        </w:rPr>
        <w:t> </w:t>
      </w:r>
      <w:r>
        <w:rPr>
          <w:color w:val="010202"/>
          <w:spacing w:val="-1"/>
          <w:sz w:val="22"/>
          <w:vertAlign w:val="baseline"/>
        </w:rPr>
        <w:t>Test</w:t>
      </w:r>
      <w:r>
        <w:rPr>
          <w:color w:val="010202"/>
          <w:spacing w:val="-13"/>
          <w:sz w:val="22"/>
          <w:vertAlign w:val="baseline"/>
        </w:rPr>
        <w:t> </w:t>
      </w:r>
      <w:r>
        <w:rPr>
          <w:color w:val="010202"/>
          <w:spacing w:val="-1"/>
          <w:sz w:val="22"/>
          <w:vertAlign w:val="baseline"/>
        </w:rPr>
        <w:t>the</w:t>
      </w:r>
      <w:r>
        <w:rPr>
          <w:color w:val="010202"/>
          <w:spacing w:val="-12"/>
          <w:sz w:val="22"/>
          <w:vertAlign w:val="baseline"/>
        </w:rPr>
        <w:t> </w:t>
      </w:r>
      <w:r>
        <w:rPr>
          <w:color w:val="010202"/>
          <w:spacing w:val="-1"/>
          <w:sz w:val="22"/>
          <w:vertAlign w:val="baseline"/>
        </w:rPr>
        <w:t>connection</w:t>
      </w:r>
      <w:r>
        <w:rPr>
          <w:color w:val="010202"/>
          <w:spacing w:val="-12"/>
          <w:sz w:val="22"/>
          <w:vertAlign w:val="baseline"/>
        </w:rPr>
        <w:t> </w:t>
      </w:r>
      <w:r>
        <w:rPr>
          <w:color w:val="010202"/>
          <w:sz w:val="22"/>
          <w:vertAlign w:val="baseline"/>
        </w:rPr>
        <w:t>and</w:t>
      </w:r>
      <w:r>
        <w:rPr>
          <w:color w:val="010202"/>
          <w:spacing w:val="-12"/>
          <w:sz w:val="22"/>
          <w:vertAlign w:val="baseline"/>
        </w:rPr>
        <w:t> </w:t>
      </w:r>
      <w:r>
        <w:rPr>
          <w:color w:val="010202"/>
          <w:sz w:val="22"/>
          <w:vertAlign w:val="baseline"/>
        </w:rPr>
        <w:t>interface</w:t>
      </w:r>
      <w:r>
        <w:rPr>
          <w:color w:val="010202"/>
          <w:spacing w:val="-12"/>
          <w:sz w:val="22"/>
          <w:vertAlign w:val="baseline"/>
        </w:rPr>
        <w:t> </w:t>
      </w:r>
      <w:r>
        <w:rPr>
          <w:color w:val="010202"/>
          <w:sz w:val="22"/>
          <w:vertAlign w:val="baseline"/>
        </w:rPr>
        <w:t>before</w:t>
      </w:r>
      <w:r>
        <w:rPr>
          <w:color w:val="010202"/>
          <w:spacing w:val="-12"/>
          <w:sz w:val="22"/>
          <w:vertAlign w:val="baseline"/>
        </w:rPr>
        <w:t> </w:t>
      </w:r>
      <w:r>
        <w:rPr>
          <w:color w:val="010202"/>
          <w:sz w:val="22"/>
          <w:vertAlign w:val="baseline"/>
        </w:rPr>
        <w:t>a</w:t>
      </w:r>
      <w:r>
        <w:rPr>
          <w:color w:val="010202"/>
          <w:spacing w:val="-12"/>
          <w:sz w:val="22"/>
          <w:vertAlign w:val="baseline"/>
        </w:rPr>
        <w:t> </w:t>
      </w:r>
      <w:r>
        <w:rPr>
          <w:color w:val="010202"/>
          <w:sz w:val="22"/>
          <w:vertAlign w:val="baseline"/>
        </w:rPr>
        <w:t>first</w:t>
      </w:r>
    </w:p>
    <w:p>
      <w:pPr>
        <w:pStyle w:val="BodyText"/>
        <w:spacing w:line="266" w:lineRule="auto" w:before="10"/>
        <w:ind w:left="839" w:right="739"/>
      </w:pPr>
      <w:r>
        <w:rPr>
          <w:color w:val="010202"/>
        </w:rPr>
        <w:t>session</w:t>
      </w:r>
      <w:r>
        <w:rPr>
          <w:color w:val="010202"/>
          <w:spacing w:val="-14"/>
        </w:rPr>
        <w:t> </w:t>
      </w:r>
      <w:r>
        <w:rPr>
          <w:color w:val="010202"/>
        </w:rPr>
        <w:t>to</w:t>
      </w:r>
      <w:r>
        <w:rPr>
          <w:color w:val="010202"/>
          <w:spacing w:val="-13"/>
        </w:rPr>
        <w:t> </w:t>
      </w:r>
      <w:r>
        <w:rPr>
          <w:color w:val="010202"/>
        </w:rPr>
        <w:t>reduce</w:t>
      </w:r>
      <w:r>
        <w:rPr>
          <w:color w:val="010202"/>
          <w:spacing w:val="-14"/>
        </w:rPr>
        <w:t> </w:t>
      </w:r>
      <w:r>
        <w:rPr>
          <w:color w:val="010202"/>
        </w:rPr>
        <w:t>technology</w:t>
      </w:r>
      <w:r>
        <w:rPr>
          <w:color w:val="010202"/>
          <w:spacing w:val="-13"/>
        </w:rPr>
        <w:t> </w:t>
      </w:r>
      <w:r>
        <w:rPr>
          <w:color w:val="010202"/>
        </w:rPr>
        <w:t>anxiety</w:t>
      </w:r>
      <w:r>
        <w:rPr>
          <w:color w:val="010202"/>
          <w:spacing w:val="-13"/>
        </w:rPr>
        <w:t> </w:t>
      </w:r>
      <w:r>
        <w:rPr>
          <w:color w:val="010202"/>
        </w:rPr>
        <w:t>and</w:t>
      </w:r>
      <w:r>
        <w:rPr>
          <w:color w:val="010202"/>
          <w:spacing w:val="-14"/>
        </w:rPr>
        <w:t> </w:t>
      </w:r>
      <w:r>
        <w:rPr>
          <w:color w:val="010202"/>
        </w:rPr>
        <w:t>manage</w:t>
      </w:r>
      <w:r>
        <w:rPr>
          <w:color w:val="010202"/>
          <w:spacing w:val="-52"/>
        </w:rPr>
        <w:t> </w:t>
      </w:r>
      <w:r>
        <w:rPr>
          <w:color w:val="010202"/>
          <w:w w:val="95"/>
        </w:rPr>
        <w:t>minor</w:t>
      </w:r>
      <w:r>
        <w:rPr>
          <w:color w:val="010202"/>
          <w:spacing w:val="13"/>
          <w:w w:val="95"/>
        </w:rPr>
        <w:t> </w:t>
      </w:r>
      <w:r>
        <w:rPr>
          <w:color w:val="010202"/>
          <w:w w:val="95"/>
        </w:rPr>
        <w:t>issues.</w:t>
      </w:r>
      <w:r>
        <w:rPr>
          <w:color w:val="010202"/>
          <w:w w:val="95"/>
          <w:vertAlign w:val="superscript"/>
        </w:rPr>
        <w:t>13</w:t>
      </w:r>
      <w:r>
        <w:rPr>
          <w:color w:val="010202"/>
          <w:spacing w:val="3"/>
          <w:w w:val="95"/>
          <w:vertAlign w:val="baseline"/>
        </w:rPr>
        <w:t> </w:t>
      </w:r>
      <w:r>
        <w:rPr>
          <w:color w:val="010202"/>
          <w:w w:val="95"/>
          <w:vertAlign w:val="baseline"/>
        </w:rPr>
        <w:t>Assign</w:t>
      </w:r>
      <w:r>
        <w:rPr>
          <w:color w:val="010202"/>
          <w:spacing w:val="14"/>
          <w:w w:val="95"/>
          <w:vertAlign w:val="baseline"/>
        </w:rPr>
        <w:t> </w:t>
      </w:r>
      <w:r>
        <w:rPr>
          <w:color w:val="010202"/>
          <w:w w:val="95"/>
          <w:vertAlign w:val="baseline"/>
        </w:rPr>
        <w:t>an</w:t>
      </w:r>
      <w:r>
        <w:rPr>
          <w:color w:val="010202"/>
          <w:spacing w:val="13"/>
          <w:w w:val="95"/>
          <w:vertAlign w:val="baseline"/>
        </w:rPr>
        <w:t> </w:t>
      </w:r>
      <w:r>
        <w:rPr>
          <w:color w:val="010202"/>
          <w:w w:val="95"/>
          <w:vertAlign w:val="baseline"/>
        </w:rPr>
        <w:t>IT</w:t>
      </w:r>
      <w:r>
        <w:rPr>
          <w:color w:val="010202"/>
          <w:spacing w:val="10"/>
          <w:w w:val="95"/>
          <w:vertAlign w:val="baseline"/>
        </w:rPr>
        <w:t> </w:t>
      </w:r>
      <w:r>
        <w:rPr>
          <w:color w:val="010202"/>
          <w:w w:val="95"/>
          <w:vertAlign w:val="baseline"/>
        </w:rPr>
        <w:t>or</w:t>
      </w:r>
      <w:r>
        <w:rPr>
          <w:color w:val="010202"/>
          <w:spacing w:val="14"/>
          <w:w w:val="95"/>
          <w:vertAlign w:val="baseline"/>
        </w:rPr>
        <w:t> </w:t>
      </w:r>
      <w:r>
        <w:rPr>
          <w:color w:val="010202"/>
          <w:w w:val="95"/>
          <w:vertAlign w:val="baseline"/>
        </w:rPr>
        <w:t>other</w:t>
      </w:r>
      <w:r>
        <w:rPr>
          <w:color w:val="010202"/>
          <w:spacing w:val="14"/>
          <w:w w:val="95"/>
          <w:vertAlign w:val="baseline"/>
        </w:rPr>
        <w:t> </w:t>
      </w:r>
      <w:r>
        <w:rPr>
          <w:color w:val="010202"/>
          <w:w w:val="95"/>
          <w:vertAlign w:val="baseline"/>
        </w:rPr>
        <w:t>staff</w:t>
      </w:r>
      <w:r>
        <w:rPr>
          <w:color w:val="010202"/>
          <w:spacing w:val="1"/>
          <w:w w:val="95"/>
          <w:vertAlign w:val="baseline"/>
        </w:rPr>
        <w:t> </w:t>
      </w:r>
      <w:r>
        <w:rPr>
          <w:color w:val="010202"/>
          <w:vertAlign w:val="baseline"/>
        </w:rPr>
        <w:t>member to set up a brief pre-appointment with</w:t>
      </w:r>
      <w:r>
        <w:rPr>
          <w:color w:val="010202"/>
          <w:spacing w:val="1"/>
          <w:vertAlign w:val="baseline"/>
        </w:rPr>
        <w:t> </w:t>
      </w:r>
      <w:r>
        <w:rPr>
          <w:color w:val="010202"/>
          <w:vertAlign w:val="baseline"/>
        </w:rPr>
        <w:t>the client to work through the functionalities of</w:t>
      </w:r>
      <w:r>
        <w:rPr>
          <w:color w:val="010202"/>
          <w:spacing w:val="1"/>
          <w:vertAlign w:val="baseline"/>
        </w:rPr>
        <w:t> </w:t>
      </w:r>
      <w:r>
        <w:rPr>
          <w:color w:val="010202"/>
          <w:vertAlign w:val="baseline"/>
        </w:rPr>
        <w:t>their telehealth appointment and help the client</w:t>
      </w:r>
      <w:r>
        <w:rPr>
          <w:color w:val="010202"/>
          <w:spacing w:val="1"/>
          <w:vertAlign w:val="baseline"/>
        </w:rPr>
        <w:t> </w:t>
      </w:r>
      <w:r>
        <w:rPr>
          <w:color w:val="010202"/>
          <w:spacing w:val="-1"/>
          <w:vertAlign w:val="baseline"/>
        </w:rPr>
        <w:t>overcome any challenges. This staff member </w:t>
      </w:r>
      <w:r>
        <w:rPr>
          <w:color w:val="010202"/>
          <w:vertAlign w:val="baseline"/>
        </w:rPr>
        <w:t>can</w:t>
      </w:r>
      <w:r>
        <w:rPr>
          <w:color w:val="010202"/>
          <w:spacing w:val="-52"/>
          <w:vertAlign w:val="baseline"/>
        </w:rPr>
        <w:t> </w:t>
      </w:r>
      <w:r>
        <w:rPr>
          <w:color w:val="010202"/>
          <w:vertAlign w:val="baseline"/>
        </w:rPr>
        <w:t>demonstrate how to use the program or app and</w:t>
      </w:r>
      <w:r>
        <w:rPr>
          <w:color w:val="010202"/>
          <w:spacing w:val="1"/>
          <w:vertAlign w:val="baseline"/>
        </w:rPr>
        <w:t> </w:t>
      </w:r>
      <w:r>
        <w:rPr>
          <w:color w:val="010202"/>
          <w:vertAlign w:val="baseline"/>
        </w:rPr>
        <w:t>give</w:t>
      </w:r>
      <w:r>
        <w:rPr>
          <w:color w:val="010202"/>
          <w:spacing w:val="-10"/>
          <w:vertAlign w:val="baseline"/>
        </w:rPr>
        <w:t> </w:t>
      </w:r>
      <w:r>
        <w:rPr>
          <w:color w:val="010202"/>
          <w:vertAlign w:val="baseline"/>
        </w:rPr>
        <w:t>tips</w:t>
      </w:r>
      <w:r>
        <w:rPr>
          <w:color w:val="010202"/>
          <w:spacing w:val="-9"/>
          <w:vertAlign w:val="baseline"/>
        </w:rPr>
        <w:t> </w:t>
      </w:r>
      <w:r>
        <w:rPr>
          <w:color w:val="010202"/>
          <w:vertAlign w:val="baseline"/>
        </w:rPr>
        <w:t>about</w:t>
      </w:r>
      <w:r>
        <w:rPr>
          <w:color w:val="010202"/>
          <w:spacing w:val="-9"/>
          <w:vertAlign w:val="baseline"/>
        </w:rPr>
        <w:t> </w:t>
      </w:r>
      <w:r>
        <w:rPr>
          <w:color w:val="010202"/>
          <w:vertAlign w:val="baseline"/>
        </w:rPr>
        <w:t>how</w:t>
      </w:r>
      <w:r>
        <w:rPr>
          <w:color w:val="010202"/>
          <w:spacing w:val="-9"/>
          <w:vertAlign w:val="baseline"/>
        </w:rPr>
        <w:t> </w:t>
      </w:r>
      <w:r>
        <w:rPr>
          <w:color w:val="010202"/>
          <w:vertAlign w:val="baseline"/>
        </w:rPr>
        <w:t>to</w:t>
      </w:r>
      <w:r>
        <w:rPr>
          <w:color w:val="010202"/>
          <w:spacing w:val="-9"/>
          <w:vertAlign w:val="baseline"/>
        </w:rPr>
        <w:t> </w:t>
      </w:r>
      <w:r>
        <w:rPr>
          <w:color w:val="010202"/>
          <w:vertAlign w:val="baseline"/>
        </w:rPr>
        <w:t>use</w:t>
      </w:r>
      <w:r>
        <w:rPr>
          <w:color w:val="010202"/>
          <w:spacing w:val="-9"/>
          <w:vertAlign w:val="baseline"/>
        </w:rPr>
        <w:t> </w:t>
      </w:r>
      <w:r>
        <w:rPr>
          <w:color w:val="010202"/>
          <w:vertAlign w:val="baseline"/>
        </w:rPr>
        <w:t>the</w:t>
      </w:r>
      <w:r>
        <w:rPr>
          <w:color w:val="010202"/>
          <w:spacing w:val="-9"/>
          <w:vertAlign w:val="baseline"/>
        </w:rPr>
        <w:t> </w:t>
      </w:r>
      <w:r>
        <w:rPr>
          <w:color w:val="010202"/>
          <w:vertAlign w:val="baseline"/>
        </w:rPr>
        <w:t>device</w:t>
      </w:r>
      <w:r>
        <w:rPr>
          <w:color w:val="010202"/>
          <w:spacing w:val="-9"/>
          <w:vertAlign w:val="baseline"/>
        </w:rPr>
        <w:t> </w:t>
      </w:r>
      <w:r>
        <w:rPr>
          <w:color w:val="010202"/>
          <w:vertAlign w:val="baseline"/>
        </w:rPr>
        <w:t>to</w:t>
      </w:r>
      <w:r>
        <w:rPr>
          <w:color w:val="010202"/>
          <w:spacing w:val="-9"/>
          <w:vertAlign w:val="baseline"/>
        </w:rPr>
        <w:t> </w:t>
      </w:r>
      <w:r>
        <w:rPr>
          <w:color w:val="010202"/>
          <w:vertAlign w:val="baseline"/>
        </w:rPr>
        <w:t>interface</w:t>
      </w:r>
      <w:r>
        <w:rPr>
          <w:color w:val="010202"/>
          <w:spacing w:val="1"/>
          <w:vertAlign w:val="baseline"/>
        </w:rPr>
        <w:t> </w:t>
      </w:r>
      <w:r>
        <w:rPr>
          <w:color w:val="010202"/>
          <w:vertAlign w:val="baseline"/>
        </w:rPr>
        <w:t>with the program (e.g., how to effectively “tap”</w:t>
      </w:r>
      <w:r>
        <w:rPr>
          <w:color w:val="010202"/>
          <w:spacing w:val="1"/>
          <w:vertAlign w:val="baseline"/>
        </w:rPr>
        <w:t> </w:t>
      </w:r>
      <w:r>
        <w:rPr>
          <w:color w:val="010202"/>
          <w:vertAlign w:val="baseline"/>
        </w:rPr>
        <w:t>to press start or stop), how to use the camera,</w:t>
      </w:r>
      <w:r>
        <w:rPr>
          <w:color w:val="010202"/>
          <w:spacing w:val="1"/>
          <w:vertAlign w:val="baseline"/>
        </w:rPr>
        <w:t> </w:t>
      </w:r>
      <w:r>
        <w:rPr>
          <w:color w:val="010202"/>
          <w:vertAlign w:val="baseline"/>
        </w:rPr>
        <w:t>how to record or view recordings, and how to</w:t>
      </w:r>
      <w:r>
        <w:rPr>
          <w:color w:val="010202"/>
          <w:spacing w:val="1"/>
          <w:vertAlign w:val="baseline"/>
        </w:rPr>
        <w:t> </w:t>
      </w:r>
      <w:r>
        <w:rPr>
          <w:color w:val="010202"/>
          <w:vertAlign w:val="baseline"/>
        </w:rPr>
        <w:t>upload</w:t>
      </w:r>
      <w:r>
        <w:rPr>
          <w:color w:val="010202"/>
          <w:spacing w:val="-5"/>
          <w:vertAlign w:val="baseline"/>
        </w:rPr>
        <w:t> </w:t>
      </w:r>
      <w:r>
        <w:rPr>
          <w:color w:val="010202"/>
          <w:vertAlign w:val="baseline"/>
        </w:rPr>
        <w:t>and</w:t>
      </w:r>
      <w:r>
        <w:rPr>
          <w:color w:val="010202"/>
          <w:spacing w:val="-4"/>
          <w:vertAlign w:val="baseline"/>
        </w:rPr>
        <w:t> </w:t>
      </w:r>
      <w:r>
        <w:rPr>
          <w:color w:val="010202"/>
          <w:vertAlign w:val="baseline"/>
        </w:rPr>
        <w:t>delete</w:t>
      </w:r>
      <w:r>
        <w:rPr>
          <w:color w:val="010202"/>
          <w:spacing w:val="-5"/>
          <w:vertAlign w:val="baseline"/>
        </w:rPr>
        <w:t> </w:t>
      </w:r>
      <w:r>
        <w:rPr>
          <w:color w:val="010202"/>
          <w:vertAlign w:val="baseline"/>
        </w:rPr>
        <w:t>files.</w:t>
      </w:r>
      <w:r>
        <w:rPr>
          <w:color w:val="010202"/>
          <w:vertAlign w:val="superscript"/>
        </w:rPr>
        <w:t>14</w:t>
      </w:r>
    </w:p>
    <w:p>
      <w:pPr>
        <w:pStyle w:val="ListParagraph"/>
        <w:numPr>
          <w:ilvl w:val="0"/>
          <w:numId w:val="13"/>
        </w:numPr>
        <w:tabs>
          <w:tab w:pos="839" w:val="left" w:leader="none"/>
          <w:tab w:pos="840" w:val="left" w:leader="none"/>
        </w:tabs>
        <w:spacing w:line="266" w:lineRule="auto" w:before="21" w:after="0"/>
        <w:ind w:left="839" w:right="836" w:hanging="360"/>
        <w:jc w:val="left"/>
        <w:rPr>
          <w:sz w:val="22"/>
        </w:rPr>
      </w:pPr>
      <w:r>
        <w:rPr>
          <w:b/>
          <w:color w:val="010202"/>
          <w:sz w:val="22"/>
        </w:rPr>
        <w:t>“Let’s try it and see if you like it” </w:t>
      </w:r>
      <w:r>
        <w:rPr>
          <w:color w:val="010202"/>
          <w:sz w:val="22"/>
        </w:rPr>
        <w:t>– Prior to</w:t>
      </w:r>
      <w:r>
        <w:rPr>
          <w:color w:val="010202"/>
          <w:spacing w:val="1"/>
          <w:sz w:val="22"/>
        </w:rPr>
        <w:t> </w:t>
      </w:r>
      <w:r>
        <w:rPr>
          <w:color w:val="010202"/>
          <w:sz w:val="22"/>
        </w:rPr>
        <w:t>engaging</w:t>
      </w:r>
      <w:r>
        <w:rPr>
          <w:color w:val="010202"/>
          <w:spacing w:val="1"/>
          <w:sz w:val="22"/>
        </w:rPr>
        <w:t> </w:t>
      </w:r>
      <w:r>
        <w:rPr>
          <w:color w:val="010202"/>
          <w:sz w:val="22"/>
        </w:rPr>
        <w:t>in</w:t>
      </w:r>
      <w:r>
        <w:rPr>
          <w:color w:val="010202"/>
          <w:spacing w:val="1"/>
          <w:sz w:val="22"/>
        </w:rPr>
        <w:t> </w:t>
      </w:r>
      <w:r>
        <w:rPr>
          <w:color w:val="010202"/>
          <w:sz w:val="22"/>
        </w:rPr>
        <w:t>telehealth,</w:t>
      </w:r>
      <w:r>
        <w:rPr>
          <w:color w:val="010202"/>
          <w:spacing w:val="2"/>
          <w:sz w:val="22"/>
        </w:rPr>
        <w:t> </w:t>
      </w:r>
      <w:r>
        <w:rPr>
          <w:color w:val="010202"/>
          <w:sz w:val="22"/>
        </w:rPr>
        <w:t>clients</w:t>
      </w:r>
      <w:r>
        <w:rPr>
          <w:color w:val="010202"/>
          <w:spacing w:val="1"/>
          <w:sz w:val="22"/>
        </w:rPr>
        <w:t> </w:t>
      </w:r>
      <w:r>
        <w:rPr>
          <w:color w:val="010202"/>
          <w:sz w:val="22"/>
        </w:rPr>
        <w:t>may</w:t>
      </w:r>
      <w:r>
        <w:rPr>
          <w:color w:val="010202"/>
          <w:spacing w:val="1"/>
          <w:sz w:val="22"/>
        </w:rPr>
        <w:t> </w:t>
      </w:r>
      <w:r>
        <w:rPr>
          <w:color w:val="010202"/>
          <w:sz w:val="22"/>
        </w:rPr>
        <w:t>have</w:t>
      </w:r>
      <w:r>
        <w:rPr>
          <w:color w:val="010202"/>
          <w:spacing w:val="2"/>
          <w:sz w:val="22"/>
        </w:rPr>
        <w:t> </w:t>
      </w:r>
      <w:r>
        <w:rPr>
          <w:color w:val="010202"/>
          <w:sz w:val="22"/>
        </w:rPr>
        <w:t>fears</w:t>
      </w:r>
      <w:r>
        <w:rPr>
          <w:color w:val="010202"/>
          <w:spacing w:val="1"/>
          <w:sz w:val="22"/>
        </w:rPr>
        <w:t> </w:t>
      </w:r>
      <w:r>
        <w:rPr>
          <w:color w:val="010202"/>
          <w:sz w:val="22"/>
        </w:rPr>
        <w:t>or concerns about the experience and the care</w:t>
      </w:r>
      <w:r>
        <w:rPr>
          <w:color w:val="010202"/>
          <w:spacing w:val="1"/>
          <w:sz w:val="22"/>
        </w:rPr>
        <w:t> </w:t>
      </w:r>
      <w:r>
        <w:rPr>
          <w:color w:val="010202"/>
          <w:sz w:val="22"/>
        </w:rPr>
        <w:t>they</w:t>
      </w:r>
      <w:r>
        <w:rPr>
          <w:color w:val="010202"/>
          <w:spacing w:val="-4"/>
          <w:sz w:val="22"/>
        </w:rPr>
        <w:t> </w:t>
      </w:r>
      <w:r>
        <w:rPr>
          <w:color w:val="010202"/>
          <w:sz w:val="22"/>
        </w:rPr>
        <w:t>will</w:t>
      </w:r>
      <w:r>
        <w:rPr>
          <w:color w:val="010202"/>
          <w:spacing w:val="-4"/>
          <w:sz w:val="22"/>
        </w:rPr>
        <w:t> </w:t>
      </w:r>
      <w:r>
        <w:rPr>
          <w:color w:val="010202"/>
          <w:sz w:val="22"/>
        </w:rPr>
        <w:t>receive</w:t>
      </w:r>
      <w:r>
        <w:rPr>
          <w:color w:val="010202"/>
          <w:spacing w:val="-4"/>
          <w:sz w:val="22"/>
        </w:rPr>
        <w:t> </w:t>
      </w:r>
      <w:r>
        <w:rPr>
          <w:color w:val="010202"/>
          <w:sz w:val="22"/>
        </w:rPr>
        <w:t>in</w:t>
      </w:r>
      <w:r>
        <w:rPr>
          <w:color w:val="010202"/>
          <w:spacing w:val="-4"/>
          <w:sz w:val="22"/>
        </w:rPr>
        <w:t> </w:t>
      </w:r>
      <w:r>
        <w:rPr>
          <w:color w:val="010202"/>
          <w:sz w:val="22"/>
        </w:rPr>
        <w:t>a</w:t>
      </w:r>
      <w:r>
        <w:rPr>
          <w:color w:val="010202"/>
          <w:spacing w:val="-4"/>
          <w:sz w:val="22"/>
        </w:rPr>
        <w:t> </w:t>
      </w:r>
      <w:r>
        <w:rPr>
          <w:color w:val="010202"/>
          <w:sz w:val="22"/>
        </w:rPr>
        <w:t>virtual</w:t>
      </w:r>
      <w:r>
        <w:rPr>
          <w:color w:val="010202"/>
          <w:spacing w:val="-3"/>
          <w:sz w:val="22"/>
        </w:rPr>
        <w:t> </w:t>
      </w:r>
      <w:r>
        <w:rPr>
          <w:color w:val="010202"/>
          <w:sz w:val="22"/>
        </w:rPr>
        <w:t>format.</w:t>
      </w:r>
      <w:r>
        <w:rPr>
          <w:color w:val="010202"/>
          <w:spacing w:val="-9"/>
          <w:sz w:val="22"/>
        </w:rPr>
        <w:t> </w:t>
      </w:r>
      <w:r>
        <w:rPr>
          <w:color w:val="010202"/>
          <w:sz w:val="22"/>
        </w:rPr>
        <w:t>Testing</w:t>
      </w:r>
      <w:r>
        <w:rPr>
          <w:color w:val="010202"/>
          <w:spacing w:val="-4"/>
          <w:sz w:val="22"/>
        </w:rPr>
        <w:t> </w:t>
      </w:r>
      <w:r>
        <w:rPr>
          <w:color w:val="010202"/>
          <w:sz w:val="22"/>
        </w:rPr>
        <w:t>out</w:t>
      </w:r>
      <w:r>
        <w:rPr>
          <w:color w:val="010202"/>
          <w:spacing w:val="-52"/>
          <w:sz w:val="22"/>
        </w:rPr>
        <w:t> </w:t>
      </w:r>
      <w:r>
        <w:rPr>
          <w:color w:val="010202"/>
          <w:sz w:val="22"/>
        </w:rPr>
        <w:t>the technology, encouraging clients to try out</w:t>
      </w:r>
      <w:r>
        <w:rPr>
          <w:color w:val="010202"/>
          <w:spacing w:val="1"/>
          <w:sz w:val="22"/>
        </w:rPr>
        <w:t> </w:t>
      </w:r>
      <w:r>
        <w:rPr>
          <w:color w:val="010202"/>
          <w:sz w:val="22"/>
        </w:rPr>
        <w:t>various synchronous forms of communication,</w:t>
      </w:r>
      <w:r>
        <w:rPr>
          <w:color w:val="010202"/>
          <w:spacing w:val="1"/>
          <w:sz w:val="22"/>
        </w:rPr>
        <w:t> </w:t>
      </w:r>
      <w:r>
        <w:rPr>
          <w:color w:val="010202"/>
          <w:sz w:val="22"/>
        </w:rPr>
        <w:t>and reminding clients that they can discontinue</w:t>
      </w:r>
      <w:r>
        <w:rPr>
          <w:color w:val="010202"/>
          <w:spacing w:val="-52"/>
          <w:sz w:val="22"/>
        </w:rPr>
        <w:t> </w:t>
      </w:r>
      <w:r>
        <w:rPr>
          <w:color w:val="010202"/>
          <w:sz w:val="22"/>
        </w:rPr>
        <w:t>telehealth at any time can support client</w:t>
      </w:r>
      <w:r>
        <w:rPr>
          <w:color w:val="010202"/>
          <w:spacing w:val="1"/>
          <w:sz w:val="22"/>
        </w:rPr>
        <w:t> </w:t>
      </w:r>
      <w:r>
        <w:rPr>
          <w:color w:val="010202"/>
          <w:sz w:val="22"/>
        </w:rPr>
        <w:t>engagement in telehealth visits.</w:t>
      </w:r>
    </w:p>
    <w:p>
      <w:pPr>
        <w:spacing w:after="0" w:line="266" w:lineRule="auto"/>
        <w:jc w:val="left"/>
        <w:rPr>
          <w:sz w:val="22"/>
        </w:rPr>
        <w:sectPr>
          <w:type w:val="continuous"/>
          <w:pgSz w:w="12240" w:h="15840"/>
          <w:pgMar w:header="0" w:footer="666" w:top="1500" w:bottom="0" w:left="600" w:right="0"/>
          <w:cols w:num="2" w:equalWidth="0">
            <w:col w:w="5182" w:space="578"/>
            <w:col w:w="5880"/>
          </w:cols>
        </w:sectPr>
      </w:pPr>
    </w:p>
    <w:p>
      <w:pPr>
        <w:pStyle w:val="BodyText"/>
        <w:rPr>
          <w:sz w:val="20"/>
        </w:rPr>
      </w:pPr>
    </w:p>
    <w:p>
      <w:pPr>
        <w:pStyle w:val="BodyText"/>
        <w:spacing w:before="3"/>
        <w:rPr>
          <w:sz w:val="27"/>
        </w:rPr>
      </w:pPr>
    </w:p>
    <w:p>
      <w:pPr>
        <w:spacing w:after="0"/>
        <w:rPr>
          <w:sz w:val="27"/>
        </w:rPr>
        <w:sectPr>
          <w:pgSz w:w="12240" w:h="15840"/>
          <w:pgMar w:header="0" w:footer="666" w:top="380" w:bottom="860" w:left="600" w:right="0"/>
        </w:sectPr>
      </w:pPr>
    </w:p>
    <w:p>
      <w:pPr>
        <w:pStyle w:val="Heading4"/>
        <w:rPr>
          <w:i/>
        </w:rPr>
      </w:pPr>
      <w:bookmarkStart w:name="Interpersonal Client-Provider Relationsh" w:id="27"/>
      <w:bookmarkEnd w:id="27"/>
      <w:r>
        <w:rPr>
          <w:i w:val="0"/>
        </w:rPr>
      </w:r>
      <w:r>
        <w:rPr>
          <w:i/>
          <w:color w:val="1C384B"/>
        </w:rPr>
        <w:t>Provider-level</w:t>
      </w:r>
    </w:p>
    <w:p>
      <w:pPr>
        <w:pStyle w:val="BodyText"/>
        <w:spacing w:line="264" w:lineRule="auto" w:before="184"/>
        <w:ind w:left="119" w:right="174"/>
        <w:rPr>
          <w:sz w:val="13"/>
        </w:rPr>
      </w:pPr>
      <w:r>
        <w:rPr>
          <w:color w:val="231F20"/>
        </w:rPr>
        <w:t>Provider reticence to adopt telehealth can occur for</w:t>
      </w:r>
      <w:r>
        <w:rPr>
          <w:color w:val="231F20"/>
          <w:spacing w:val="1"/>
        </w:rPr>
        <w:t> </w:t>
      </w:r>
      <w:r>
        <w:rPr>
          <w:color w:val="231F20"/>
        </w:rPr>
        <w:t>several reasons, including concerns related to poor</w:t>
      </w:r>
      <w:r>
        <w:rPr>
          <w:color w:val="231F20"/>
          <w:spacing w:val="1"/>
        </w:rPr>
        <w:t> </w:t>
      </w:r>
      <w:r>
        <w:rPr>
          <w:color w:val="231F20"/>
        </w:rPr>
        <w:t>therapeutic relationship, less commitment from the</w:t>
      </w:r>
      <w:r>
        <w:rPr>
          <w:color w:val="231F20"/>
          <w:spacing w:val="1"/>
        </w:rPr>
        <w:t> </w:t>
      </w:r>
      <w:r>
        <w:rPr>
          <w:color w:val="231F20"/>
        </w:rPr>
        <w:t>client</w:t>
      </w:r>
      <w:r>
        <w:rPr>
          <w:color w:val="231F20"/>
          <w:spacing w:val="-10"/>
        </w:rPr>
        <w:t> </w:t>
      </w:r>
      <w:r>
        <w:rPr>
          <w:color w:val="231F20"/>
        </w:rPr>
        <w:t>to</w:t>
      </w:r>
      <w:r>
        <w:rPr>
          <w:color w:val="231F20"/>
          <w:spacing w:val="-10"/>
        </w:rPr>
        <w:t> </w:t>
      </w:r>
      <w:r>
        <w:rPr>
          <w:color w:val="231F20"/>
        </w:rPr>
        <w:t>therapy,</w:t>
      </w:r>
      <w:r>
        <w:rPr>
          <w:color w:val="231F20"/>
          <w:spacing w:val="-10"/>
        </w:rPr>
        <w:t> </w:t>
      </w:r>
      <w:r>
        <w:rPr>
          <w:color w:val="231F20"/>
        </w:rPr>
        <w:t>and</w:t>
      </w:r>
      <w:r>
        <w:rPr>
          <w:color w:val="231F20"/>
          <w:spacing w:val="-10"/>
        </w:rPr>
        <w:t> </w:t>
      </w:r>
      <w:r>
        <w:rPr>
          <w:color w:val="231F20"/>
        </w:rPr>
        <w:t>technological</w:t>
      </w:r>
      <w:r>
        <w:rPr>
          <w:color w:val="231F20"/>
          <w:spacing w:val="-10"/>
        </w:rPr>
        <w:t> </w:t>
      </w:r>
      <w:r>
        <w:rPr>
          <w:color w:val="231F20"/>
        </w:rPr>
        <w:t>difficulties</w:t>
      </w:r>
      <w:r>
        <w:rPr>
          <w:color w:val="231F20"/>
          <w:spacing w:val="-10"/>
        </w:rPr>
        <w:t> </w:t>
      </w:r>
      <w:r>
        <w:rPr>
          <w:color w:val="231F20"/>
        </w:rPr>
        <w:t>affecting</w:t>
      </w:r>
      <w:r>
        <w:rPr>
          <w:color w:val="231F20"/>
          <w:spacing w:val="-52"/>
        </w:rPr>
        <w:t> </w:t>
      </w:r>
      <w:r>
        <w:rPr>
          <w:color w:val="231F20"/>
        </w:rPr>
        <w:t>the therapeutic experience.</w:t>
      </w:r>
      <w:r>
        <w:rPr>
          <w:color w:val="231F20"/>
          <w:vertAlign w:val="superscript"/>
        </w:rPr>
        <w:t>15-17</w:t>
      </w:r>
      <w:r>
        <w:rPr>
          <w:color w:val="231F20"/>
          <w:vertAlign w:val="baseline"/>
        </w:rPr>
        <w:t> However, acceptability</w:t>
      </w:r>
      <w:r>
        <w:rPr>
          <w:color w:val="231F20"/>
          <w:spacing w:val="1"/>
          <w:vertAlign w:val="baseline"/>
        </w:rPr>
        <w:t> </w:t>
      </w:r>
      <w:r>
        <w:rPr>
          <w:color w:val="231F20"/>
          <w:vertAlign w:val="baseline"/>
        </w:rPr>
        <w:t>studies have found many benefits to therapy using</w:t>
      </w:r>
      <w:r>
        <w:rPr>
          <w:color w:val="231F20"/>
          <w:spacing w:val="1"/>
          <w:vertAlign w:val="baseline"/>
        </w:rPr>
        <w:t> </w:t>
      </w:r>
      <w:r>
        <w:rPr>
          <w:color w:val="231F20"/>
          <w:position w:val="-6"/>
          <w:vertAlign w:val="baseline"/>
        </w:rPr>
        <w:t>telehealth.</w:t>
      </w:r>
      <w:r>
        <w:rPr>
          <w:color w:val="231F20"/>
          <w:sz w:val="13"/>
          <w:vertAlign w:val="baseline"/>
        </w:rPr>
        <w:t>5,</w:t>
      </w:r>
      <w:r>
        <w:rPr>
          <w:color w:val="231F20"/>
          <w:spacing w:val="-2"/>
          <w:sz w:val="13"/>
          <w:vertAlign w:val="baseline"/>
        </w:rPr>
        <w:t> </w:t>
      </w:r>
      <w:r>
        <w:rPr>
          <w:color w:val="231F20"/>
          <w:sz w:val="13"/>
          <w:vertAlign w:val="baseline"/>
        </w:rPr>
        <w:t>13,</w:t>
      </w:r>
      <w:r>
        <w:rPr>
          <w:color w:val="231F20"/>
          <w:spacing w:val="-1"/>
          <w:sz w:val="13"/>
          <w:vertAlign w:val="baseline"/>
        </w:rPr>
        <w:t> </w:t>
      </w:r>
      <w:r>
        <w:rPr>
          <w:color w:val="231F20"/>
          <w:sz w:val="13"/>
          <w:vertAlign w:val="baseline"/>
        </w:rPr>
        <w:t>15,</w:t>
      </w:r>
      <w:r>
        <w:rPr>
          <w:color w:val="231F20"/>
          <w:spacing w:val="-1"/>
          <w:sz w:val="13"/>
          <w:vertAlign w:val="baseline"/>
        </w:rPr>
        <w:t> </w:t>
      </w:r>
      <w:r>
        <w:rPr>
          <w:color w:val="231F20"/>
          <w:sz w:val="13"/>
          <w:vertAlign w:val="baseline"/>
        </w:rPr>
        <w:t>18-20</w:t>
      </w:r>
    </w:p>
    <w:p>
      <w:pPr>
        <w:spacing w:line="249" w:lineRule="auto" w:before="170"/>
        <w:ind w:left="120" w:right="865" w:firstLine="0"/>
        <w:jc w:val="left"/>
        <w:rPr>
          <w:rFonts w:ascii="Arial"/>
          <w:b/>
          <w:sz w:val="20"/>
        </w:rPr>
      </w:pPr>
      <w:r>
        <w:rPr>
          <w:rFonts w:ascii="Arial"/>
          <w:b/>
          <w:color w:val="010202"/>
          <w:sz w:val="20"/>
        </w:rPr>
        <w:t>Strategies to increase provider comfort with</w:t>
      </w:r>
      <w:r>
        <w:rPr>
          <w:rFonts w:ascii="Arial"/>
          <w:b/>
          <w:color w:val="010202"/>
          <w:spacing w:val="-53"/>
          <w:sz w:val="20"/>
        </w:rPr>
        <w:t> </w:t>
      </w:r>
      <w:r>
        <w:rPr>
          <w:rFonts w:ascii="Arial"/>
          <w:b/>
          <w:color w:val="010202"/>
          <w:sz w:val="20"/>
        </w:rPr>
        <w:t>telehealth</w:t>
      </w:r>
    </w:p>
    <w:p>
      <w:pPr>
        <w:pStyle w:val="ListParagraph"/>
        <w:numPr>
          <w:ilvl w:val="0"/>
          <w:numId w:val="13"/>
        </w:numPr>
        <w:tabs>
          <w:tab w:pos="839" w:val="left" w:leader="none"/>
          <w:tab w:pos="840" w:val="left" w:leader="none"/>
        </w:tabs>
        <w:spacing w:line="264" w:lineRule="auto" w:before="168" w:after="0"/>
        <w:ind w:left="839" w:right="38" w:hanging="360"/>
        <w:jc w:val="left"/>
        <w:rPr>
          <w:sz w:val="22"/>
        </w:rPr>
      </w:pPr>
      <w:r>
        <w:rPr>
          <w:b/>
          <w:color w:val="010202"/>
          <w:sz w:val="22"/>
        </w:rPr>
        <w:t>Review the literature on the efficacy and</w:t>
      </w:r>
      <w:r>
        <w:rPr>
          <w:b/>
          <w:color w:val="010202"/>
          <w:spacing w:val="1"/>
          <w:sz w:val="22"/>
        </w:rPr>
        <w:t> </w:t>
      </w:r>
      <w:r>
        <w:rPr>
          <w:b/>
          <w:color w:val="010202"/>
          <w:sz w:val="22"/>
        </w:rPr>
        <w:t>effectiveness</w:t>
      </w:r>
      <w:r>
        <w:rPr>
          <w:b/>
          <w:color w:val="010202"/>
          <w:spacing w:val="-5"/>
          <w:sz w:val="22"/>
        </w:rPr>
        <w:t> </w:t>
      </w:r>
      <w:r>
        <w:rPr>
          <w:b/>
          <w:color w:val="010202"/>
          <w:sz w:val="22"/>
        </w:rPr>
        <w:t>of</w:t>
      </w:r>
      <w:r>
        <w:rPr>
          <w:b/>
          <w:color w:val="010202"/>
          <w:spacing w:val="-4"/>
          <w:sz w:val="22"/>
        </w:rPr>
        <w:t> </w:t>
      </w:r>
      <w:r>
        <w:rPr>
          <w:b/>
          <w:color w:val="010202"/>
          <w:sz w:val="22"/>
        </w:rPr>
        <w:t>telehealth</w:t>
      </w:r>
      <w:r>
        <w:rPr>
          <w:b/>
          <w:color w:val="010202"/>
          <w:spacing w:val="-6"/>
          <w:sz w:val="22"/>
        </w:rPr>
        <w:t> </w:t>
      </w:r>
      <w:r>
        <w:rPr>
          <w:color w:val="010202"/>
          <w:sz w:val="22"/>
        </w:rPr>
        <w:t>(see</w:t>
      </w:r>
      <w:r>
        <w:rPr>
          <w:color w:val="010202"/>
          <w:spacing w:val="-4"/>
          <w:sz w:val="22"/>
        </w:rPr>
        <w:t> </w:t>
      </w:r>
      <w:r>
        <w:rPr>
          <w:color w:val="010202"/>
          <w:sz w:val="22"/>
        </w:rPr>
        <w:t>Chapters</w:t>
      </w:r>
      <w:r>
        <w:rPr>
          <w:color w:val="010202"/>
          <w:spacing w:val="-5"/>
          <w:sz w:val="22"/>
        </w:rPr>
        <w:t> </w:t>
      </w:r>
      <w:r>
        <w:rPr>
          <w:color w:val="010202"/>
          <w:sz w:val="22"/>
        </w:rPr>
        <w:t>1</w:t>
      </w:r>
      <w:r>
        <w:rPr>
          <w:color w:val="010202"/>
          <w:spacing w:val="-4"/>
          <w:sz w:val="22"/>
        </w:rPr>
        <w:t> </w:t>
      </w:r>
      <w:r>
        <w:rPr>
          <w:color w:val="010202"/>
          <w:sz w:val="22"/>
        </w:rPr>
        <w:t>and</w:t>
      </w:r>
      <w:r>
        <w:rPr>
          <w:color w:val="010202"/>
          <w:spacing w:val="-5"/>
          <w:sz w:val="22"/>
        </w:rPr>
        <w:t> </w:t>
      </w:r>
      <w:r>
        <w:rPr>
          <w:color w:val="010202"/>
          <w:sz w:val="22"/>
        </w:rPr>
        <w:t>2</w:t>
      </w:r>
      <w:r>
        <w:rPr>
          <w:color w:val="010202"/>
          <w:spacing w:val="-52"/>
          <w:sz w:val="22"/>
        </w:rPr>
        <w:t> </w:t>
      </w:r>
      <w:r>
        <w:rPr>
          <w:color w:val="010202"/>
          <w:sz w:val="22"/>
        </w:rPr>
        <w:t>of this guide).</w:t>
      </w:r>
    </w:p>
    <w:p>
      <w:pPr>
        <w:pStyle w:val="ListParagraph"/>
        <w:numPr>
          <w:ilvl w:val="0"/>
          <w:numId w:val="13"/>
        </w:numPr>
        <w:tabs>
          <w:tab w:pos="839" w:val="left" w:leader="none"/>
          <w:tab w:pos="840" w:val="left" w:leader="none"/>
        </w:tabs>
        <w:spacing w:line="264" w:lineRule="auto" w:before="34" w:after="0"/>
        <w:ind w:left="839" w:right="38" w:hanging="360"/>
        <w:jc w:val="left"/>
        <w:rPr>
          <w:sz w:val="22"/>
        </w:rPr>
      </w:pPr>
      <w:r>
        <w:rPr>
          <w:b/>
          <w:color w:val="010202"/>
          <w:sz w:val="22"/>
        </w:rPr>
        <w:t>Provide trainings </w:t>
      </w:r>
      <w:r>
        <w:rPr>
          <w:color w:val="010202"/>
          <w:sz w:val="22"/>
        </w:rPr>
        <w:t>– Increase digital literacy</w:t>
      </w:r>
      <w:r>
        <w:rPr>
          <w:color w:val="010202"/>
          <w:spacing w:val="1"/>
          <w:sz w:val="22"/>
        </w:rPr>
        <w:t> </w:t>
      </w:r>
      <w:r>
        <w:rPr>
          <w:color w:val="010202"/>
          <w:sz w:val="22"/>
        </w:rPr>
        <w:t>through trainings to increase comfort and</w:t>
      </w:r>
      <w:r>
        <w:rPr>
          <w:color w:val="010202"/>
          <w:spacing w:val="1"/>
          <w:sz w:val="22"/>
        </w:rPr>
        <w:t> </w:t>
      </w:r>
      <w:r>
        <w:rPr>
          <w:color w:val="010202"/>
          <w:sz w:val="22"/>
        </w:rPr>
        <w:t>familiarity with various digital platforms. Use</w:t>
      </w:r>
      <w:r>
        <w:rPr>
          <w:color w:val="010202"/>
          <w:spacing w:val="1"/>
          <w:sz w:val="22"/>
        </w:rPr>
        <w:t> </w:t>
      </w:r>
      <w:r>
        <w:rPr>
          <w:color w:val="010202"/>
          <w:sz w:val="22"/>
        </w:rPr>
        <w:t>training time to get input from providers on what</w:t>
      </w:r>
      <w:r>
        <w:rPr>
          <w:color w:val="010202"/>
          <w:spacing w:val="-52"/>
          <w:sz w:val="22"/>
        </w:rPr>
        <w:t> </w:t>
      </w:r>
      <w:r>
        <w:rPr>
          <w:color w:val="010202"/>
          <w:w w:val="95"/>
          <w:sz w:val="22"/>
        </w:rPr>
        <w:t>works</w:t>
      </w:r>
      <w:r>
        <w:rPr>
          <w:color w:val="010202"/>
          <w:spacing w:val="7"/>
          <w:w w:val="95"/>
          <w:sz w:val="22"/>
        </w:rPr>
        <w:t> </w:t>
      </w:r>
      <w:r>
        <w:rPr>
          <w:color w:val="010202"/>
          <w:w w:val="95"/>
          <w:sz w:val="22"/>
        </w:rPr>
        <w:t>and</w:t>
      </w:r>
      <w:r>
        <w:rPr>
          <w:color w:val="010202"/>
          <w:spacing w:val="8"/>
          <w:w w:val="95"/>
          <w:sz w:val="22"/>
        </w:rPr>
        <w:t> </w:t>
      </w:r>
      <w:r>
        <w:rPr>
          <w:color w:val="010202"/>
          <w:w w:val="95"/>
          <w:sz w:val="22"/>
        </w:rPr>
        <w:t>what</w:t>
      </w:r>
      <w:r>
        <w:rPr>
          <w:color w:val="010202"/>
          <w:spacing w:val="7"/>
          <w:w w:val="95"/>
          <w:sz w:val="22"/>
        </w:rPr>
        <w:t> </w:t>
      </w:r>
      <w:r>
        <w:rPr>
          <w:color w:val="010202"/>
          <w:w w:val="95"/>
          <w:sz w:val="22"/>
        </w:rPr>
        <w:t>can</w:t>
      </w:r>
      <w:r>
        <w:rPr>
          <w:color w:val="010202"/>
          <w:spacing w:val="8"/>
          <w:w w:val="95"/>
          <w:sz w:val="22"/>
        </w:rPr>
        <w:t> </w:t>
      </w:r>
      <w:r>
        <w:rPr>
          <w:color w:val="010202"/>
          <w:w w:val="95"/>
          <w:sz w:val="22"/>
        </w:rPr>
        <w:t>be</w:t>
      </w:r>
      <w:r>
        <w:rPr>
          <w:color w:val="010202"/>
          <w:spacing w:val="8"/>
          <w:w w:val="95"/>
          <w:sz w:val="22"/>
        </w:rPr>
        <w:t> </w:t>
      </w:r>
      <w:r>
        <w:rPr>
          <w:color w:val="010202"/>
          <w:w w:val="95"/>
          <w:sz w:val="22"/>
        </w:rPr>
        <w:t>improved.</w:t>
      </w:r>
      <w:r>
        <w:rPr>
          <w:color w:val="010202"/>
          <w:w w:val="95"/>
          <w:sz w:val="22"/>
          <w:vertAlign w:val="superscript"/>
        </w:rPr>
        <w:t>21,</w:t>
      </w:r>
      <w:r>
        <w:rPr>
          <w:color w:val="010202"/>
          <w:spacing w:val="-18"/>
          <w:w w:val="95"/>
          <w:sz w:val="22"/>
          <w:vertAlign w:val="baseline"/>
        </w:rPr>
        <w:t> </w:t>
      </w:r>
      <w:r>
        <w:rPr>
          <w:color w:val="010202"/>
          <w:w w:val="95"/>
          <w:sz w:val="22"/>
          <w:vertAlign w:val="superscript"/>
        </w:rPr>
        <w:t>22</w:t>
      </w:r>
    </w:p>
    <w:p>
      <w:pPr>
        <w:pStyle w:val="ListParagraph"/>
        <w:numPr>
          <w:ilvl w:val="0"/>
          <w:numId w:val="13"/>
        </w:numPr>
        <w:tabs>
          <w:tab w:pos="839" w:val="left" w:leader="none"/>
          <w:tab w:pos="840" w:val="left" w:leader="none"/>
        </w:tabs>
        <w:spacing w:line="266" w:lineRule="auto" w:before="37" w:after="0"/>
        <w:ind w:left="839" w:right="233" w:hanging="360"/>
        <w:jc w:val="left"/>
        <w:rPr>
          <w:sz w:val="22"/>
        </w:rPr>
      </w:pPr>
      <w:r>
        <w:rPr>
          <w:b/>
          <w:color w:val="010202"/>
          <w:sz w:val="22"/>
        </w:rPr>
        <w:t>Identify individual provider-level benefits </w:t>
      </w:r>
      <w:r>
        <w:rPr>
          <w:color w:val="010202"/>
          <w:sz w:val="22"/>
        </w:rPr>
        <w:t>–</w:t>
      </w:r>
      <w:r>
        <w:rPr>
          <w:color w:val="010202"/>
          <w:spacing w:val="-52"/>
          <w:sz w:val="22"/>
        </w:rPr>
        <w:t> </w:t>
      </w:r>
      <w:r>
        <w:rPr>
          <w:color w:val="010202"/>
          <w:sz w:val="22"/>
        </w:rPr>
        <w:t>Individual providers may find that through</w:t>
      </w:r>
      <w:r>
        <w:rPr>
          <w:color w:val="010202"/>
          <w:spacing w:val="1"/>
          <w:sz w:val="22"/>
        </w:rPr>
        <w:t> </w:t>
      </w:r>
      <w:r>
        <w:rPr>
          <w:color w:val="010202"/>
          <w:sz w:val="22"/>
        </w:rPr>
        <w:t>telehealth,</w:t>
      </w:r>
      <w:r>
        <w:rPr>
          <w:color w:val="010202"/>
          <w:spacing w:val="-4"/>
          <w:sz w:val="22"/>
        </w:rPr>
        <w:t> </w:t>
      </w:r>
      <w:r>
        <w:rPr>
          <w:color w:val="010202"/>
          <w:sz w:val="22"/>
        </w:rPr>
        <w:t>they</w:t>
      </w:r>
      <w:r>
        <w:rPr>
          <w:color w:val="010202"/>
          <w:spacing w:val="-3"/>
          <w:sz w:val="22"/>
        </w:rPr>
        <w:t> </w:t>
      </w:r>
      <w:r>
        <w:rPr>
          <w:color w:val="010202"/>
          <w:sz w:val="22"/>
        </w:rPr>
        <w:t>are</w:t>
      </w:r>
      <w:r>
        <w:rPr>
          <w:color w:val="010202"/>
          <w:spacing w:val="-3"/>
          <w:sz w:val="22"/>
        </w:rPr>
        <w:t> </w:t>
      </w:r>
      <w:r>
        <w:rPr>
          <w:color w:val="010202"/>
          <w:sz w:val="22"/>
        </w:rPr>
        <w:t>able</w:t>
      </w:r>
      <w:r>
        <w:rPr>
          <w:color w:val="010202"/>
          <w:spacing w:val="-3"/>
          <w:sz w:val="22"/>
        </w:rPr>
        <w:t> </w:t>
      </w:r>
      <w:r>
        <w:rPr>
          <w:color w:val="010202"/>
          <w:sz w:val="22"/>
        </w:rPr>
        <w:t>to</w:t>
      </w:r>
      <w:r>
        <w:rPr>
          <w:color w:val="010202"/>
          <w:spacing w:val="-3"/>
          <w:sz w:val="22"/>
        </w:rPr>
        <w:t> </w:t>
      </w:r>
      <w:r>
        <w:rPr>
          <w:color w:val="010202"/>
          <w:sz w:val="22"/>
        </w:rPr>
        <w:t>create</w:t>
      </w:r>
      <w:r>
        <w:rPr>
          <w:color w:val="010202"/>
          <w:spacing w:val="-3"/>
          <w:sz w:val="22"/>
        </w:rPr>
        <w:t> </w:t>
      </w:r>
      <w:r>
        <w:rPr>
          <w:color w:val="010202"/>
          <w:sz w:val="22"/>
        </w:rPr>
        <w:t>flexible</w:t>
      </w:r>
      <w:r>
        <w:rPr>
          <w:color w:val="010202"/>
          <w:spacing w:val="-4"/>
          <w:sz w:val="22"/>
        </w:rPr>
        <w:t> </w:t>
      </w:r>
      <w:r>
        <w:rPr>
          <w:color w:val="010202"/>
          <w:sz w:val="22"/>
        </w:rPr>
        <w:t>work</w:t>
      </w:r>
      <w:r>
        <w:rPr>
          <w:color w:val="010202"/>
          <w:spacing w:val="-52"/>
          <w:sz w:val="22"/>
        </w:rPr>
        <w:t> </w:t>
      </w:r>
      <w:r>
        <w:rPr>
          <w:color w:val="010202"/>
          <w:sz w:val="22"/>
        </w:rPr>
        <w:t>schedules, expand the number and kinds of</w:t>
      </w:r>
      <w:r>
        <w:rPr>
          <w:color w:val="010202"/>
          <w:spacing w:val="1"/>
          <w:sz w:val="22"/>
        </w:rPr>
        <w:t> </w:t>
      </w:r>
      <w:r>
        <w:rPr>
          <w:color w:val="010202"/>
          <w:sz w:val="22"/>
        </w:rPr>
        <w:t>clients they work with, and reduce provider</w:t>
      </w:r>
      <w:r>
        <w:rPr>
          <w:color w:val="010202"/>
          <w:spacing w:val="1"/>
          <w:sz w:val="22"/>
        </w:rPr>
        <w:t> </w:t>
      </w:r>
      <w:r>
        <w:rPr>
          <w:color w:val="010202"/>
          <w:sz w:val="22"/>
        </w:rPr>
        <w:t>burnout.</w:t>
      </w:r>
    </w:p>
    <w:p>
      <w:pPr>
        <w:pStyle w:val="ListParagraph"/>
        <w:numPr>
          <w:ilvl w:val="0"/>
          <w:numId w:val="13"/>
        </w:numPr>
        <w:tabs>
          <w:tab w:pos="839" w:val="left" w:leader="none"/>
          <w:tab w:pos="840" w:val="left" w:leader="none"/>
        </w:tabs>
        <w:spacing w:line="264" w:lineRule="auto" w:before="24" w:after="0"/>
        <w:ind w:left="839" w:right="441" w:hanging="360"/>
        <w:jc w:val="left"/>
        <w:rPr>
          <w:sz w:val="22"/>
        </w:rPr>
      </w:pPr>
      <w:r>
        <w:rPr>
          <w:b/>
          <w:color w:val="010202"/>
          <w:sz w:val="22"/>
        </w:rPr>
        <w:t>Engage clinical and IT staff to support</w:t>
      </w:r>
      <w:r>
        <w:rPr>
          <w:b/>
          <w:color w:val="010202"/>
          <w:spacing w:val="1"/>
          <w:sz w:val="22"/>
        </w:rPr>
        <w:t> </w:t>
      </w:r>
      <w:r>
        <w:rPr>
          <w:b/>
          <w:color w:val="010202"/>
          <w:sz w:val="22"/>
        </w:rPr>
        <w:t>telehealth</w:t>
      </w:r>
      <w:r>
        <w:rPr>
          <w:b/>
          <w:color w:val="010202"/>
          <w:spacing w:val="1"/>
          <w:sz w:val="22"/>
        </w:rPr>
        <w:t> </w:t>
      </w:r>
      <w:r>
        <w:rPr>
          <w:color w:val="010202"/>
          <w:sz w:val="22"/>
        </w:rPr>
        <w:t>–</w:t>
      </w:r>
      <w:r>
        <w:rPr>
          <w:color w:val="010202"/>
          <w:spacing w:val="1"/>
          <w:sz w:val="22"/>
        </w:rPr>
        <w:t> </w:t>
      </w:r>
      <w:r>
        <w:rPr>
          <w:color w:val="010202"/>
          <w:sz w:val="22"/>
        </w:rPr>
        <w:t>Using</w:t>
      </w:r>
      <w:r>
        <w:rPr>
          <w:color w:val="010202"/>
          <w:spacing w:val="1"/>
          <w:sz w:val="22"/>
        </w:rPr>
        <w:t> </w:t>
      </w:r>
      <w:r>
        <w:rPr>
          <w:color w:val="010202"/>
          <w:sz w:val="22"/>
        </w:rPr>
        <w:t>telehealth</w:t>
      </w:r>
      <w:r>
        <w:rPr>
          <w:color w:val="010202"/>
          <w:spacing w:val="1"/>
          <w:sz w:val="22"/>
        </w:rPr>
        <w:t> </w:t>
      </w:r>
      <w:r>
        <w:rPr>
          <w:color w:val="010202"/>
          <w:sz w:val="22"/>
        </w:rPr>
        <w:t>coordinators</w:t>
      </w:r>
      <w:r>
        <w:rPr>
          <w:color w:val="010202"/>
          <w:spacing w:val="1"/>
          <w:sz w:val="22"/>
        </w:rPr>
        <w:t> </w:t>
      </w:r>
      <w:r>
        <w:rPr>
          <w:color w:val="010202"/>
          <w:sz w:val="22"/>
        </w:rPr>
        <w:t>or trained medical assistants to schedule and</w:t>
      </w:r>
      <w:r>
        <w:rPr>
          <w:color w:val="010202"/>
          <w:spacing w:val="-52"/>
          <w:sz w:val="22"/>
        </w:rPr>
        <w:t> </w:t>
      </w:r>
      <w:r>
        <w:rPr>
          <w:color w:val="010202"/>
          <w:sz w:val="22"/>
        </w:rPr>
        <w:t>provide reminders for telehealth visits can</w:t>
      </w:r>
      <w:r>
        <w:rPr>
          <w:color w:val="010202"/>
          <w:spacing w:val="1"/>
          <w:sz w:val="22"/>
        </w:rPr>
        <w:t> </w:t>
      </w:r>
      <w:r>
        <w:rPr>
          <w:color w:val="010202"/>
          <w:sz w:val="22"/>
        </w:rPr>
        <w:t>improve no-show rates and provide needed</w:t>
      </w:r>
    </w:p>
    <w:p>
      <w:pPr>
        <w:pStyle w:val="BodyText"/>
        <w:spacing w:line="266" w:lineRule="auto" w:before="6"/>
        <w:ind w:left="839" w:right="78"/>
        <w:jc w:val="both"/>
      </w:pPr>
      <w:r>
        <w:rPr>
          <w:color w:val="010202"/>
        </w:rPr>
        <w:t>technical assistance. Providing available staff to</w:t>
      </w:r>
      <w:r>
        <w:rPr>
          <w:color w:val="010202"/>
          <w:spacing w:val="-52"/>
        </w:rPr>
        <w:t> </w:t>
      </w:r>
      <w:r>
        <w:rPr>
          <w:color w:val="010202"/>
        </w:rPr>
        <w:t>effectively</w:t>
      </w:r>
      <w:r>
        <w:rPr>
          <w:color w:val="010202"/>
          <w:spacing w:val="-10"/>
        </w:rPr>
        <w:t> </w:t>
      </w:r>
      <w:r>
        <w:rPr>
          <w:color w:val="010202"/>
        </w:rPr>
        <w:t>manage</w:t>
      </w:r>
      <w:r>
        <w:rPr>
          <w:color w:val="010202"/>
          <w:spacing w:val="-9"/>
        </w:rPr>
        <w:t> </w:t>
      </w:r>
      <w:r>
        <w:rPr>
          <w:color w:val="010202"/>
        </w:rPr>
        <w:t>technical</w:t>
      </w:r>
      <w:r>
        <w:rPr>
          <w:color w:val="010202"/>
          <w:spacing w:val="-9"/>
        </w:rPr>
        <w:t> </w:t>
      </w:r>
      <w:r>
        <w:rPr>
          <w:color w:val="010202"/>
        </w:rPr>
        <w:t>difficulties</w:t>
      </w:r>
      <w:r>
        <w:rPr>
          <w:color w:val="010202"/>
          <w:spacing w:val="-9"/>
        </w:rPr>
        <w:t> </w:t>
      </w:r>
      <w:r>
        <w:rPr>
          <w:color w:val="010202"/>
        </w:rPr>
        <w:t>can</w:t>
      </w:r>
      <w:r>
        <w:rPr>
          <w:color w:val="010202"/>
          <w:spacing w:val="-9"/>
        </w:rPr>
        <w:t> </w:t>
      </w:r>
      <w:r>
        <w:rPr>
          <w:color w:val="010202"/>
        </w:rPr>
        <w:t>also</w:t>
      </w:r>
      <w:r>
        <w:rPr>
          <w:color w:val="010202"/>
          <w:spacing w:val="-53"/>
        </w:rPr>
        <w:t> </w:t>
      </w:r>
      <w:r>
        <w:rPr>
          <w:color w:val="010202"/>
        </w:rPr>
        <w:t>improve provider acceptance of telehealth.</w:t>
      </w:r>
    </w:p>
    <w:p>
      <w:pPr>
        <w:pStyle w:val="Heading5"/>
        <w:spacing w:line="228" w:lineRule="auto" w:before="187"/>
        <w:ind w:left="119" w:right="643"/>
      </w:pPr>
      <w:r>
        <w:rPr>
          <w:color w:val="CE384B"/>
        </w:rPr>
        <w:t>Interpersonal Client-Provider Relationship</w:t>
      </w:r>
      <w:r>
        <w:rPr>
          <w:color w:val="CE384B"/>
          <w:spacing w:val="-59"/>
        </w:rPr>
        <w:t> </w:t>
      </w:r>
      <w:r>
        <w:rPr>
          <w:color w:val="CE384B"/>
        </w:rPr>
        <w:t>Considerations</w:t>
      </w:r>
    </w:p>
    <w:p>
      <w:pPr>
        <w:pStyle w:val="BodyText"/>
        <w:spacing w:line="266" w:lineRule="auto" w:before="120"/>
        <w:ind w:left="119" w:right="199"/>
      </w:pPr>
      <w:r>
        <w:rPr>
          <w:color w:val="231F20"/>
        </w:rPr>
        <w:t>Client-provider relationships are essential to successful</w:t>
      </w:r>
      <w:r>
        <w:rPr>
          <w:color w:val="231F20"/>
          <w:spacing w:val="-52"/>
        </w:rPr>
        <w:t> </w:t>
      </w:r>
      <w:r>
        <w:rPr>
          <w:color w:val="231F20"/>
        </w:rPr>
        <w:t>SMI</w:t>
      </w:r>
      <w:r>
        <w:rPr>
          <w:color w:val="231F20"/>
          <w:spacing w:val="-1"/>
        </w:rPr>
        <w:t> </w:t>
      </w:r>
      <w:r>
        <w:rPr>
          <w:color w:val="231F20"/>
        </w:rPr>
        <w:t>and</w:t>
      </w:r>
      <w:r>
        <w:rPr>
          <w:color w:val="231F20"/>
          <w:spacing w:val="-1"/>
        </w:rPr>
        <w:t> </w:t>
      </w:r>
      <w:r>
        <w:rPr>
          <w:color w:val="231F20"/>
        </w:rPr>
        <w:t>SUD treatment.</w:t>
      </w:r>
      <w:r>
        <w:rPr>
          <w:color w:val="231F20"/>
          <w:spacing w:val="-1"/>
        </w:rPr>
        <w:t> </w:t>
      </w:r>
      <w:r>
        <w:rPr>
          <w:color w:val="231F20"/>
        </w:rPr>
        <w:t>However,</w:t>
      </w:r>
      <w:r>
        <w:rPr>
          <w:color w:val="231F20"/>
          <w:spacing w:val="-1"/>
        </w:rPr>
        <w:t> </w:t>
      </w:r>
      <w:r>
        <w:rPr>
          <w:color w:val="231F20"/>
        </w:rPr>
        <w:t>telehealth can</w:t>
      </w:r>
    </w:p>
    <w:p>
      <w:pPr>
        <w:pStyle w:val="BodyText"/>
        <w:spacing w:line="266" w:lineRule="auto"/>
        <w:ind w:left="119" w:right="125"/>
      </w:pPr>
      <w:r>
        <w:rPr>
          <w:color w:val="231F20"/>
        </w:rPr>
        <w:t>be challenging to building an effective therapeutic</w:t>
      </w:r>
      <w:r>
        <w:rPr>
          <w:color w:val="231F20"/>
          <w:spacing w:val="1"/>
        </w:rPr>
        <w:t> </w:t>
      </w:r>
      <w:r>
        <w:rPr>
          <w:color w:val="231F20"/>
        </w:rPr>
        <w:t>relationship. Client-provider pre-work (i.e., discussions,</w:t>
      </w:r>
      <w:r>
        <w:rPr>
          <w:color w:val="231F20"/>
          <w:spacing w:val="-52"/>
        </w:rPr>
        <w:t> </w:t>
      </w:r>
      <w:r>
        <w:rPr>
          <w:color w:val="231F20"/>
        </w:rPr>
        <w:t>planning, and training prior to beginning treatment)</w:t>
      </w:r>
    </w:p>
    <w:p>
      <w:pPr>
        <w:pStyle w:val="BodyText"/>
        <w:spacing w:line="266" w:lineRule="auto"/>
        <w:ind w:left="119" w:right="187"/>
      </w:pPr>
      <w:r>
        <w:rPr>
          <w:color w:val="231F20"/>
        </w:rPr>
        <w:t>and special attention to building therapeutic alliances</w:t>
      </w:r>
      <w:r>
        <w:rPr>
          <w:color w:val="231F20"/>
          <w:spacing w:val="1"/>
        </w:rPr>
        <w:t> </w:t>
      </w:r>
      <w:r>
        <w:rPr>
          <w:color w:val="231F20"/>
        </w:rPr>
        <w:t>can help overcome barriers to developing strong client-</w:t>
      </w:r>
      <w:r>
        <w:rPr>
          <w:color w:val="231F20"/>
          <w:spacing w:val="-52"/>
        </w:rPr>
        <w:t> </w:t>
      </w:r>
      <w:r>
        <w:rPr>
          <w:color w:val="231F20"/>
        </w:rPr>
        <w:t>provider relationships.</w:t>
      </w:r>
    </w:p>
    <w:p>
      <w:pPr>
        <w:spacing w:line="249" w:lineRule="auto" w:before="101"/>
        <w:ind w:left="119" w:right="1439" w:firstLine="0"/>
        <w:jc w:val="left"/>
        <w:rPr>
          <w:rFonts w:ascii="Arial"/>
          <w:b/>
          <w:sz w:val="20"/>
        </w:rPr>
      </w:pPr>
      <w:r>
        <w:rPr/>
        <w:br w:type="column"/>
      </w:r>
      <w:r>
        <w:rPr>
          <w:rFonts w:ascii="Arial"/>
          <w:b/>
          <w:color w:val="010202"/>
          <w:sz w:val="20"/>
        </w:rPr>
        <w:t>Strategies for providers to prepare clients for</w:t>
      </w:r>
      <w:r>
        <w:rPr>
          <w:rFonts w:ascii="Arial"/>
          <w:b/>
          <w:color w:val="010202"/>
          <w:spacing w:val="-53"/>
          <w:sz w:val="20"/>
        </w:rPr>
        <w:t> </w:t>
      </w:r>
      <w:r>
        <w:rPr>
          <w:rFonts w:ascii="Arial"/>
          <w:b/>
          <w:color w:val="010202"/>
          <w:sz w:val="20"/>
        </w:rPr>
        <w:t>telehealth</w:t>
      </w:r>
    </w:p>
    <w:p>
      <w:pPr>
        <w:pStyle w:val="ListParagraph"/>
        <w:numPr>
          <w:ilvl w:val="0"/>
          <w:numId w:val="13"/>
        </w:numPr>
        <w:tabs>
          <w:tab w:pos="839" w:val="left" w:leader="none"/>
          <w:tab w:pos="840" w:val="left" w:leader="none"/>
        </w:tabs>
        <w:spacing w:line="266" w:lineRule="auto" w:before="168" w:after="0"/>
        <w:ind w:left="839" w:right="724" w:hanging="360"/>
        <w:jc w:val="left"/>
        <w:rPr>
          <w:sz w:val="22"/>
        </w:rPr>
      </w:pPr>
      <w:r>
        <w:rPr>
          <w:b/>
          <w:color w:val="010202"/>
          <w:sz w:val="22"/>
        </w:rPr>
        <w:t>Assess client for appropriateness to engage in</w:t>
      </w:r>
      <w:r>
        <w:rPr>
          <w:b/>
          <w:color w:val="010202"/>
          <w:spacing w:val="1"/>
          <w:sz w:val="22"/>
        </w:rPr>
        <w:t> </w:t>
      </w:r>
      <w:r>
        <w:rPr>
          <w:b/>
          <w:color w:val="010202"/>
          <w:sz w:val="22"/>
        </w:rPr>
        <w:t>telehealth </w:t>
      </w:r>
      <w:r>
        <w:rPr>
          <w:color w:val="010202"/>
          <w:sz w:val="22"/>
        </w:rPr>
        <w:t>– Relationships between clients and</w:t>
      </w:r>
      <w:r>
        <w:rPr>
          <w:color w:val="010202"/>
          <w:spacing w:val="1"/>
          <w:sz w:val="22"/>
        </w:rPr>
        <w:t> </w:t>
      </w:r>
      <w:r>
        <w:rPr>
          <w:color w:val="010202"/>
          <w:sz w:val="22"/>
        </w:rPr>
        <w:t>providers begin with screening and assessment</w:t>
      </w:r>
      <w:r>
        <w:rPr>
          <w:color w:val="010202"/>
          <w:spacing w:val="1"/>
          <w:sz w:val="22"/>
        </w:rPr>
        <w:t> </w:t>
      </w:r>
      <w:r>
        <w:rPr>
          <w:color w:val="010202"/>
          <w:sz w:val="22"/>
        </w:rPr>
        <w:t>prior to starting treatment or therapy. Telehealth</w:t>
      </w:r>
      <w:r>
        <w:rPr>
          <w:color w:val="010202"/>
          <w:spacing w:val="1"/>
          <w:sz w:val="22"/>
        </w:rPr>
        <w:t> </w:t>
      </w:r>
      <w:r>
        <w:rPr>
          <w:color w:val="010202"/>
          <w:sz w:val="22"/>
        </w:rPr>
        <w:t>modalities may not be appropriate for all clients</w:t>
      </w:r>
      <w:r>
        <w:rPr>
          <w:color w:val="010202"/>
          <w:spacing w:val="1"/>
          <w:sz w:val="22"/>
        </w:rPr>
        <w:t> </w:t>
      </w:r>
      <w:r>
        <w:rPr>
          <w:color w:val="010202"/>
          <w:sz w:val="22"/>
        </w:rPr>
        <w:t>at all points of their treatment plans. Some</w:t>
      </w:r>
      <w:r>
        <w:rPr>
          <w:color w:val="010202"/>
          <w:spacing w:val="1"/>
          <w:sz w:val="22"/>
        </w:rPr>
        <w:t> </w:t>
      </w:r>
      <w:r>
        <w:rPr>
          <w:color w:val="010202"/>
          <w:sz w:val="22"/>
        </w:rPr>
        <w:t>treatment and follow-up care requires in-person</w:t>
      </w:r>
      <w:r>
        <w:rPr>
          <w:color w:val="010202"/>
          <w:spacing w:val="1"/>
          <w:sz w:val="22"/>
        </w:rPr>
        <w:t> </w:t>
      </w:r>
      <w:r>
        <w:rPr>
          <w:color w:val="010202"/>
          <w:sz w:val="22"/>
        </w:rPr>
        <w:t>visits (e.g., urine drug screenings for clients on</w:t>
      </w:r>
      <w:r>
        <w:rPr>
          <w:color w:val="010202"/>
          <w:spacing w:val="1"/>
          <w:sz w:val="22"/>
        </w:rPr>
        <w:t> </w:t>
      </w:r>
      <w:r>
        <w:rPr>
          <w:color w:val="010202"/>
          <w:sz w:val="22"/>
        </w:rPr>
        <w:t>medication for SUD). Some clients may respond</w:t>
      </w:r>
      <w:r>
        <w:rPr>
          <w:color w:val="010202"/>
          <w:spacing w:val="-52"/>
          <w:sz w:val="22"/>
        </w:rPr>
        <w:t> </w:t>
      </w:r>
      <w:r>
        <w:rPr>
          <w:color w:val="010202"/>
          <w:sz w:val="22"/>
        </w:rPr>
        <w:t>differently to in-person versus videoconference</w:t>
      </w:r>
      <w:r>
        <w:rPr>
          <w:color w:val="010202"/>
          <w:spacing w:val="1"/>
          <w:sz w:val="22"/>
        </w:rPr>
        <w:t> </w:t>
      </w:r>
      <w:r>
        <w:rPr>
          <w:color w:val="010202"/>
          <w:sz w:val="22"/>
        </w:rPr>
        <w:t>therapy and may benefit from a hybrid or in-</w:t>
      </w:r>
      <w:r>
        <w:rPr>
          <w:color w:val="010202"/>
          <w:spacing w:val="1"/>
          <w:sz w:val="22"/>
        </w:rPr>
        <w:t> </w:t>
      </w:r>
      <w:r>
        <w:rPr>
          <w:color w:val="010202"/>
          <w:sz w:val="22"/>
        </w:rPr>
        <w:t>person approach. Screening and assessing clients</w:t>
      </w:r>
      <w:r>
        <w:rPr>
          <w:color w:val="010202"/>
          <w:spacing w:val="-52"/>
          <w:sz w:val="22"/>
        </w:rPr>
        <w:t> </w:t>
      </w:r>
      <w:r>
        <w:rPr>
          <w:color w:val="010202"/>
          <w:sz w:val="22"/>
        </w:rPr>
        <w:t>for their readiness to participate in and conduct</w:t>
      </w:r>
      <w:r>
        <w:rPr>
          <w:color w:val="010202"/>
          <w:spacing w:val="1"/>
          <w:sz w:val="22"/>
        </w:rPr>
        <w:t> </w:t>
      </w:r>
      <w:r>
        <w:rPr>
          <w:color w:val="010202"/>
          <w:sz w:val="22"/>
        </w:rPr>
        <w:t>appropriate activities using telehealth modalities</w:t>
      </w:r>
      <w:r>
        <w:rPr>
          <w:color w:val="010202"/>
          <w:spacing w:val="-52"/>
          <w:sz w:val="22"/>
        </w:rPr>
        <w:t> </w:t>
      </w:r>
      <w:r>
        <w:rPr>
          <w:color w:val="010202"/>
          <w:sz w:val="22"/>
        </w:rPr>
        <w:t>can</w:t>
      </w:r>
      <w:r>
        <w:rPr>
          <w:color w:val="010202"/>
          <w:spacing w:val="-2"/>
          <w:sz w:val="22"/>
        </w:rPr>
        <w:t> </w:t>
      </w:r>
      <w:r>
        <w:rPr>
          <w:color w:val="010202"/>
          <w:sz w:val="22"/>
        </w:rPr>
        <w:t>inform</w:t>
      </w:r>
      <w:r>
        <w:rPr>
          <w:color w:val="010202"/>
          <w:spacing w:val="-1"/>
          <w:sz w:val="22"/>
        </w:rPr>
        <w:t> </w:t>
      </w:r>
      <w:r>
        <w:rPr>
          <w:color w:val="010202"/>
          <w:sz w:val="22"/>
        </w:rPr>
        <w:t>both</w:t>
      </w:r>
      <w:r>
        <w:rPr>
          <w:color w:val="010202"/>
          <w:spacing w:val="-1"/>
          <w:sz w:val="22"/>
        </w:rPr>
        <w:t> </w:t>
      </w:r>
      <w:r>
        <w:rPr>
          <w:color w:val="010202"/>
          <w:sz w:val="22"/>
        </w:rPr>
        <w:t>care</w:t>
      </w:r>
      <w:r>
        <w:rPr>
          <w:color w:val="010202"/>
          <w:spacing w:val="-1"/>
          <w:sz w:val="22"/>
        </w:rPr>
        <w:t> </w:t>
      </w:r>
      <w:r>
        <w:rPr>
          <w:color w:val="010202"/>
          <w:sz w:val="22"/>
        </w:rPr>
        <w:t>planning</w:t>
      </w:r>
      <w:r>
        <w:rPr>
          <w:color w:val="010202"/>
          <w:spacing w:val="-1"/>
          <w:sz w:val="22"/>
        </w:rPr>
        <w:t> </w:t>
      </w:r>
      <w:r>
        <w:rPr>
          <w:color w:val="010202"/>
          <w:sz w:val="22"/>
        </w:rPr>
        <w:t>and</w:t>
      </w:r>
      <w:r>
        <w:rPr>
          <w:color w:val="010202"/>
          <w:spacing w:val="-1"/>
          <w:sz w:val="22"/>
        </w:rPr>
        <w:t> </w:t>
      </w:r>
      <w:r>
        <w:rPr>
          <w:color w:val="010202"/>
          <w:sz w:val="22"/>
        </w:rPr>
        <w:t>delivery.</w:t>
      </w:r>
    </w:p>
    <w:p>
      <w:pPr>
        <w:pStyle w:val="BodyText"/>
        <w:spacing w:line="239" w:lineRule="exact"/>
        <w:ind w:left="839"/>
      </w:pPr>
      <w:r>
        <w:rPr>
          <w:color w:val="010202"/>
        </w:rPr>
        <w:t>In addition,</w:t>
      </w:r>
      <w:r>
        <w:rPr>
          <w:color w:val="010202"/>
          <w:spacing w:val="-1"/>
        </w:rPr>
        <w:t> </w:t>
      </w:r>
      <w:r>
        <w:rPr>
          <w:color w:val="010202"/>
        </w:rPr>
        <w:t>it can mitigate client challenges</w:t>
      </w:r>
    </w:p>
    <w:p>
      <w:pPr>
        <w:pStyle w:val="BodyText"/>
        <w:spacing w:line="266" w:lineRule="auto" w:before="27"/>
        <w:ind w:left="839" w:right="1307"/>
      </w:pPr>
      <w:r>
        <w:rPr>
          <w:color w:val="010202"/>
        </w:rPr>
        <w:t>through careful preparation and structured</w:t>
      </w:r>
      <w:r>
        <w:rPr>
          <w:color w:val="010202"/>
          <w:spacing w:val="-52"/>
        </w:rPr>
        <w:t> </w:t>
      </w:r>
      <w:r>
        <w:rPr>
          <w:color w:val="010202"/>
        </w:rPr>
        <w:t>conversations.</w:t>
      </w:r>
    </w:p>
    <w:p>
      <w:pPr>
        <w:pStyle w:val="ListParagraph"/>
        <w:numPr>
          <w:ilvl w:val="0"/>
          <w:numId w:val="13"/>
        </w:numPr>
        <w:tabs>
          <w:tab w:pos="839" w:val="left" w:leader="none"/>
          <w:tab w:pos="840" w:val="left" w:leader="none"/>
        </w:tabs>
        <w:spacing w:line="266" w:lineRule="auto" w:before="29" w:after="0"/>
        <w:ind w:left="839" w:right="789" w:hanging="360"/>
        <w:jc w:val="left"/>
        <w:rPr>
          <w:sz w:val="22"/>
        </w:rPr>
      </w:pPr>
      <w:r>
        <w:rPr>
          <w:b/>
          <w:color w:val="010202"/>
          <w:spacing w:val="-6"/>
          <w:sz w:val="22"/>
        </w:rPr>
        <w:t>Conduct</w:t>
      </w:r>
      <w:r>
        <w:rPr>
          <w:b/>
          <w:color w:val="010202"/>
          <w:spacing w:val="-12"/>
          <w:sz w:val="22"/>
        </w:rPr>
        <w:t> </w:t>
      </w:r>
      <w:r>
        <w:rPr>
          <w:b/>
          <w:color w:val="010202"/>
          <w:spacing w:val="-5"/>
          <w:sz w:val="22"/>
        </w:rPr>
        <w:t>a</w:t>
      </w:r>
      <w:r>
        <w:rPr>
          <w:b/>
          <w:color w:val="010202"/>
          <w:spacing w:val="-11"/>
          <w:sz w:val="22"/>
        </w:rPr>
        <w:t> </w:t>
      </w:r>
      <w:r>
        <w:rPr>
          <w:b/>
          <w:color w:val="010202"/>
          <w:spacing w:val="-5"/>
          <w:sz w:val="22"/>
        </w:rPr>
        <w:t>thorough</w:t>
      </w:r>
      <w:r>
        <w:rPr>
          <w:b/>
          <w:color w:val="010202"/>
          <w:spacing w:val="-11"/>
          <w:sz w:val="22"/>
        </w:rPr>
        <w:t> </w:t>
      </w:r>
      <w:r>
        <w:rPr>
          <w:b/>
          <w:color w:val="010202"/>
          <w:spacing w:val="-5"/>
          <w:sz w:val="22"/>
        </w:rPr>
        <w:t>informed</w:t>
      </w:r>
      <w:r>
        <w:rPr>
          <w:b/>
          <w:color w:val="010202"/>
          <w:spacing w:val="-10"/>
          <w:sz w:val="22"/>
        </w:rPr>
        <w:t> </w:t>
      </w:r>
      <w:r>
        <w:rPr>
          <w:b/>
          <w:color w:val="010202"/>
          <w:spacing w:val="-5"/>
          <w:sz w:val="22"/>
        </w:rPr>
        <w:t>consent</w:t>
      </w:r>
      <w:r>
        <w:rPr>
          <w:b/>
          <w:color w:val="010202"/>
          <w:spacing w:val="-11"/>
          <w:sz w:val="22"/>
        </w:rPr>
        <w:t> </w:t>
      </w:r>
      <w:r>
        <w:rPr>
          <w:b/>
          <w:color w:val="010202"/>
          <w:spacing w:val="-5"/>
          <w:sz w:val="22"/>
        </w:rPr>
        <w:t>process</w:t>
      </w:r>
      <w:r>
        <w:rPr>
          <w:b/>
          <w:color w:val="010202"/>
          <w:spacing w:val="-11"/>
          <w:sz w:val="22"/>
        </w:rPr>
        <w:t> </w:t>
      </w:r>
      <w:r>
        <w:rPr>
          <w:color w:val="010202"/>
          <w:spacing w:val="-5"/>
          <w:sz w:val="22"/>
        </w:rPr>
        <w:t>–</w:t>
      </w:r>
      <w:r>
        <w:rPr>
          <w:color w:val="010202"/>
          <w:spacing w:val="-52"/>
          <w:sz w:val="22"/>
        </w:rPr>
        <w:t> </w:t>
      </w:r>
      <w:r>
        <w:rPr>
          <w:color w:val="010202"/>
          <w:sz w:val="22"/>
        </w:rPr>
        <w:t>Use tools such as the</w:t>
      </w:r>
      <w:r>
        <w:rPr>
          <w:color w:val="3953A4"/>
          <w:sz w:val="22"/>
        </w:rPr>
        <w:t> </w:t>
      </w:r>
      <w:hyperlink r:id="rId228">
        <w:r>
          <w:rPr>
            <w:color w:val="3953A4"/>
            <w:sz w:val="22"/>
            <w:u w:val="single" w:color="3953A4"/>
          </w:rPr>
          <w:t>easy-to-understand</w:t>
        </w:r>
      </w:hyperlink>
      <w:r>
        <w:rPr>
          <w:color w:val="3953A4"/>
          <w:spacing w:val="1"/>
          <w:sz w:val="22"/>
        </w:rPr>
        <w:t> </w:t>
      </w:r>
      <w:hyperlink r:id="rId228">
        <w:r>
          <w:rPr>
            <w:color w:val="3953A4"/>
            <w:spacing w:val="-1"/>
            <w:sz w:val="22"/>
            <w:u w:val="single" w:color="3953A4"/>
          </w:rPr>
          <w:t>telehealth consent form template</w:t>
        </w:r>
        <w:r>
          <w:rPr>
            <w:color w:val="3953A4"/>
            <w:spacing w:val="-1"/>
            <w:sz w:val="22"/>
          </w:rPr>
          <w:t> </w:t>
        </w:r>
      </w:hyperlink>
      <w:r>
        <w:rPr>
          <w:color w:val="010202"/>
          <w:sz w:val="22"/>
        </w:rPr>
        <w:t>developed by</w:t>
      </w:r>
      <w:r>
        <w:rPr>
          <w:color w:val="010202"/>
          <w:spacing w:val="1"/>
          <w:sz w:val="22"/>
        </w:rPr>
        <w:t> </w:t>
      </w:r>
      <w:r>
        <w:rPr>
          <w:color w:val="010202"/>
          <w:spacing w:val="-3"/>
          <w:sz w:val="22"/>
        </w:rPr>
        <w:t>the Agency for Healthcare </w:t>
      </w:r>
      <w:r>
        <w:rPr>
          <w:color w:val="010202"/>
          <w:spacing w:val="-2"/>
          <w:sz w:val="22"/>
        </w:rPr>
        <w:t>Research and Quality</w:t>
      </w:r>
      <w:r>
        <w:rPr>
          <w:color w:val="010202"/>
          <w:spacing w:val="-1"/>
          <w:sz w:val="22"/>
        </w:rPr>
        <w:t> </w:t>
      </w:r>
      <w:r>
        <w:rPr>
          <w:color w:val="010202"/>
          <w:spacing w:val="-3"/>
          <w:sz w:val="22"/>
        </w:rPr>
        <w:t>(AHRQ). The informed </w:t>
      </w:r>
      <w:r>
        <w:rPr>
          <w:color w:val="010202"/>
          <w:spacing w:val="-2"/>
          <w:sz w:val="22"/>
        </w:rPr>
        <w:t>consent process includes</w:t>
      </w:r>
      <w:r>
        <w:rPr>
          <w:color w:val="010202"/>
          <w:spacing w:val="-52"/>
          <w:sz w:val="22"/>
        </w:rPr>
        <w:t> </w:t>
      </w:r>
      <w:r>
        <w:rPr>
          <w:color w:val="010202"/>
          <w:sz w:val="22"/>
        </w:rPr>
        <w:t>the</w:t>
      </w:r>
      <w:r>
        <w:rPr>
          <w:color w:val="010202"/>
          <w:spacing w:val="-7"/>
          <w:sz w:val="22"/>
        </w:rPr>
        <w:t> </w:t>
      </w:r>
      <w:r>
        <w:rPr>
          <w:color w:val="010202"/>
          <w:sz w:val="22"/>
        </w:rPr>
        <w:t>following</w:t>
      </w:r>
      <w:r>
        <w:rPr>
          <w:color w:val="010202"/>
          <w:spacing w:val="-6"/>
          <w:sz w:val="22"/>
        </w:rPr>
        <w:t> </w:t>
      </w:r>
      <w:r>
        <w:rPr>
          <w:color w:val="010202"/>
          <w:sz w:val="22"/>
        </w:rPr>
        <w:t>key</w:t>
      </w:r>
      <w:r>
        <w:rPr>
          <w:color w:val="010202"/>
          <w:spacing w:val="-6"/>
          <w:sz w:val="22"/>
        </w:rPr>
        <w:t> </w:t>
      </w:r>
      <w:r>
        <w:rPr>
          <w:color w:val="010202"/>
          <w:sz w:val="22"/>
        </w:rPr>
        <w:t>pieces:</w:t>
      </w:r>
    </w:p>
    <w:p>
      <w:pPr>
        <w:pStyle w:val="ListParagraph"/>
        <w:numPr>
          <w:ilvl w:val="0"/>
          <w:numId w:val="52"/>
        </w:numPr>
        <w:tabs>
          <w:tab w:pos="1199" w:val="left" w:leader="none"/>
          <w:tab w:pos="1200" w:val="left" w:leader="none"/>
        </w:tabs>
        <w:spacing w:line="249" w:lineRule="auto" w:before="8" w:after="0"/>
        <w:ind w:left="1199" w:right="895" w:hanging="360"/>
        <w:jc w:val="left"/>
        <w:rPr>
          <w:sz w:val="22"/>
        </w:rPr>
      </w:pPr>
      <w:r>
        <w:rPr>
          <w:i/>
          <w:color w:val="010202"/>
          <w:sz w:val="22"/>
        </w:rPr>
        <w:t>What is telehealth</w:t>
      </w:r>
      <w:r>
        <w:rPr>
          <w:color w:val="010202"/>
          <w:sz w:val="22"/>
        </w:rPr>
        <w:t>: Explain what telehealth</w:t>
      </w:r>
      <w:r>
        <w:rPr>
          <w:color w:val="010202"/>
          <w:spacing w:val="-52"/>
          <w:sz w:val="22"/>
        </w:rPr>
        <w:t> </w:t>
      </w:r>
      <w:r>
        <w:rPr>
          <w:color w:val="010202"/>
          <w:sz w:val="22"/>
        </w:rPr>
        <w:t>is and why you are using it for the client’s</w:t>
      </w:r>
      <w:r>
        <w:rPr>
          <w:color w:val="010202"/>
          <w:spacing w:val="1"/>
          <w:sz w:val="22"/>
        </w:rPr>
        <w:t> </w:t>
      </w:r>
      <w:r>
        <w:rPr>
          <w:color w:val="010202"/>
          <w:sz w:val="22"/>
        </w:rPr>
        <w:t>care.</w:t>
      </w:r>
    </w:p>
    <w:p>
      <w:pPr>
        <w:pStyle w:val="ListParagraph"/>
        <w:numPr>
          <w:ilvl w:val="0"/>
          <w:numId w:val="52"/>
        </w:numPr>
        <w:tabs>
          <w:tab w:pos="1199" w:val="left" w:leader="none"/>
          <w:tab w:pos="1200" w:val="left" w:leader="none"/>
        </w:tabs>
        <w:spacing w:line="255" w:lineRule="exact" w:before="0" w:after="0"/>
        <w:ind w:left="1199" w:right="0" w:hanging="361"/>
        <w:jc w:val="left"/>
        <w:rPr>
          <w:sz w:val="22"/>
        </w:rPr>
      </w:pPr>
      <w:r>
        <w:rPr>
          <w:i/>
          <w:color w:val="010202"/>
          <w:spacing w:val="-4"/>
          <w:sz w:val="22"/>
        </w:rPr>
        <w:t>Potential</w:t>
      </w:r>
      <w:r>
        <w:rPr>
          <w:i/>
          <w:color w:val="010202"/>
          <w:spacing w:val="-8"/>
          <w:sz w:val="22"/>
        </w:rPr>
        <w:t> </w:t>
      </w:r>
      <w:r>
        <w:rPr>
          <w:i/>
          <w:color w:val="010202"/>
          <w:spacing w:val="-4"/>
          <w:sz w:val="22"/>
        </w:rPr>
        <w:t>privacy</w:t>
      </w:r>
      <w:r>
        <w:rPr>
          <w:i/>
          <w:color w:val="010202"/>
          <w:spacing w:val="-7"/>
          <w:sz w:val="22"/>
        </w:rPr>
        <w:t> </w:t>
      </w:r>
      <w:r>
        <w:rPr>
          <w:i/>
          <w:color w:val="010202"/>
          <w:spacing w:val="-4"/>
          <w:sz w:val="22"/>
        </w:rPr>
        <w:t>concerns</w:t>
      </w:r>
      <w:r>
        <w:rPr>
          <w:color w:val="010202"/>
          <w:spacing w:val="-4"/>
          <w:sz w:val="22"/>
        </w:rPr>
        <w:t>:</w:t>
      </w:r>
      <w:r>
        <w:rPr>
          <w:color w:val="010202"/>
          <w:spacing w:val="-11"/>
          <w:sz w:val="22"/>
        </w:rPr>
        <w:t> </w:t>
      </w:r>
      <w:r>
        <w:rPr>
          <w:color w:val="010202"/>
          <w:spacing w:val="-3"/>
          <w:sz w:val="22"/>
        </w:rPr>
        <w:t>The</w:t>
      </w:r>
      <w:r>
        <w:rPr>
          <w:color w:val="010202"/>
          <w:spacing w:val="-7"/>
          <w:sz w:val="22"/>
        </w:rPr>
        <w:t> </w:t>
      </w:r>
      <w:r>
        <w:rPr>
          <w:color w:val="010202"/>
          <w:spacing w:val="-3"/>
          <w:sz w:val="22"/>
        </w:rPr>
        <w:t>presence</w:t>
      </w:r>
      <w:r>
        <w:rPr>
          <w:color w:val="010202"/>
          <w:spacing w:val="-7"/>
          <w:sz w:val="22"/>
        </w:rPr>
        <w:t> </w:t>
      </w:r>
      <w:r>
        <w:rPr>
          <w:color w:val="010202"/>
          <w:spacing w:val="-3"/>
          <w:sz w:val="22"/>
        </w:rPr>
        <w:t>of</w:t>
      </w:r>
    </w:p>
    <w:p>
      <w:pPr>
        <w:pStyle w:val="BodyText"/>
        <w:spacing w:line="249" w:lineRule="auto" w:before="10"/>
        <w:ind w:left="1199" w:right="904"/>
      </w:pPr>
      <w:r>
        <w:rPr>
          <w:color w:val="010202"/>
          <w:spacing w:val="-4"/>
        </w:rPr>
        <w:t>family members, </w:t>
      </w:r>
      <w:r>
        <w:rPr>
          <w:color w:val="010202"/>
          <w:spacing w:val="-3"/>
        </w:rPr>
        <w:t>caregivers, or roommates</w:t>
      </w:r>
      <w:r>
        <w:rPr>
          <w:color w:val="010202"/>
          <w:spacing w:val="-2"/>
        </w:rPr>
        <w:t> in the home during a telehealth visit could</w:t>
      </w:r>
      <w:r>
        <w:rPr>
          <w:color w:val="010202"/>
          <w:spacing w:val="-1"/>
        </w:rPr>
        <w:t> </w:t>
      </w:r>
      <w:r>
        <w:rPr>
          <w:color w:val="010202"/>
          <w:spacing w:val="-4"/>
        </w:rPr>
        <w:t>hinder</w:t>
      </w:r>
      <w:r>
        <w:rPr>
          <w:color w:val="010202"/>
          <w:spacing w:val="-10"/>
        </w:rPr>
        <w:t> </w:t>
      </w:r>
      <w:r>
        <w:rPr>
          <w:color w:val="010202"/>
          <w:spacing w:val="-4"/>
        </w:rPr>
        <w:t>a</w:t>
      </w:r>
      <w:r>
        <w:rPr>
          <w:color w:val="010202"/>
          <w:spacing w:val="-10"/>
        </w:rPr>
        <w:t> </w:t>
      </w:r>
      <w:r>
        <w:rPr>
          <w:color w:val="010202"/>
          <w:spacing w:val="-4"/>
        </w:rPr>
        <w:t>client’s</w:t>
      </w:r>
      <w:r>
        <w:rPr>
          <w:color w:val="010202"/>
          <w:spacing w:val="-9"/>
        </w:rPr>
        <w:t> </w:t>
      </w:r>
      <w:r>
        <w:rPr>
          <w:color w:val="010202"/>
          <w:spacing w:val="-4"/>
        </w:rPr>
        <w:t>ability</w:t>
      </w:r>
      <w:r>
        <w:rPr>
          <w:color w:val="010202"/>
          <w:spacing w:val="-10"/>
        </w:rPr>
        <w:t> </w:t>
      </w:r>
      <w:r>
        <w:rPr>
          <w:color w:val="010202"/>
          <w:spacing w:val="-3"/>
        </w:rPr>
        <w:t>to</w:t>
      </w:r>
      <w:r>
        <w:rPr>
          <w:color w:val="010202"/>
          <w:spacing w:val="-9"/>
        </w:rPr>
        <w:t> </w:t>
      </w:r>
      <w:r>
        <w:rPr>
          <w:color w:val="010202"/>
          <w:spacing w:val="-3"/>
        </w:rPr>
        <w:t>fully</w:t>
      </w:r>
      <w:r>
        <w:rPr>
          <w:color w:val="010202"/>
          <w:spacing w:val="-10"/>
        </w:rPr>
        <w:t> </w:t>
      </w:r>
      <w:r>
        <w:rPr>
          <w:color w:val="010202"/>
          <w:spacing w:val="-3"/>
        </w:rPr>
        <w:t>engage</w:t>
      </w:r>
      <w:r>
        <w:rPr>
          <w:color w:val="010202"/>
          <w:spacing w:val="-9"/>
        </w:rPr>
        <w:t> </w:t>
      </w:r>
      <w:r>
        <w:rPr>
          <w:color w:val="010202"/>
          <w:spacing w:val="-3"/>
        </w:rPr>
        <w:t>in</w:t>
      </w:r>
      <w:r>
        <w:rPr>
          <w:color w:val="010202"/>
          <w:spacing w:val="-10"/>
        </w:rPr>
        <w:t> </w:t>
      </w:r>
      <w:r>
        <w:rPr>
          <w:color w:val="010202"/>
          <w:spacing w:val="-3"/>
        </w:rPr>
        <w:t>the</w:t>
      </w:r>
      <w:r>
        <w:rPr>
          <w:color w:val="010202"/>
          <w:spacing w:val="-52"/>
        </w:rPr>
        <w:t> </w:t>
      </w:r>
      <w:r>
        <w:rPr>
          <w:color w:val="010202"/>
          <w:spacing w:val="-2"/>
        </w:rPr>
        <w:t>visit.</w:t>
      </w:r>
      <w:r>
        <w:rPr>
          <w:color w:val="010202"/>
          <w:spacing w:val="-2"/>
          <w:vertAlign w:val="superscript"/>
        </w:rPr>
        <w:t>5</w:t>
      </w:r>
      <w:r>
        <w:rPr>
          <w:color w:val="010202"/>
          <w:spacing w:val="-11"/>
          <w:vertAlign w:val="baseline"/>
        </w:rPr>
        <w:t> </w:t>
      </w:r>
      <w:r>
        <w:rPr>
          <w:color w:val="010202"/>
          <w:spacing w:val="-2"/>
          <w:vertAlign w:val="baseline"/>
        </w:rPr>
        <w:t>Remind</w:t>
      </w:r>
      <w:r>
        <w:rPr>
          <w:color w:val="010202"/>
          <w:spacing w:val="-11"/>
          <w:vertAlign w:val="baseline"/>
        </w:rPr>
        <w:t> </w:t>
      </w:r>
      <w:r>
        <w:rPr>
          <w:color w:val="010202"/>
          <w:spacing w:val="-2"/>
          <w:vertAlign w:val="baseline"/>
        </w:rPr>
        <w:t>the</w:t>
      </w:r>
      <w:r>
        <w:rPr>
          <w:color w:val="010202"/>
          <w:spacing w:val="-12"/>
          <w:vertAlign w:val="baseline"/>
        </w:rPr>
        <w:t> </w:t>
      </w:r>
      <w:r>
        <w:rPr>
          <w:color w:val="010202"/>
          <w:spacing w:val="-2"/>
          <w:vertAlign w:val="baseline"/>
        </w:rPr>
        <w:t>client</w:t>
      </w:r>
      <w:r>
        <w:rPr>
          <w:color w:val="010202"/>
          <w:spacing w:val="-11"/>
          <w:vertAlign w:val="baseline"/>
        </w:rPr>
        <w:t> </w:t>
      </w:r>
      <w:r>
        <w:rPr>
          <w:color w:val="010202"/>
          <w:spacing w:val="-2"/>
          <w:vertAlign w:val="baseline"/>
        </w:rPr>
        <w:t>to</w:t>
      </w:r>
      <w:r>
        <w:rPr>
          <w:color w:val="010202"/>
          <w:spacing w:val="-11"/>
          <w:vertAlign w:val="baseline"/>
        </w:rPr>
        <w:t> </w:t>
      </w:r>
      <w:r>
        <w:rPr>
          <w:color w:val="010202"/>
          <w:spacing w:val="-2"/>
          <w:vertAlign w:val="baseline"/>
        </w:rPr>
        <w:t>be</w:t>
      </w:r>
      <w:r>
        <w:rPr>
          <w:color w:val="010202"/>
          <w:spacing w:val="-11"/>
          <w:vertAlign w:val="baseline"/>
        </w:rPr>
        <w:t> </w:t>
      </w:r>
      <w:r>
        <w:rPr>
          <w:color w:val="010202"/>
          <w:spacing w:val="-2"/>
          <w:vertAlign w:val="baseline"/>
        </w:rPr>
        <w:t>in</w:t>
      </w:r>
      <w:r>
        <w:rPr>
          <w:color w:val="010202"/>
          <w:spacing w:val="-12"/>
          <w:vertAlign w:val="baseline"/>
        </w:rPr>
        <w:t> </w:t>
      </w:r>
      <w:r>
        <w:rPr>
          <w:color w:val="010202"/>
          <w:spacing w:val="-2"/>
          <w:vertAlign w:val="baseline"/>
        </w:rPr>
        <w:t>a</w:t>
      </w:r>
      <w:r>
        <w:rPr>
          <w:color w:val="010202"/>
          <w:spacing w:val="-11"/>
          <w:vertAlign w:val="baseline"/>
        </w:rPr>
        <w:t> </w:t>
      </w:r>
      <w:r>
        <w:rPr>
          <w:color w:val="010202"/>
          <w:spacing w:val="-2"/>
          <w:vertAlign w:val="baseline"/>
        </w:rPr>
        <w:t>private</w:t>
      </w:r>
    </w:p>
    <w:p>
      <w:pPr>
        <w:pStyle w:val="BodyText"/>
        <w:spacing w:line="249" w:lineRule="auto" w:before="3"/>
        <w:ind w:left="1199" w:right="804"/>
      </w:pPr>
      <w:r>
        <w:rPr>
          <w:color w:val="010202"/>
          <w:spacing w:val="-4"/>
        </w:rPr>
        <w:t>space,</w:t>
      </w:r>
      <w:r>
        <w:rPr>
          <w:color w:val="010202"/>
          <w:spacing w:val="-10"/>
        </w:rPr>
        <w:t> </w:t>
      </w:r>
      <w:r>
        <w:rPr>
          <w:color w:val="010202"/>
          <w:spacing w:val="-4"/>
        </w:rPr>
        <w:t>away</w:t>
      </w:r>
      <w:r>
        <w:rPr>
          <w:color w:val="010202"/>
          <w:spacing w:val="-9"/>
        </w:rPr>
        <w:t> </w:t>
      </w:r>
      <w:r>
        <w:rPr>
          <w:color w:val="010202"/>
          <w:spacing w:val="-4"/>
        </w:rPr>
        <w:t>from</w:t>
      </w:r>
      <w:r>
        <w:rPr>
          <w:color w:val="010202"/>
          <w:spacing w:val="-10"/>
        </w:rPr>
        <w:t> </w:t>
      </w:r>
      <w:r>
        <w:rPr>
          <w:color w:val="010202"/>
          <w:spacing w:val="-3"/>
        </w:rPr>
        <w:t>other</w:t>
      </w:r>
      <w:r>
        <w:rPr>
          <w:color w:val="010202"/>
          <w:spacing w:val="-9"/>
        </w:rPr>
        <w:t> </w:t>
      </w:r>
      <w:r>
        <w:rPr>
          <w:color w:val="010202"/>
          <w:spacing w:val="-3"/>
        </w:rPr>
        <w:t>people,</w:t>
      </w:r>
      <w:r>
        <w:rPr>
          <w:color w:val="010202"/>
          <w:spacing w:val="-9"/>
        </w:rPr>
        <w:t> </w:t>
      </w:r>
      <w:r>
        <w:rPr>
          <w:color w:val="010202"/>
          <w:spacing w:val="-3"/>
        </w:rPr>
        <w:t>and</w:t>
      </w:r>
      <w:r>
        <w:rPr>
          <w:color w:val="010202"/>
          <w:spacing w:val="-10"/>
        </w:rPr>
        <w:t> </w:t>
      </w:r>
      <w:r>
        <w:rPr>
          <w:color w:val="010202"/>
          <w:spacing w:val="-3"/>
        </w:rPr>
        <w:t>assure</w:t>
      </w:r>
      <w:r>
        <w:rPr>
          <w:color w:val="010202"/>
          <w:spacing w:val="-9"/>
        </w:rPr>
        <w:t> </w:t>
      </w:r>
      <w:r>
        <w:rPr>
          <w:color w:val="010202"/>
          <w:spacing w:val="-3"/>
        </w:rPr>
        <w:t>the</w:t>
      </w:r>
      <w:r>
        <w:rPr>
          <w:color w:val="010202"/>
          <w:spacing w:val="-52"/>
        </w:rPr>
        <w:t> </w:t>
      </w:r>
      <w:r>
        <w:rPr>
          <w:color w:val="010202"/>
          <w:spacing w:val="-3"/>
        </w:rPr>
        <w:t>client that their conversation is private </w:t>
      </w:r>
      <w:r>
        <w:rPr>
          <w:color w:val="010202"/>
          <w:spacing w:val="-2"/>
        </w:rPr>
        <w:t>on the</w:t>
      </w:r>
      <w:r>
        <w:rPr>
          <w:color w:val="010202"/>
          <w:spacing w:val="-52"/>
        </w:rPr>
        <w:t> </w:t>
      </w:r>
      <w:r>
        <w:rPr>
          <w:color w:val="010202"/>
          <w:spacing w:val="-3"/>
        </w:rPr>
        <w:t>provider’s side. Ensure the client knows how</w:t>
      </w:r>
      <w:r>
        <w:rPr>
          <w:color w:val="010202"/>
          <w:spacing w:val="-52"/>
        </w:rPr>
        <w:t> </w:t>
      </w:r>
      <w:r>
        <w:rPr>
          <w:color w:val="010202"/>
          <w:spacing w:val="-2"/>
        </w:rPr>
        <w:t>to mute the audio and disable </w:t>
      </w:r>
      <w:r>
        <w:rPr>
          <w:color w:val="010202"/>
          <w:spacing w:val="-1"/>
        </w:rPr>
        <w:t>video in case</w:t>
      </w:r>
      <w:r>
        <w:rPr>
          <w:color w:val="010202"/>
        </w:rPr>
        <w:t> </w:t>
      </w:r>
      <w:r>
        <w:rPr>
          <w:color w:val="010202"/>
          <w:spacing w:val="-3"/>
        </w:rPr>
        <w:t>they</w:t>
      </w:r>
      <w:r>
        <w:rPr>
          <w:color w:val="010202"/>
          <w:spacing w:val="-11"/>
        </w:rPr>
        <w:t> </w:t>
      </w:r>
      <w:r>
        <w:rPr>
          <w:color w:val="010202"/>
          <w:spacing w:val="-3"/>
        </w:rPr>
        <w:t>want</w:t>
      </w:r>
      <w:r>
        <w:rPr>
          <w:color w:val="010202"/>
          <w:spacing w:val="-11"/>
        </w:rPr>
        <w:t> </w:t>
      </w:r>
      <w:r>
        <w:rPr>
          <w:color w:val="010202"/>
          <w:spacing w:val="-3"/>
        </w:rPr>
        <w:t>privacy</w:t>
      </w:r>
      <w:r>
        <w:rPr>
          <w:color w:val="010202"/>
          <w:spacing w:val="-10"/>
        </w:rPr>
        <w:t> </w:t>
      </w:r>
      <w:r>
        <w:rPr>
          <w:color w:val="010202"/>
          <w:spacing w:val="-3"/>
        </w:rPr>
        <w:t>during</w:t>
      </w:r>
      <w:r>
        <w:rPr>
          <w:color w:val="010202"/>
          <w:spacing w:val="-11"/>
        </w:rPr>
        <w:t> </w:t>
      </w:r>
      <w:r>
        <w:rPr>
          <w:color w:val="010202"/>
          <w:spacing w:val="-2"/>
        </w:rPr>
        <w:t>disruptions.</w:t>
      </w:r>
      <w:r>
        <w:rPr>
          <w:color w:val="010202"/>
          <w:spacing w:val="-2"/>
          <w:vertAlign w:val="superscript"/>
        </w:rPr>
        <w:t>23</w:t>
      </w:r>
    </w:p>
    <w:p>
      <w:pPr>
        <w:pStyle w:val="ListParagraph"/>
        <w:numPr>
          <w:ilvl w:val="0"/>
          <w:numId w:val="52"/>
        </w:numPr>
        <w:tabs>
          <w:tab w:pos="1199" w:val="left" w:leader="none"/>
          <w:tab w:pos="1200" w:val="left" w:leader="none"/>
        </w:tabs>
        <w:spacing w:line="249" w:lineRule="auto" w:before="0" w:after="0"/>
        <w:ind w:left="1199" w:right="779" w:hanging="360"/>
        <w:jc w:val="left"/>
        <w:rPr>
          <w:sz w:val="22"/>
        </w:rPr>
      </w:pPr>
      <w:r>
        <w:rPr>
          <w:i/>
          <w:color w:val="010202"/>
          <w:sz w:val="22"/>
        </w:rPr>
        <w:t>Patient communications</w:t>
      </w:r>
      <w:r>
        <w:rPr>
          <w:color w:val="010202"/>
          <w:sz w:val="22"/>
        </w:rPr>
        <w:t>: Notify clients</w:t>
      </w:r>
      <w:r>
        <w:rPr>
          <w:color w:val="010202"/>
          <w:spacing w:val="1"/>
          <w:sz w:val="22"/>
        </w:rPr>
        <w:t> </w:t>
      </w:r>
      <w:r>
        <w:rPr>
          <w:color w:val="010202"/>
          <w:sz w:val="22"/>
        </w:rPr>
        <w:t>about how electronic client communications</w:t>
      </w:r>
      <w:r>
        <w:rPr>
          <w:color w:val="010202"/>
          <w:spacing w:val="-52"/>
          <w:sz w:val="22"/>
        </w:rPr>
        <w:t> </w:t>
      </w:r>
      <w:r>
        <w:rPr>
          <w:color w:val="010202"/>
          <w:sz w:val="22"/>
        </w:rPr>
        <w:t>are stored and who may access these</w:t>
      </w:r>
      <w:r>
        <w:rPr>
          <w:color w:val="010202"/>
          <w:spacing w:val="1"/>
          <w:sz w:val="22"/>
        </w:rPr>
        <w:t> </w:t>
      </w:r>
      <w:r>
        <w:rPr>
          <w:color w:val="010202"/>
          <w:sz w:val="22"/>
        </w:rPr>
        <w:t>communications.</w:t>
      </w:r>
      <w:r>
        <w:rPr>
          <w:color w:val="010202"/>
          <w:sz w:val="22"/>
          <w:vertAlign w:val="superscript"/>
        </w:rPr>
        <w:t>24</w:t>
      </w:r>
    </w:p>
    <w:p>
      <w:pPr>
        <w:pStyle w:val="ListParagraph"/>
        <w:numPr>
          <w:ilvl w:val="0"/>
          <w:numId w:val="52"/>
        </w:numPr>
        <w:tabs>
          <w:tab w:pos="1199" w:val="left" w:leader="none"/>
          <w:tab w:pos="1200" w:val="left" w:leader="none"/>
        </w:tabs>
        <w:spacing w:line="249" w:lineRule="auto" w:before="0" w:after="0"/>
        <w:ind w:left="1199" w:right="773" w:hanging="361"/>
        <w:jc w:val="left"/>
        <w:rPr>
          <w:sz w:val="22"/>
        </w:rPr>
      </w:pPr>
      <w:r>
        <w:rPr>
          <w:i/>
          <w:color w:val="010202"/>
          <w:sz w:val="22"/>
        </w:rPr>
        <w:t>Backup plan: </w:t>
      </w:r>
      <w:r>
        <w:rPr>
          <w:color w:val="010202"/>
          <w:sz w:val="22"/>
        </w:rPr>
        <w:t>Discuss protocols in the case</w:t>
      </w:r>
      <w:r>
        <w:rPr>
          <w:color w:val="010202"/>
          <w:spacing w:val="1"/>
          <w:sz w:val="22"/>
        </w:rPr>
        <w:t> </w:t>
      </w:r>
      <w:r>
        <w:rPr>
          <w:color w:val="010202"/>
          <w:sz w:val="22"/>
        </w:rPr>
        <w:t>that technology fails or clients need a higher</w:t>
      </w:r>
      <w:r>
        <w:rPr>
          <w:color w:val="010202"/>
          <w:spacing w:val="-52"/>
          <w:sz w:val="22"/>
        </w:rPr>
        <w:t> </w:t>
      </w:r>
      <w:r>
        <w:rPr>
          <w:color w:val="010202"/>
          <w:sz w:val="22"/>
        </w:rPr>
        <w:t>level</w:t>
      </w:r>
      <w:r>
        <w:rPr>
          <w:color w:val="010202"/>
          <w:spacing w:val="-1"/>
          <w:sz w:val="22"/>
        </w:rPr>
        <w:t> </w:t>
      </w:r>
      <w:r>
        <w:rPr>
          <w:color w:val="010202"/>
          <w:sz w:val="22"/>
        </w:rPr>
        <w:t>of care.</w:t>
      </w:r>
      <w:r>
        <w:rPr>
          <w:color w:val="010202"/>
          <w:sz w:val="22"/>
          <w:vertAlign w:val="superscript"/>
        </w:rPr>
        <w:t>25</w:t>
      </w:r>
    </w:p>
    <w:p>
      <w:pPr>
        <w:spacing w:after="0" w:line="249" w:lineRule="auto"/>
        <w:jc w:val="left"/>
        <w:rPr>
          <w:sz w:val="22"/>
        </w:rPr>
        <w:sectPr>
          <w:type w:val="continuous"/>
          <w:pgSz w:w="12240" w:h="15840"/>
          <w:pgMar w:header="0" w:footer="666" w:top="1500" w:bottom="0" w:left="600" w:right="0"/>
          <w:cols w:num="2" w:equalWidth="0">
            <w:col w:w="5195" w:space="565"/>
            <w:col w:w="5880"/>
          </w:cols>
        </w:sectPr>
      </w:pPr>
    </w:p>
    <w:p>
      <w:pPr>
        <w:pStyle w:val="BodyText"/>
        <w:rPr>
          <w:sz w:val="20"/>
        </w:rPr>
      </w:pPr>
    </w:p>
    <w:p>
      <w:pPr>
        <w:pStyle w:val="BodyText"/>
        <w:spacing w:before="8"/>
        <w:rPr>
          <w:sz w:val="24"/>
        </w:rPr>
      </w:pPr>
    </w:p>
    <w:p>
      <w:pPr>
        <w:pStyle w:val="ListParagraph"/>
        <w:numPr>
          <w:ilvl w:val="0"/>
          <w:numId w:val="13"/>
        </w:numPr>
        <w:tabs>
          <w:tab w:pos="840" w:val="left" w:leader="none"/>
        </w:tabs>
        <w:spacing w:line="264" w:lineRule="auto" w:before="100" w:after="0"/>
        <w:ind w:left="839" w:right="6480" w:hanging="360"/>
        <w:jc w:val="both"/>
        <w:rPr>
          <w:sz w:val="22"/>
        </w:rPr>
      </w:pPr>
      <w:r>
        <w:rPr/>
        <w:pict>
          <v:group style="position:absolute;margin-left:324pt;margin-top:5.169497pt;width:252pt;height:323.850pt;mso-position-horizontal-relative:page;mso-position-vertical-relative:paragraph;z-index:15747584" id="docshapegroup115" coordorigin="6480,103" coordsize="5040,6477">
            <v:shape style="position:absolute;left:6480;top:103;width:5040;height:6477" id="docshape116" coordorigin="6480,103" coordsize="5040,6477" path="m11430,103l6570,103,6535,110,6506,130,6487,158,6480,193,6480,6490,6487,6525,6506,6554,6535,6573,6570,6580,11430,6580,11465,6573,11494,6554,11513,6525,11520,6490,11520,193,11513,158,11494,130,11465,110,11430,103xe" filled="true" fillcolor="#f7e0e0" stroked="false">
              <v:path arrowok="t"/>
              <v:fill type="solid"/>
            </v:shape>
            <v:shape style="position:absolute;left:6480;top:103;width:5040;height:6477" type="#_x0000_t202" id="docshape117" filled="false" stroked="false">
              <v:textbox inset="0,0,0,0">
                <w:txbxContent>
                  <w:p>
                    <w:pPr>
                      <w:spacing w:line="184" w:lineRule="auto" w:before="148"/>
                      <w:ind w:left="2099" w:right="586" w:hanging="1507"/>
                      <w:jc w:val="left"/>
                      <w:rPr>
                        <w:rFonts w:ascii="Arial Black"/>
                        <w:sz w:val="24"/>
                      </w:rPr>
                    </w:pPr>
                    <w:r>
                      <w:rPr>
                        <w:rFonts w:ascii="Arial Black"/>
                        <w:color w:val="CE384B"/>
                        <w:spacing w:val="-6"/>
                        <w:sz w:val="24"/>
                      </w:rPr>
                      <w:t>Inform</w:t>
                    </w:r>
                    <w:r>
                      <w:rPr>
                        <w:rFonts w:ascii="Arial Black"/>
                        <w:color w:val="CE384B"/>
                        <w:spacing w:val="-14"/>
                        <w:sz w:val="24"/>
                      </w:rPr>
                      <w:t> </w:t>
                    </w:r>
                    <w:r>
                      <w:rPr>
                        <w:rFonts w:ascii="Arial Black"/>
                        <w:color w:val="CE384B"/>
                        <w:spacing w:val="-6"/>
                        <w:sz w:val="24"/>
                      </w:rPr>
                      <w:t>the</w:t>
                    </w:r>
                    <w:r>
                      <w:rPr>
                        <w:rFonts w:ascii="Arial Black"/>
                        <w:color w:val="CE384B"/>
                        <w:spacing w:val="-14"/>
                        <w:sz w:val="24"/>
                      </w:rPr>
                      <w:t> </w:t>
                    </w:r>
                    <w:r>
                      <w:rPr>
                        <w:rFonts w:ascii="Arial Black"/>
                        <w:color w:val="CE384B"/>
                        <w:spacing w:val="-5"/>
                        <w:sz w:val="24"/>
                      </w:rPr>
                      <w:t>Client</w:t>
                    </w:r>
                    <w:r>
                      <w:rPr>
                        <w:rFonts w:ascii="Arial Black"/>
                        <w:color w:val="CE384B"/>
                        <w:spacing w:val="-14"/>
                        <w:sz w:val="24"/>
                      </w:rPr>
                      <w:t> </w:t>
                    </w:r>
                    <w:r>
                      <w:rPr>
                        <w:rFonts w:ascii="Arial Black"/>
                        <w:color w:val="CE384B"/>
                        <w:spacing w:val="-5"/>
                        <w:sz w:val="24"/>
                      </w:rPr>
                      <w:t>of</w:t>
                    </w:r>
                    <w:r>
                      <w:rPr>
                        <w:rFonts w:ascii="Arial Black"/>
                        <w:color w:val="CE384B"/>
                        <w:sz w:val="24"/>
                      </w:rPr>
                      <w:t> </w:t>
                    </w:r>
                    <w:r>
                      <w:rPr>
                        <w:rFonts w:ascii="Arial Black"/>
                        <w:color w:val="CE384B"/>
                        <w:spacing w:val="-5"/>
                        <w:sz w:val="24"/>
                      </w:rPr>
                      <w:t>Telehealth</w:t>
                    </w:r>
                    <w:r>
                      <w:rPr>
                        <w:rFonts w:ascii="Arial Black"/>
                        <w:color w:val="CE384B"/>
                        <w:spacing w:val="-77"/>
                        <w:sz w:val="24"/>
                      </w:rPr>
                      <w:t> </w:t>
                    </w:r>
                    <w:r>
                      <w:rPr>
                        <w:rFonts w:ascii="Arial Black"/>
                        <w:color w:val="CE384B"/>
                        <w:sz w:val="24"/>
                      </w:rPr>
                      <w:t>Norms</w:t>
                    </w:r>
                  </w:p>
                  <w:p>
                    <w:pPr>
                      <w:spacing w:line="259" w:lineRule="auto" w:before="125"/>
                      <w:ind w:left="180" w:right="474" w:firstLine="0"/>
                      <w:jc w:val="left"/>
                      <w:rPr>
                        <w:rFonts w:ascii="Arial"/>
                        <w:sz w:val="21"/>
                      </w:rPr>
                    </w:pPr>
                    <w:r>
                      <w:rPr>
                        <w:rFonts w:ascii="Arial"/>
                        <w:color w:val="010202"/>
                        <w:sz w:val="21"/>
                      </w:rPr>
                      <w:t>Provide the client with an overview of expected</w:t>
                    </w:r>
                    <w:r>
                      <w:rPr>
                        <w:rFonts w:ascii="Arial"/>
                        <w:color w:val="010202"/>
                        <w:spacing w:val="-57"/>
                        <w:sz w:val="21"/>
                      </w:rPr>
                      <w:t> </w:t>
                    </w:r>
                    <w:r>
                      <w:rPr>
                        <w:rFonts w:ascii="Arial"/>
                        <w:color w:val="010202"/>
                        <w:sz w:val="21"/>
                      </w:rPr>
                      <w:t>norms</w:t>
                    </w:r>
                    <w:r>
                      <w:rPr>
                        <w:rFonts w:ascii="Arial"/>
                        <w:color w:val="010202"/>
                        <w:spacing w:val="-1"/>
                        <w:sz w:val="21"/>
                      </w:rPr>
                      <w:t> </w:t>
                    </w:r>
                    <w:r>
                      <w:rPr>
                        <w:rFonts w:ascii="Arial"/>
                        <w:color w:val="010202"/>
                        <w:sz w:val="21"/>
                      </w:rPr>
                      <w:t>and behaviors for telehealth.</w:t>
                    </w:r>
                  </w:p>
                  <w:p>
                    <w:pPr>
                      <w:numPr>
                        <w:ilvl w:val="0"/>
                        <w:numId w:val="53"/>
                      </w:numPr>
                      <w:tabs>
                        <w:tab w:pos="539" w:val="left" w:leader="none"/>
                        <w:tab w:pos="540" w:val="left" w:leader="none"/>
                      </w:tabs>
                      <w:spacing w:line="256" w:lineRule="auto" w:before="75"/>
                      <w:ind w:left="539" w:right="276" w:hanging="360"/>
                      <w:jc w:val="left"/>
                      <w:rPr>
                        <w:rFonts w:ascii="Arial" w:hAnsi="Arial"/>
                        <w:sz w:val="21"/>
                      </w:rPr>
                    </w:pPr>
                    <w:r>
                      <w:rPr>
                        <w:rFonts w:ascii="Arial" w:hAnsi="Arial"/>
                        <w:color w:val="010202"/>
                        <w:sz w:val="21"/>
                      </w:rPr>
                      <w:t>The camera angle and quality, screen size,</w:t>
                    </w:r>
                    <w:r>
                      <w:rPr>
                        <w:rFonts w:ascii="Arial" w:hAnsi="Arial"/>
                        <w:color w:val="010202"/>
                        <w:spacing w:val="1"/>
                        <w:sz w:val="21"/>
                      </w:rPr>
                      <w:t> </w:t>
                    </w:r>
                    <w:r>
                      <w:rPr>
                        <w:rFonts w:ascii="Arial" w:hAnsi="Arial"/>
                        <w:color w:val="010202"/>
                        <w:sz w:val="21"/>
                      </w:rPr>
                      <w:t>and</w:t>
                    </w:r>
                    <w:r>
                      <w:rPr>
                        <w:rFonts w:ascii="Arial" w:hAnsi="Arial"/>
                        <w:color w:val="010202"/>
                        <w:spacing w:val="5"/>
                        <w:sz w:val="21"/>
                      </w:rPr>
                      <w:t> </w:t>
                    </w:r>
                    <w:r>
                      <w:rPr>
                        <w:rFonts w:ascii="Arial" w:hAnsi="Arial"/>
                        <w:color w:val="010202"/>
                        <w:sz w:val="21"/>
                      </w:rPr>
                      <w:t>other</w:t>
                    </w:r>
                    <w:r>
                      <w:rPr>
                        <w:rFonts w:ascii="Arial" w:hAnsi="Arial"/>
                        <w:color w:val="010202"/>
                        <w:spacing w:val="6"/>
                        <w:sz w:val="21"/>
                      </w:rPr>
                      <w:t> </w:t>
                    </w:r>
                    <w:r>
                      <w:rPr>
                        <w:rFonts w:ascii="Arial" w:hAnsi="Arial"/>
                        <w:color w:val="010202"/>
                        <w:sz w:val="21"/>
                      </w:rPr>
                      <w:t>factors</w:t>
                    </w:r>
                    <w:r>
                      <w:rPr>
                        <w:rFonts w:ascii="Arial" w:hAnsi="Arial"/>
                        <w:color w:val="010202"/>
                        <w:spacing w:val="6"/>
                        <w:sz w:val="21"/>
                      </w:rPr>
                      <w:t> </w:t>
                    </w:r>
                    <w:r>
                      <w:rPr>
                        <w:rFonts w:ascii="Arial" w:hAnsi="Arial"/>
                        <w:color w:val="010202"/>
                        <w:sz w:val="21"/>
                      </w:rPr>
                      <w:t>can</w:t>
                    </w:r>
                    <w:r>
                      <w:rPr>
                        <w:rFonts w:ascii="Arial" w:hAnsi="Arial"/>
                        <w:color w:val="010202"/>
                        <w:spacing w:val="6"/>
                        <w:sz w:val="21"/>
                      </w:rPr>
                      <w:t> </w:t>
                    </w:r>
                    <w:r>
                      <w:rPr>
                        <w:rFonts w:ascii="Arial" w:hAnsi="Arial"/>
                        <w:color w:val="010202"/>
                        <w:sz w:val="21"/>
                      </w:rPr>
                      <w:t>limit</w:t>
                    </w:r>
                    <w:r>
                      <w:rPr>
                        <w:rFonts w:ascii="Arial" w:hAnsi="Arial"/>
                        <w:color w:val="010202"/>
                        <w:spacing w:val="6"/>
                        <w:sz w:val="21"/>
                      </w:rPr>
                      <w:t> </w:t>
                    </w:r>
                    <w:r>
                      <w:rPr>
                        <w:rFonts w:ascii="Arial" w:hAnsi="Arial"/>
                        <w:color w:val="010202"/>
                        <w:sz w:val="21"/>
                      </w:rPr>
                      <w:t>the</w:t>
                    </w:r>
                    <w:r>
                      <w:rPr>
                        <w:rFonts w:ascii="Arial" w:hAnsi="Arial"/>
                        <w:color w:val="010202"/>
                        <w:spacing w:val="6"/>
                        <w:sz w:val="21"/>
                      </w:rPr>
                      <w:t> </w:t>
                    </w:r>
                    <w:r>
                      <w:rPr>
                        <w:rFonts w:ascii="Arial" w:hAnsi="Arial"/>
                        <w:color w:val="010202"/>
                        <w:sz w:val="21"/>
                      </w:rPr>
                      <w:t>ability</w:t>
                    </w:r>
                    <w:r>
                      <w:rPr>
                        <w:rFonts w:ascii="Arial" w:hAnsi="Arial"/>
                        <w:color w:val="010202"/>
                        <w:spacing w:val="6"/>
                        <w:sz w:val="21"/>
                      </w:rPr>
                      <w:t> </w:t>
                    </w:r>
                    <w:r>
                      <w:rPr>
                        <w:rFonts w:ascii="Arial" w:hAnsi="Arial"/>
                        <w:color w:val="010202"/>
                        <w:sz w:val="21"/>
                      </w:rPr>
                      <w:t>to</w:t>
                    </w:r>
                    <w:r>
                      <w:rPr>
                        <w:rFonts w:ascii="Arial" w:hAnsi="Arial"/>
                        <w:color w:val="010202"/>
                        <w:spacing w:val="6"/>
                        <w:sz w:val="21"/>
                      </w:rPr>
                      <w:t> </w:t>
                    </w:r>
                    <w:r>
                      <w:rPr>
                        <w:rFonts w:ascii="Arial" w:hAnsi="Arial"/>
                        <w:color w:val="010202"/>
                        <w:sz w:val="21"/>
                      </w:rPr>
                      <w:t>read</w:t>
                    </w:r>
                    <w:r>
                      <w:rPr>
                        <w:rFonts w:ascii="Arial" w:hAnsi="Arial"/>
                        <w:color w:val="010202"/>
                        <w:spacing w:val="1"/>
                        <w:sz w:val="21"/>
                      </w:rPr>
                      <w:t> </w:t>
                    </w:r>
                    <w:r>
                      <w:rPr>
                        <w:rFonts w:ascii="Arial" w:hAnsi="Arial"/>
                        <w:color w:val="010202"/>
                        <w:spacing w:val="-1"/>
                        <w:sz w:val="21"/>
                      </w:rPr>
                      <w:t>a</w:t>
                    </w:r>
                    <w:r>
                      <w:rPr>
                        <w:rFonts w:ascii="Arial" w:hAnsi="Arial"/>
                        <w:color w:val="010202"/>
                        <w:spacing w:val="-3"/>
                        <w:sz w:val="21"/>
                      </w:rPr>
                      <w:t> </w:t>
                    </w:r>
                    <w:r>
                      <w:rPr>
                        <w:rFonts w:ascii="Arial" w:hAnsi="Arial"/>
                        <w:color w:val="010202"/>
                        <w:spacing w:val="-1"/>
                        <w:sz w:val="21"/>
                      </w:rPr>
                      <w:t>client’s</w:t>
                    </w:r>
                    <w:r>
                      <w:rPr>
                        <w:rFonts w:ascii="Arial" w:hAnsi="Arial"/>
                        <w:color w:val="010202"/>
                        <w:spacing w:val="-3"/>
                        <w:sz w:val="21"/>
                      </w:rPr>
                      <w:t> </w:t>
                    </w:r>
                    <w:r>
                      <w:rPr>
                        <w:rFonts w:ascii="Arial" w:hAnsi="Arial"/>
                        <w:color w:val="010202"/>
                        <w:sz w:val="21"/>
                      </w:rPr>
                      <w:t>behavior.</w:t>
                    </w:r>
                    <w:r>
                      <w:rPr>
                        <w:rFonts w:ascii="Arial" w:hAnsi="Arial"/>
                        <w:color w:val="010202"/>
                        <w:spacing w:val="-14"/>
                        <w:sz w:val="21"/>
                      </w:rPr>
                      <w:t> </w:t>
                    </w:r>
                    <w:r>
                      <w:rPr>
                        <w:rFonts w:ascii="Arial" w:hAnsi="Arial"/>
                        <w:color w:val="010202"/>
                        <w:sz w:val="21"/>
                      </w:rPr>
                      <w:t>Ask</w:t>
                    </w:r>
                    <w:r>
                      <w:rPr>
                        <w:rFonts w:ascii="Arial" w:hAnsi="Arial"/>
                        <w:color w:val="010202"/>
                        <w:spacing w:val="-3"/>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client</w:t>
                    </w:r>
                    <w:r>
                      <w:rPr>
                        <w:rFonts w:ascii="Arial" w:hAnsi="Arial"/>
                        <w:color w:val="010202"/>
                        <w:spacing w:val="-3"/>
                        <w:sz w:val="21"/>
                      </w:rPr>
                      <w:t> </w:t>
                    </w:r>
                    <w:r>
                      <w:rPr>
                        <w:rFonts w:ascii="Arial" w:hAnsi="Arial"/>
                        <w:color w:val="010202"/>
                        <w:sz w:val="21"/>
                      </w:rPr>
                      <w:t>to</w:t>
                    </w:r>
                    <w:r>
                      <w:rPr>
                        <w:rFonts w:ascii="Arial" w:hAnsi="Arial"/>
                        <w:color w:val="010202"/>
                        <w:spacing w:val="-3"/>
                        <w:sz w:val="21"/>
                      </w:rPr>
                      <w:t> </w:t>
                    </w:r>
                    <w:r>
                      <w:rPr>
                        <w:rFonts w:ascii="Arial" w:hAnsi="Arial"/>
                        <w:color w:val="010202"/>
                        <w:sz w:val="21"/>
                      </w:rPr>
                      <w:t>adjust</w:t>
                    </w:r>
                    <w:r>
                      <w:rPr>
                        <w:rFonts w:ascii="Arial" w:hAnsi="Arial"/>
                        <w:color w:val="010202"/>
                        <w:spacing w:val="-3"/>
                        <w:sz w:val="21"/>
                      </w:rPr>
                      <w:t> </w:t>
                    </w:r>
                    <w:r>
                      <w:rPr>
                        <w:rFonts w:ascii="Arial" w:hAnsi="Arial"/>
                        <w:color w:val="010202"/>
                        <w:sz w:val="21"/>
                      </w:rPr>
                      <w:t>the</w:t>
                    </w:r>
                    <w:r>
                      <w:rPr>
                        <w:rFonts w:ascii="Arial" w:hAnsi="Arial"/>
                        <w:color w:val="010202"/>
                        <w:spacing w:val="-55"/>
                        <w:sz w:val="21"/>
                      </w:rPr>
                      <w:t> </w:t>
                    </w:r>
                    <w:r>
                      <w:rPr>
                        <w:rFonts w:ascii="Arial" w:hAnsi="Arial"/>
                        <w:color w:val="010202"/>
                        <w:sz w:val="21"/>
                      </w:rPr>
                      <w:t>camera angle, if possible, to aid in reading</w:t>
                    </w:r>
                    <w:r>
                      <w:rPr>
                        <w:rFonts w:ascii="Arial" w:hAnsi="Arial"/>
                        <w:color w:val="010202"/>
                        <w:spacing w:val="1"/>
                        <w:sz w:val="21"/>
                      </w:rPr>
                      <w:t> </w:t>
                    </w:r>
                    <w:r>
                      <w:rPr>
                        <w:rFonts w:ascii="Arial" w:hAnsi="Arial"/>
                        <w:color w:val="010202"/>
                        <w:sz w:val="21"/>
                      </w:rPr>
                      <w:t>non-verbal cues.</w:t>
                    </w:r>
                  </w:p>
                  <w:p>
                    <w:pPr>
                      <w:numPr>
                        <w:ilvl w:val="0"/>
                        <w:numId w:val="53"/>
                      </w:numPr>
                      <w:tabs>
                        <w:tab w:pos="539" w:val="left" w:leader="none"/>
                        <w:tab w:pos="540" w:val="left" w:leader="none"/>
                      </w:tabs>
                      <w:spacing w:line="256" w:lineRule="auto" w:before="80"/>
                      <w:ind w:left="539" w:right="603" w:hanging="360"/>
                      <w:jc w:val="left"/>
                      <w:rPr>
                        <w:rFonts w:ascii="Arial" w:hAnsi="Arial"/>
                        <w:sz w:val="21"/>
                      </w:rPr>
                    </w:pPr>
                    <w:r>
                      <w:rPr>
                        <w:rFonts w:ascii="Arial" w:hAnsi="Arial"/>
                        <w:color w:val="010202"/>
                        <w:sz w:val="21"/>
                      </w:rPr>
                      <w:t>While the session may be taking place in</w:t>
                    </w:r>
                    <w:r>
                      <w:rPr>
                        <w:rFonts w:ascii="Arial" w:hAnsi="Arial"/>
                        <w:color w:val="010202"/>
                        <w:spacing w:val="1"/>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client’s</w:t>
                    </w:r>
                    <w:r>
                      <w:rPr>
                        <w:rFonts w:ascii="Arial" w:hAnsi="Arial"/>
                        <w:color w:val="010202"/>
                        <w:spacing w:val="-3"/>
                        <w:sz w:val="21"/>
                      </w:rPr>
                      <w:t> </w:t>
                    </w:r>
                    <w:r>
                      <w:rPr>
                        <w:rFonts w:ascii="Arial" w:hAnsi="Arial"/>
                        <w:color w:val="010202"/>
                        <w:sz w:val="21"/>
                      </w:rPr>
                      <w:t>home,</w:t>
                    </w:r>
                    <w:r>
                      <w:rPr>
                        <w:rFonts w:ascii="Arial" w:hAnsi="Arial"/>
                        <w:color w:val="010202"/>
                        <w:spacing w:val="-3"/>
                        <w:sz w:val="21"/>
                      </w:rPr>
                      <w:t> </w:t>
                    </w:r>
                    <w:r>
                      <w:rPr>
                        <w:rFonts w:ascii="Arial" w:hAnsi="Arial"/>
                        <w:color w:val="010202"/>
                        <w:sz w:val="21"/>
                      </w:rPr>
                      <w:t>ask</w:t>
                    </w:r>
                    <w:r>
                      <w:rPr>
                        <w:rFonts w:ascii="Arial" w:hAnsi="Arial"/>
                        <w:color w:val="010202"/>
                        <w:spacing w:val="-3"/>
                        <w:sz w:val="21"/>
                      </w:rPr>
                      <w:t> </w:t>
                    </w:r>
                    <w:r>
                      <w:rPr>
                        <w:rFonts w:ascii="Arial" w:hAnsi="Arial"/>
                        <w:color w:val="010202"/>
                        <w:sz w:val="21"/>
                      </w:rPr>
                      <w:t>that</w:t>
                    </w:r>
                    <w:r>
                      <w:rPr>
                        <w:rFonts w:ascii="Arial" w:hAnsi="Arial"/>
                        <w:color w:val="010202"/>
                        <w:spacing w:val="-3"/>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client</w:t>
                    </w:r>
                    <w:r>
                      <w:rPr>
                        <w:rFonts w:ascii="Arial" w:hAnsi="Arial"/>
                        <w:color w:val="010202"/>
                        <w:spacing w:val="-3"/>
                        <w:sz w:val="21"/>
                      </w:rPr>
                      <w:t> </w:t>
                    </w:r>
                    <w:r>
                      <w:rPr>
                        <w:rFonts w:ascii="Arial" w:hAnsi="Arial"/>
                        <w:color w:val="010202"/>
                        <w:sz w:val="21"/>
                      </w:rPr>
                      <w:t>dress</w:t>
                    </w:r>
                    <w:r>
                      <w:rPr>
                        <w:rFonts w:ascii="Arial" w:hAnsi="Arial"/>
                        <w:color w:val="010202"/>
                        <w:spacing w:val="-55"/>
                        <w:sz w:val="21"/>
                      </w:rPr>
                      <w:t> </w:t>
                    </w:r>
                    <w:r>
                      <w:rPr>
                        <w:rFonts w:ascii="Arial" w:hAnsi="Arial"/>
                        <w:color w:val="010202"/>
                        <w:sz w:val="21"/>
                      </w:rPr>
                      <w:t>appropriately.</w:t>
                    </w:r>
                  </w:p>
                  <w:p>
                    <w:pPr>
                      <w:numPr>
                        <w:ilvl w:val="0"/>
                        <w:numId w:val="53"/>
                      </w:numPr>
                      <w:tabs>
                        <w:tab w:pos="539" w:val="left" w:leader="none"/>
                        <w:tab w:pos="540" w:val="left" w:leader="none"/>
                      </w:tabs>
                      <w:spacing w:line="256" w:lineRule="auto" w:before="78"/>
                      <w:ind w:left="539" w:right="337" w:hanging="360"/>
                      <w:jc w:val="left"/>
                      <w:rPr>
                        <w:rFonts w:ascii="Arial"/>
                        <w:sz w:val="21"/>
                      </w:rPr>
                    </w:pPr>
                    <w:r>
                      <w:rPr>
                        <w:rFonts w:ascii="Arial"/>
                        <w:color w:val="010202"/>
                        <w:sz w:val="21"/>
                      </w:rPr>
                      <w:t>Remind clients not to multi-task while</w:t>
                    </w:r>
                    <w:r>
                      <w:rPr>
                        <w:rFonts w:ascii="Arial"/>
                        <w:color w:val="010202"/>
                        <w:spacing w:val="1"/>
                        <w:sz w:val="21"/>
                      </w:rPr>
                      <w:t> </w:t>
                    </w:r>
                    <w:r>
                      <w:rPr>
                        <w:rFonts w:ascii="Arial"/>
                        <w:color w:val="010202"/>
                        <w:sz w:val="21"/>
                      </w:rPr>
                      <w:t>engaging in the session, such as texting or</w:t>
                    </w:r>
                    <w:r>
                      <w:rPr>
                        <w:rFonts w:ascii="Arial"/>
                        <w:color w:val="010202"/>
                        <w:spacing w:val="1"/>
                        <w:sz w:val="21"/>
                      </w:rPr>
                      <w:t> </w:t>
                    </w:r>
                    <w:r>
                      <w:rPr>
                        <w:rFonts w:ascii="Arial"/>
                        <w:color w:val="010202"/>
                        <w:sz w:val="21"/>
                      </w:rPr>
                      <w:t>using the Internet. Empower the client to</w:t>
                    </w:r>
                    <w:r>
                      <w:rPr>
                        <w:rFonts w:ascii="Arial"/>
                        <w:color w:val="010202"/>
                        <w:spacing w:val="1"/>
                        <w:sz w:val="21"/>
                      </w:rPr>
                      <w:t> </w:t>
                    </w:r>
                    <w:r>
                      <w:rPr>
                        <w:rFonts w:ascii="Arial"/>
                        <w:color w:val="010202"/>
                        <w:sz w:val="21"/>
                      </w:rPr>
                      <w:t>share</w:t>
                    </w:r>
                    <w:r>
                      <w:rPr>
                        <w:rFonts w:ascii="Arial"/>
                        <w:color w:val="010202"/>
                        <w:spacing w:val="-5"/>
                        <w:sz w:val="21"/>
                      </w:rPr>
                      <w:t> </w:t>
                    </w:r>
                    <w:r>
                      <w:rPr>
                        <w:rFonts w:ascii="Arial"/>
                        <w:color w:val="010202"/>
                        <w:sz w:val="21"/>
                      </w:rPr>
                      <w:t>if</w:t>
                    </w:r>
                    <w:r>
                      <w:rPr>
                        <w:rFonts w:ascii="Arial"/>
                        <w:color w:val="010202"/>
                        <w:spacing w:val="-5"/>
                        <w:sz w:val="21"/>
                      </w:rPr>
                      <w:t> </w:t>
                    </w:r>
                    <w:r>
                      <w:rPr>
                        <w:rFonts w:ascii="Arial"/>
                        <w:color w:val="010202"/>
                        <w:sz w:val="21"/>
                      </w:rPr>
                      <w:t>they</w:t>
                    </w:r>
                    <w:r>
                      <w:rPr>
                        <w:rFonts w:ascii="Arial"/>
                        <w:color w:val="010202"/>
                        <w:spacing w:val="-4"/>
                        <w:sz w:val="21"/>
                      </w:rPr>
                      <w:t> </w:t>
                    </w:r>
                    <w:r>
                      <w:rPr>
                        <w:rFonts w:ascii="Arial"/>
                        <w:color w:val="010202"/>
                        <w:sz w:val="21"/>
                      </w:rPr>
                      <w:t>are</w:t>
                    </w:r>
                    <w:r>
                      <w:rPr>
                        <w:rFonts w:ascii="Arial"/>
                        <w:color w:val="010202"/>
                        <w:spacing w:val="-6"/>
                        <w:sz w:val="21"/>
                      </w:rPr>
                      <w:t> </w:t>
                    </w:r>
                    <w:r>
                      <w:rPr>
                        <w:rFonts w:ascii="Arial"/>
                        <w:color w:val="010202"/>
                        <w:sz w:val="21"/>
                      </w:rPr>
                      <w:t>having</w:t>
                    </w:r>
                    <w:r>
                      <w:rPr>
                        <w:rFonts w:ascii="Arial"/>
                        <w:color w:val="010202"/>
                        <w:spacing w:val="-5"/>
                        <w:sz w:val="21"/>
                      </w:rPr>
                      <w:t> </w:t>
                    </w:r>
                    <w:r>
                      <w:rPr>
                        <w:rFonts w:ascii="Arial"/>
                        <w:color w:val="010202"/>
                        <w:sz w:val="21"/>
                      </w:rPr>
                      <w:t>difficulties</w:t>
                    </w:r>
                    <w:r>
                      <w:rPr>
                        <w:rFonts w:ascii="Arial"/>
                        <w:color w:val="010202"/>
                        <w:spacing w:val="-5"/>
                        <w:sz w:val="21"/>
                      </w:rPr>
                      <w:t> </w:t>
                    </w:r>
                    <w:r>
                      <w:rPr>
                        <w:rFonts w:ascii="Arial"/>
                        <w:color w:val="010202"/>
                        <w:sz w:val="21"/>
                      </w:rPr>
                      <w:t>hearing</w:t>
                    </w:r>
                    <w:r>
                      <w:rPr>
                        <w:rFonts w:ascii="Arial"/>
                        <w:color w:val="010202"/>
                        <w:spacing w:val="-5"/>
                        <w:sz w:val="21"/>
                      </w:rPr>
                      <w:t> </w:t>
                    </w:r>
                    <w:r>
                      <w:rPr>
                        <w:rFonts w:ascii="Arial"/>
                        <w:color w:val="010202"/>
                        <w:sz w:val="21"/>
                      </w:rPr>
                      <w:t>or</w:t>
                    </w:r>
                    <w:r>
                      <w:rPr>
                        <w:rFonts w:ascii="Arial"/>
                        <w:color w:val="010202"/>
                        <w:spacing w:val="-56"/>
                        <w:sz w:val="21"/>
                      </w:rPr>
                      <w:t> </w:t>
                    </w:r>
                    <w:r>
                      <w:rPr>
                        <w:rFonts w:ascii="Arial"/>
                        <w:color w:val="010202"/>
                        <w:sz w:val="21"/>
                      </w:rPr>
                      <w:t>engaging</w:t>
                    </w:r>
                    <w:r>
                      <w:rPr>
                        <w:rFonts w:ascii="Arial"/>
                        <w:color w:val="010202"/>
                        <w:spacing w:val="-1"/>
                        <w:sz w:val="21"/>
                      </w:rPr>
                      <w:t> </w:t>
                    </w:r>
                    <w:r>
                      <w:rPr>
                        <w:rFonts w:ascii="Arial"/>
                        <w:color w:val="010202"/>
                        <w:sz w:val="21"/>
                      </w:rPr>
                      <w:t>with the</w:t>
                    </w:r>
                    <w:r>
                      <w:rPr>
                        <w:rFonts w:ascii="Arial"/>
                        <w:color w:val="010202"/>
                        <w:spacing w:val="-1"/>
                        <w:sz w:val="21"/>
                      </w:rPr>
                      <w:t> </w:t>
                    </w:r>
                    <w:r>
                      <w:rPr>
                        <w:rFonts w:ascii="Arial"/>
                        <w:color w:val="010202"/>
                        <w:sz w:val="21"/>
                      </w:rPr>
                      <w:t>provider.</w:t>
                    </w:r>
                  </w:p>
                  <w:p>
                    <w:pPr>
                      <w:numPr>
                        <w:ilvl w:val="0"/>
                        <w:numId w:val="53"/>
                      </w:numPr>
                      <w:tabs>
                        <w:tab w:pos="539" w:val="left" w:leader="none"/>
                        <w:tab w:pos="540" w:val="left" w:leader="none"/>
                      </w:tabs>
                      <w:spacing w:line="256" w:lineRule="auto" w:before="81"/>
                      <w:ind w:left="539" w:right="214" w:hanging="360"/>
                      <w:jc w:val="left"/>
                      <w:rPr>
                        <w:rFonts w:ascii="Arial" w:hAnsi="Arial"/>
                        <w:sz w:val="21"/>
                      </w:rPr>
                    </w:pPr>
                    <w:r>
                      <w:rPr>
                        <w:rFonts w:ascii="Arial" w:hAnsi="Arial"/>
                        <w:color w:val="010202"/>
                        <w:sz w:val="21"/>
                      </w:rPr>
                      <w:t>Remind the client that while the provider may</w:t>
                    </w:r>
                    <w:r>
                      <w:rPr>
                        <w:rFonts w:ascii="Arial" w:hAnsi="Arial"/>
                        <w:color w:val="010202"/>
                        <w:spacing w:val="1"/>
                        <w:sz w:val="21"/>
                      </w:rPr>
                      <w:t> </w:t>
                    </w:r>
                    <w:r>
                      <w:rPr>
                        <w:rFonts w:ascii="Arial" w:hAnsi="Arial"/>
                        <w:color w:val="010202"/>
                        <w:sz w:val="21"/>
                      </w:rPr>
                      <w:t>be taking notes or documenting in the medical</w:t>
                    </w:r>
                    <w:r>
                      <w:rPr>
                        <w:rFonts w:ascii="Arial" w:hAnsi="Arial"/>
                        <w:color w:val="010202"/>
                        <w:spacing w:val="-57"/>
                        <w:sz w:val="21"/>
                      </w:rPr>
                      <w:t> </w:t>
                    </w:r>
                    <w:r>
                      <w:rPr>
                        <w:rFonts w:ascii="Arial" w:hAnsi="Arial"/>
                        <w:color w:val="010202"/>
                        <w:sz w:val="21"/>
                      </w:rPr>
                      <w:t>record, the provider’s attention</w:t>
                    </w:r>
                    <w:r>
                      <w:rPr>
                        <w:rFonts w:ascii="Arial" w:hAnsi="Arial"/>
                        <w:color w:val="010202"/>
                        <w:spacing w:val="1"/>
                        <w:sz w:val="21"/>
                      </w:rPr>
                      <w:t> </w:t>
                    </w:r>
                    <w:r>
                      <w:rPr>
                        <w:rFonts w:ascii="Arial" w:hAnsi="Arial"/>
                        <w:color w:val="010202"/>
                        <w:sz w:val="21"/>
                      </w:rPr>
                      <w:t>is focused on</w:t>
                    </w:r>
                    <w:r>
                      <w:rPr>
                        <w:rFonts w:ascii="Arial" w:hAnsi="Arial"/>
                        <w:color w:val="010202"/>
                        <w:spacing w:val="1"/>
                        <w:sz w:val="21"/>
                      </w:rPr>
                      <w:t> </w:t>
                    </w:r>
                    <w:r>
                      <w:rPr>
                        <w:rFonts w:ascii="Arial" w:hAnsi="Arial"/>
                        <w:color w:val="010202"/>
                        <w:sz w:val="21"/>
                      </w:rPr>
                      <w:t>the client.</w:t>
                    </w:r>
                  </w:p>
                </w:txbxContent>
              </v:textbox>
              <w10:wrap type="none"/>
            </v:shape>
            <w10:wrap type="none"/>
          </v:group>
        </w:pict>
      </w:r>
      <w:r>
        <w:rPr>
          <w:b/>
          <w:color w:val="010202"/>
          <w:sz w:val="22"/>
        </w:rPr>
        <w:t>Develop</w:t>
      </w:r>
      <w:r>
        <w:rPr>
          <w:b/>
          <w:color w:val="010202"/>
          <w:spacing w:val="-3"/>
          <w:sz w:val="22"/>
        </w:rPr>
        <w:t> </w:t>
      </w:r>
      <w:r>
        <w:rPr>
          <w:b/>
          <w:color w:val="010202"/>
          <w:sz w:val="22"/>
        </w:rPr>
        <w:t>a</w:t>
      </w:r>
      <w:r>
        <w:rPr>
          <w:b/>
          <w:color w:val="010202"/>
          <w:spacing w:val="-2"/>
          <w:sz w:val="22"/>
        </w:rPr>
        <w:t> </w:t>
      </w:r>
      <w:r>
        <w:rPr>
          <w:b/>
          <w:color w:val="010202"/>
          <w:sz w:val="22"/>
        </w:rPr>
        <w:t>telehealth</w:t>
      </w:r>
      <w:r>
        <w:rPr>
          <w:b/>
          <w:color w:val="010202"/>
          <w:spacing w:val="-2"/>
          <w:sz w:val="22"/>
        </w:rPr>
        <w:t> </w:t>
      </w:r>
      <w:r>
        <w:rPr>
          <w:b/>
          <w:color w:val="010202"/>
          <w:sz w:val="22"/>
        </w:rPr>
        <w:t>checklist</w:t>
      </w:r>
      <w:r>
        <w:rPr>
          <w:b/>
          <w:color w:val="010202"/>
          <w:spacing w:val="-2"/>
          <w:sz w:val="22"/>
        </w:rPr>
        <w:t> </w:t>
      </w:r>
      <w:r>
        <w:rPr>
          <w:b/>
          <w:color w:val="010202"/>
          <w:sz w:val="22"/>
        </w:rPr>
        <w:t>for</w:t>
      </w:r>
      <w:r>
        <w:rPr>
          <w:b/>
          <w:color w:val="010202"/>
          <w:spacing w:val="-6"/>
          <w:sz w:val="22"/>
        </w:rPr>
        <w:t> </w:t>
      </w:r>
      <w:r>
        <w:rPr>
          <w:b/>
          <w:color w:val="010202"/>
          <w:sz w:val="22"/>
        </w:rPr>
        <w:t>the</w:t>
      </w:r>
      <w:r>
        <w:rPr>
          <w:b/>
          <w:color w:val="010202"/>
          <w:spacing w:val="-2"/>
          <w:sz w:val="22"/>
        </w:rPr>
        <w:t> </w:t>
      </w:r>
      <w:r>
        <w:rPr>
          <w:b/>
          <w:color w:val="010202"/>
          <w:sz w:val="22"/>
        </w:rPr>
        <w:t>provider</w:t>
      </w:r>
      <w:r>
        <w:rPr>
          <w:b/>
          <w:color w:val="010202"/>
          <w:spacing w:val="-53"/>
          <w:sz w:val="22"/>
        </w:rPr>
        <w:t> </w:t>
      </w:r>
      <w:r>
        <w:rPr>
          <w:b/>
          <w:color w:val="010202"/>
          <w:sz w:val="22"/>
        </w:rPr>
        <w:t>to</w:t>
      </w:r>
      <w:r>
        <w:rPr>
          <w:b/>
          <w:color w:val="010202"/>
          <w:spacing w:val="-1"/>
          <w:sz w:val="22"/>
        </w:rPr>
        <w:t> </w:t>
      </w:r>
      <w:r>
        <w:rPr>
          <w:b/>
          <w:color w:val="010202"/>
          <w:sz w:val="22"/>
        </w:rPr>
        <w:t>use</w:t>
      </w:r>
      <w:r>
        <w:rPr>
          <w:b/>
          <w:color w:val="010202"/>
          <w:spacing w:val="-1"/>
          <w:sz w:val="22"/>
        </w:rPr>
        <w:t> </w:t>
      </w:r>
      <w:r>
        <w:rPr>
          <w:b/>
          <w:color w:val="010202"/>
          <w:sz w:val="22"/>
        </w:rPr>
        <w:t>prior</w:t>
      </w:r>
      <w:r>
        <w:rPr>
          <w:b/>
          <w:color w:val="010202"/>
          <w:spacing w:val="-6"/>
          <w:sz w:val="22"/>
        </w:rPr>
        <w:t> </w:t>
      </w:r>
      <w:r>
        <w:rPr>
          <w:b/>
          <w:color w:val="010202"/>
          <w:sz w:val="22"/>
        </w:rPr>
        <w:t>to each</w:t>
      </w:r>
      <w:r>
        <w:rPr>
          <w:b/>
          <w:color w:val="010202"/>
          <w:spacing w:val="-1"/>
          <w:sz w:val="22"/>
        </w:rPr>
        <w:t> </w:t>
      </w:r>
      <w:r>
        <w:rPr>
          <w:b/>
          <w:color w:val="010202"/>
          <w:sz w:val="22"/>
        </w:rPr>
        <w:t>visit </w:t>
      </w:r>
      <w:r>
        <w:rPr>
          <w:color w:val="010202"/>
          <w:sz w:val="22"/>
        </w:rPr>
        <w:t>–</w:t>
      </w:r>
      <w:r>
        <w:rPr>
          <w:color w:val="010202"/>
          <w:spacing w:val="-13"/>
          <w:sz w:val="22"/>
        </w:rPr>
        <w:t> </w:t>
      </w:r>
      <w:r>
        <w:rPr>
          <w:color w:val="010202"/>
          <w:sz w:val="22"/>
        </w:rPr>
        <w:t>A</w:t>
      </w:r>
      <w:r>
        <w:rPr>
          <w:color w:val="010202"/>
          <w:spacing w:val="-14"/>
          <w:sz w:val="22"/>
        </w:rPr>
        <w:t> </w:t>
      </w:r>
      <w:r>
        <w:rPr>
          <w:color w:val="010202"/>
          <w:sz w:val="22"/>
        </w:rPr>
        <w:t>checklist can be</w:t>
      </w:r>
    </w:p>
    <w:p>
      <w:pPr>
        <w:pStyle w:val="BodyText"/>
        <w:spacing w:line="266" w:lineRule="auto" w:before="1"/>
        <w:ind w:left="839" w:right="6930"/>
        <w:jc w:val="both"/>
        <w:rPr>
          <w:sz w:val="11"/>
        </w:rPr>
      </w:pPr>
      <w:r>
        <w:rPr>
          <w:color w:val="010202"/>
        </w:rPr>
        <w:t>a convenient way to ensure the provider has</w:t>
      </w:r>
      <w:r>
        <w:rPr>
          <w:color w:val="010202"/>
          <w:spacing w:val="-52"/>
        </w:rPr>
        <w:t> </w:t>
      </w:r>
      <w:r>
        <w:rPr>
          <w:color w:val="010202"/>
        </w:rPr>
        <w:t>followed appropriate procedures and shared</w:t>
      </w:r>
      <w:r>
        <w:rPr>
          <w:color w:val="010202"/>
          <w:spacing w:val="-52"/>
        </w:rPr>
        <w:t> </w:t>
      </w:r>
      <w:r>
        <w:rPr>
          <w:color w:val="010202"/>
        </w:rPr>
        <w:t>relevant information with</w:t>
      </w:r>
      <w:r>
        <w:rPr>
          <w:color w:val="010202"/>
          <w:spacing w:val="1"/>
        </w:rPr>
        <w:t> </w:t>
      </w:r>
      <w:r>
        <w:rPr>
          <w:color w:val="010202"/>
        </w:rPr>
        <w:t>the client.</w:t>
      </w:r>
      <w:r>
        <w:rPr>
          <w:color w:val="010202"/>
          <w:position w:val="7"/>
          <w:sz w:val="11"/>
        </w:rPr>
        <w:t>26</w:t>
      </w:r>
    </w:p>
    <w:p>
      <w:pPr>
        <w:pStyle w:val="ListParagraph"/>
        <w:numPr>
          <w:ilvl w:val="0"/>
          <w:numId w:val="13"/>
        </w:numPr>
        <w:tabs>
          <w:tab w:pos="839" w:val="left" w:leader="none"/>
          <w:tab w:pos="841" w:val="left" w:leader="none"/>
        </w:tabs>
        <w:spacing w:line="266" w:lineRule="auto" w:before="28" w:after="0"/>
        <w:ind w:left="840" w:right="6628" w:hanging="360"/>
        <w:jc w:val="left"/>
        <w:rPr>
          <w:sz w:val="22"/>
        </w:rPr>
      </w:pPr>
      <w:r>
        <w:rPr>
          <w:b/>
          <w:color w:val="010202"/>
          <w:spacing w:val="-4"/>
          <w:sz w:val="22"/>
        </w:rPr>
        <w:t>Discuss ways to ensure </w:t>
      </w:r>
      <w:r>
        <w:rPr>
          <w:b/>
          <w:color w:val="010202"/>
          <w:spacing w:val="-3"/>
          <w:sz w:val="22"/>
        </w:rPr>
        <w:t>client privacy during</w:t>
      </w:r>
      <w:r>
        <w:rPr>
          <w:b/>
          <w:color w:val="010202"/>
          <w:spacing w:val="-2"/>
          <w:sz w:val="22"/>
        </w:rPr>
        <w:t> </w:t>
      </w:r>
      <w:r>
        <w:rPr>
          <w:b/>
          <w:color w:val="010202"/>
          <w:spacing w:val="-5"/>
          <w:sz w:val="22"/>
        </w:rPr>
        <w:t>sessions </w:t>
      </w:r>
      <w:r>
        <w:rPr>
          <w:color w:val="010202"/>
          <w:spacing w:val="-5"/>
          <w:sz w:val="22"/>
        </w:rPr>
        <w:t>– To guarantee privacy, </w:t>
      </w:r>
      <w:r>
        <w:rPr>
          <w:color w:val="010202"/>
          <w:spacing w:val="-4"/>
          <w:sz w:val="22"/>
        </w:rPr>
        <w:t>consider making</w:t>
      </w:r>
      <w:r>
        <w:rPr>
          <w:color w:val="010202"/>
          <w:spacing w:val="-52"/>
          <w:sz w:val="22"/>
        </w:rPr>
        <w:t> </w:t>
      </w:r>
      <w:r>
        <w:rPr>
          <w:color w:val="010202"/>
          <w:spacing w:val="-3"/>
          <w:sz w:val="22"/>
        </w:rPr>
        <w:t>it a practice to clarify the client’s </w:t>
      </w:r>
      <w:r>
        <w:rPr>
          <w:color w:val="010202"/>
          <w:spacing w:val="-2"/>
          <w:sz w:val="22"/>
        </w:rPr>
        <w:t>location and</w:t>
      </w:r>
      <w:r>
        <w:rPr>
          <w:color w:val="010202"/>
          <w:spacing w:val="-1"/>
          <w:sz w:val="22"/>
        </w:rPr>
        <w:t> </w:t>
      </w:r>
      <w:r>
        <w:rPr>
          <w:color w:val="010202"/>
          <w:spacing w:val="-3"/>
          <w:sz w:val="22"/>
        </w:rPr>
        <w:t>who</w:t>
      </w:r>
      <w:r>
        <w:rPr>
          <w:color w:val="010202"/>
          <w:spacing w:val="-11"/>
          <w:sz w:val="22"/>
        </w:rPr>
        <w:t> </w:t>
      </w:r>
      <w:r>
        <w:rPr>
          <w:color w:val="010202"/>
          <w:spacing w:val="-3"/>
          <w:sz w:val="22"/>
        </w:rPr>
        <w:t>is</w:t>
      </w:r>
      <w:r>
        <w:rPr>
          <w:color w:val="010202"/>
          <w:spacing w:val="-10"/>
          <w:sz w:val="22"/>
        </w:rPr>
        <w:t> </w:t>
      </w:r>
      <w:r>
        <w:rPr>
          <w:color w:val="010202"/>
          <w:spacing w:val="-3"/>
          <w:sz w:val="22"/>
        </w:rPr>
        <w:t>in</w:t>
      </w:r>
      <w:r>
        <w:rPr>
          <w:color w:val="010202"/>
          <w:spacing w:val="-10"/>
          <w:sz w:val="22"/>
        </w:rPr>
        <w:t> </w:t>
      </w:r>
      <w:r>
        <w:rPr>
          <w:color w:val="010202"/>
          <w:spacing w:val="-3"/>
          <w:sz w:val="22"/>
        </w:rPr>
        <w:t>the</w:t>
      </w:r>
      <w:r>
        <w:rPr>
          <w:color w:val="010202"/>
          <w:spacing w:val="-10"/>
          <w:sz w:val="22"/>
        </w:rPr>
        <w:t> </w:t>
      </w:r>
      <w:r>
        <w:rPr>
          <w:color w:val="010202"/>
          <w:spacing w:val="-3"/>
          <w:sz w:val="22"/>
        </w:rPr>
        <w:t>virtual</w:t>
      </w:r>
      <w:r>
        <w:rPr>
          <w:color w:val="010202"/>
          <w:spacing w:val="-11"/>
          <w:sz w:val="22"/>
        </w:rPr>
        <w:t> </w:t>
      </w:r>
      <w:r>
        <w:rPr>
          <w:color w:val="010202"/>
          <w:spacing w:val="-3"/>
          <w:sz w:val="22"/>
        </w:rPr>
        <w:t>room</w:t>
      </w:r>
      <w:r>
        <w:rPr>
          <w:color w:val="010202"/>
          <w:spacing w:val="-10"/>
          <w:sz w:val="22"/>
        </w:rPr>
        <w:t> </w:t>
      </w:r>
      <w:r>
        <w:rPr>
          <w:color w:val="010202"/>
          <w:spacing w:val="-3"/>
          <w:sz w:val="22"/>
        </w:rPr>
        <w:t>in</w:t>
      </w:r>
      <w:r>
        <w:rPr>
          <w:color w:val="010202"/>
          <w:spacing w:val="-10"/>
          <w:sz w:val="22"/>
        </w:rPr>
        <w:t> </w:t>
      </w:r>
      <w:r>
        <w:rPr>
          <w:color w:val="010202"/>
          <w:spacing w:val="-3"/>
          <w:sz w:val="22"/>
        </w:rPr>
        <w:t>case</w:t>
      </w:r>
      <w:r>
        <w:rPr>
          <w:color w:val="010202"/>
          <w:spacing w:val="-10"/>
          <w:sz w:val="22"/>
        </w:rPr>
        <w:t> </w:t>
      </w:r>
      <w:r>
        <w:rPr>
          <w:color w:val="010202"/>
          <w:spacing w:val="-3"/>
          <w:sz w:val="22"/>
        </w:rPr>
        <w:t>someone</w:t>
      </w:r>
      <w:r>
        <w:rPr>
          <w:color w:val="010202"/>
          <w:spacing w:val="-11"/>
          <w:sz w:val="22"/>
        </w:rPr>
        <w:t> </w:t>
      </w:r>
      <w:r>
        <w:rPr>
          <w:color w:val="010202"/>
          <w:spacing w:val="-2"/>
          <w:sz w:val="22"/>
        </w:rPr>
        <w:t>is</w:t>
      </w:r>
      <w:r>
        <w:rPr>
          <w:color w:val="010202"/>
          <w:spacing w:val="-10"/>
          <w:sz w:val="22"/>
        </w:rPr>
        <w:t> </w:t>
      </w:r>
      <w:r>
        <w:rPr>
          <w:color w:val="010202"/>
          <w:spacing w:val="-2"/>
          <w:sz w:val="22"/>
        </w:rPr>
        <w:t>off-</w:t>
      </w:r>
      <w:r>
        <w:rPr>
          <w:color w:val="010202"/>
          <w:spacing w:val="-52"/>
          <w:sz w:val="22"/>
        </w:rPr>
        <w:t> </w:t>
      </w:r>
      <w:r>
        <w:rPr>
          <w:color w:val="010202"/>
          <w:w w:val="95"/>
          <w:sz w:val="22"/>
        </w:rPr>
        <w:t>camera.</w:t>
      </w:r>
      <w:r>
        <w:rPr>
          <w:color w:val="010202"/>
          <w:spacing w:val="-4"/>
          <w:w w:val="95"/>
          <w:sz w:val="22"/>
        </w:rPr>
        <w:t> </w:t>
      </w:r>
      <w:r>
        <w:rPr>
          <w:color w:val="010202"/>
          <w:w w:val="95"/>
          <w:sz w:val="22"/>
        </w:rPr>
        <w:t>This</w:t>
      </w:r>
      <w:r>
        <w:rPr>
          <w:color w:val="010202"/>
          <w:spacing w:val="2"/>
          <w:w w:val="95"/>
          <w:sz w:val="22"/>
        </w:rPr>
        <w:t> </w:t>
      </w:r>
      <w:r>
        <w:rPr>
          <w:color w:val="010202"/>
          <w:w w:val="95"/>
          <w:sz w:val="22"/>
        </w:rPr>
        <w:t>action</w:t>
      </w:r>
      <w:r>
        <w:rPr>
          <w:color w:val="010202"/>
          <w:spacing w:val="1"/>
          <w:w w:val="95"/>
          <w:sz w:val="22"/>
        </w:rPr>
        <w:t> </w:t>
      </w:r>
      <w:r>
        <w:rPr>
          <w:color w:val="010202"/>
          <w:w w:val="95"/>
          <w:sz w:val="22"/>
        </w:rPr>
        <w:t>can</w:t>
      </w:r>
      <w:r>
        <w:rPr>
          <w:color w:val="010202"/>
          <w:spacing w:val="2"/>
          <w:w w:val="95"/>
          <w:sz w:val="22"/>
        </w:rPr>
        <w:t> </w:t>
      </w:r>
      <w:r>
        <w:rPr>
          <w:color w:val="010202"/>
          <w:w w:val="95"/>
          <w:sz w:val="22"/>
        </w:rPr>
        <w:t>affirm</w:t>
      </w:r>
      <w:r>
        <w:rPr>
          <w:color w:val="010202"/>
          <w:spacing w:val="2"/>
          <w:w w:val="95"/>
          <w:sz w:val="22"/>
        </w:rPr>
        <w:t> </w:t>
      </w:r>
      <w:r>
        <w:rPr>
          <w:color w:val="010202"/>
          <w:w w:val="95"/>
          <w:sz w:val="22"/>
        </w:rPr>
        <w:t>your</w:t>
      </w:r>
      <w:r>
        <w:rPr>
          <w:color w:val="010202"/>
          <w:spacing w:val="1"/>
          <w:w w:val="95"/>
          <w:sz w:val="22"/>
        </w:rPr>
        <w:t> </w:t>
      </w:r>
      <w:r>
        <w:rPr>
          <w:color w:val="010202"/>
          <w:w w:val="95"/>
          <w:sz w:val="22"/>
        </w:rPr>
        <w:t>commitment</w:t>
      </w:r>
      <w:r>
        <w:rPr>
          <w:color w:val="010202"/>
          <w:spacing w:val="1"/>
          <w:w w:val="95"/>
          <w:sz w:val="22"/>
        </w:rPr>
        <w:t> </w:t>
      </w:r>
      <w:r>
        <w:rPr>
          <w:color w:val="010202"/>
          <w:sz w:val="22"/>
        </w:rPr>
        <w:t>to</w:t>
      </w:r>
      <w:r>
        <w:rPr>
          <w:color w:val="010202"/>
          <w:spacing w:val="-10"/>
          <w:sz w:val="22"/>
        </w:rPr>
        <w:t> </w:t>
      </w:r>
      <w:r>
        <w:rPr>
          <w:color w:val="010202"/>
          <w:sz w:val="22"/>
        </w:rPr>
        <w:t>the</w:t>
      </w:r>
      <w:r>
        <w:rPr>
          <w:color w:val="010202"/>
          <w:spacing w:val="-10"/>
          <w:sz w:val="22"/>
        </w:rPr>
        <w:t> </w:t>
      </w:r>
      <w:r>
        <w:rPr>
          <w:color w:val="010202"/>
          <w:sz w:val="22"/>
        </w:rPr>
        <w:t>client’s</w:t>
      </w:r>
      <w:r>
        <w:rPr>
          <w:color w:val="010202"/>
          <w:spacing w:val="-10"/>
          <w:sz w:val="22"/>
        </w:rPr>
        <w:t> </w:t>
      </w:r>
      <w:r>
        <w:rPr>
          <w:color w:val="010202"/>
          <w:sz w:val="22"/>
        </w:rPr>
        <w:t>privacy.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3"/>
        </w:rPr>
      </w:pPr>
    </w:p>
    <w:p>
      <w:pPr>
        <w:spacing w:after="0"/>
        <w:rPr>
          <w:sz w:val="23"/>
        </w:rPr>
        <w:sectPr>
          <w:pgSz w:w="12240" w:h="15840"/>
          <w:pgMar w:header="0" w:footer="666" w:top="380" w:bottom="860" w:left="600" w:right="0"/>
        </w:sectPr>
      </w:pPr>
    </w:p>
    <w:p>
      <w:pPr>
        <w:pStyle w:val="BodyText"/>
      </w:pPr>
    </w:p>
    <w:p>
      <w:pPr>
        <w:pStyle w:val="BodyText"/>
      </w:pPr>
    </w:p>
    <w:p>
      <w:pPr>
        <w:pStyle w:val="BodyText"/>
      </w:pPr>
    </w:p>
    <w:p>
      <w:pPr>
        <w:pStyle w:val="BodyText"/>
      </w:pPr>
    </w:p>
    <w:p>
      <w:pPr>
        <w:pStyle w:val="BodyText"/>
      </w:pPr>
    </w:p>
    <w:p>
      <w:pPr>
        <w:pStyle w:val="BodyText"/>
      </w:pPr>
    </w:p>
    <w:p>
      <w:pPr>
        <w:spacing w:before="183"/>
        <w:ind w:left="120" w:right="0" w:firstLine="0"/>
        <w:jc w:val="left"/>
        <w:rPr>
          <w:rFonts w:ascii="Arial"/>
          <w:b/>
          <w:sz w:val="20"/>
        </w:rPr>
      </w:pPr>
      <w:r>
        <w:rPr/>
        <w:pict>
          <v:group style="position:absolute;margin-left:36pt;margin-top:-238.099823pt;width:252pt;height:235.25pt;mso-position-horizontal-relative:page;mso-position-vertical-relative:paragraph;z-index:15748096" id="docshapegroup118" coordorigin="720,-4762" coordsize="5040,4705">
            <v:shape style="position:absolute;left:720;top:-4762;width:5040;height:4705" id="docshape119" coordorigin="720,-4762" coordsize="5040,4705" path="m5670,-4762l810,-4762,775,-4755,746,-4736,727,-4707,720,-4672,720,-147,727,-112,746,-84,775,-64,810,-57,5670,-57,5705,-64,5734,-84,5753,-112,5760,-147,5760,-4672,5753,-4707,5734,-4736,5705,-4755,5670,-4762xe" filled="true" fillcolor="#f7e0e0" stroked="false">
              <v:path arrowok="t"/>
              <v:fill type="solid"/>
            </v:shape>
            <v:shape style="position:absolute;left:720;top:-4762;width:5040;height:4705" type="#_x0000_t202" id="docshape120" filled="false" stroked="false">
              <v:textbox inset="0,0,0,0">
                <w:txbxContent>
                  <w:p>
                    <w:pPr>
                      <w:spacing w:before="107"/>
                      <w:ind w:left="1069" w:right="0" w:firstLine="0"/>
                      <w:jc w:val="left"/>
                      <w:rPr>
                        <w:rFonts w:ascii="Arial Black"/>
                        <w:sz w:val="24"/>
                      </w:rPr>
                    </w:pPr>
                    <w:r>
                      <w:rPr>
                        <w:rFonts w:ascii="Arial Black"/>
                        <w:color w:val="CE384B"/>
                        <w:spacing w:val="-6"/>
                        <w:sz w:val="24"/>
                      </w:rPr>
                      <w:t>Special</w:t>
                    </w:r>
                    <w:r>
                      <w:rPr>
                        <w:rFonts w:ascii="Arial Black"/>
                        <w:color w:val="CE384B"/>
                        <w:spacing w:val="-11"/>
                        <w:sz w:val="24"/>
                      </w:rPr>
                      <w:t> </w:t>
                    </w:r>
                    <w:r>
                      <w:rPr>
                        <w:rFonts w:ascii="Arial Black"/>
                        <w:color w:val="CE384B"/>
                        <w:spacing w:val="-6"/>
                        <w:sz w:val="24"/>
                      </w:rPr>
                      <w:t>Considerations</w:t>
                    </w:r>
                  </w:p>
                  <w:p>
                    <w:pPr>
                      <w:spacing w:line="230" w:lineRule="auto" w:before="88"/>
                      <w:ind w:left="180" w:right="264" w:firstLine="0"/>
                      <w:jc w:val="both"/>
                      <w:rPr>
                        <w:sz w:val="12"/>
                      </w:rPr>
                    </w:pPr>
                    <w:r>
                      <w:rPr>
                        <w:rFonts w:ascii="Arial"/>
                        <w:color w:val="231F20"/>
                        <w:sz w:val="21"/>
                      </w:rPr>
                      <w:t>Some</w:t>
                    </w:r>
                    <w:r>
                      <w:rPr>
                        <w:rFonts w:ascii="Arial"/>
                        <w:color w:val="231F20"/>
                        <w:spacing w:val="-4"/>
                        <w:sz w:val="21"/>
                      </w:rPr>
                      <w:t> </w:t>
                    </w:r>
                    <w:r>
                      <w:rPr>
                        <w:rFonts w:ascii="Arial"/>
                        <w:color w:val="231F20"/>
                        <w:sz w:val="21"/>
                      </w:rPr>
                      <w:t>clients</w:t>
                    </w:r>
                    <w:r>
                      <w:rPr>
                        <w:rFonts w:ascii="Arial"/>
                        <w:color w:val="231F20"/>
                        <w:spacing w:val="-3"/>
                        <w:sz w:val="21"/>
                      </w:rPr>
                      <w:t> </w:t>
                    </w:r>
                    <w:r>
                      <w:rPr>
                        <w:rFonts w:ascii="Arial"/>
                        <w:color w:val="231F20"/>
                        <w:sz w:val="21"/>
                      </w:rPr>
                      <w:t>may</w:t>
                    </w:r>
                    <w:r>
                      <w:rPr>
                        <w:rFonts w:ascii="Arial"/>
                        <w:color w:val="231F20"/>
                        <w:spacing w:val="-4"/>
                        <w:sz w:val="21"/>
                      </w:rPr>
                      <w:t> </w:t>
                    </w:r>
                    <w:r>
                      <w:rPr>
                        <w:rFonts w:ascii="Arial"/>
                        <w:color w:val="231F20"/>
                        <w:sz w:val="21"/>
                      </w:rPr>
                      <w:t>have</w:t>
                    </w:r>
                    <w:r>
                      <w:rPr>
                        <w:rFonts w:ascii="Arial"/>
                        <w:color w:val="231F20"/>
                        <w:spacing w:val="-4"/>
                        <w:sz w:val="21"/>
                      </w:rPr>
                      <w:t> </w:t>
                    </w:r>
                    <w:r>
                      <w:rPr>
                        <w:rFonts w:ascii="Arial"/>
                        <w:color w:val="231F20"/>
                        <w:sz w:val="21"/>
                      </w:rPr>
                      <w:t>difficulty</w:t>
                    </w:r>
                    <w:r>
                      <w:rPr>
                        <w:rFonts w:ascii="Arial"/>
                        <w:color w:val="231F20"/>
                        <w:spacing w:val="-4"/>
                        <w:sz w:val="21"/>
                      </w:rPr>
                      <w:t> </w:t>
                    </w:r>
                    <w:r>
                      <w:rPr>
                        <w:rFonts w:ascii="Arial"/>
                        <w:color w:val="231F20"/>
                        <w:sz w:val="21"/>
                      </w:rPr>
                      <w:t>engaging</w:t>
                    </w:r>
                    <w:r>
                      <w:rPr>
                        <w:rFonts w:ascii="Arial"/>
                        <w:color w:val="231F20"/>
                        <w:spacing w:val="-5"/>
                        <w:sz w:val="21"/>
                      </w:rPr>
                      <w:t> </w:t>
                    </w:r>
                    <w:r>
                      <w:rPr>
                        <w:rFonts w:ascii="Arial"/>
                        <w:color w:val="231F20"/>
                        <w:sz w:val="21"/>
                      </w:rPr>
                      <w:t>in</w:t>
                    </w:r>
                    <w:r>
                      <w:rPr>
                        <w:rFonts w:ascii="Arial"/>
                        <w:color w:val="231F20"/>
                        <w:spacing w:val="-4"/>
                        <w:sz w:val="21"/>
                      </w:rPr>
                      <w:t> </w:t>
                    </w:r>
                    <w:r>
                      <w:rPr>
                        <w:rFonts w:ascii="Arial"/>
                        <w:color w:val="231F20"/>
                        <w:sz w:val="21"/>
                      </w:rPr>
                      <w:t>tele-</w:t>
                    </w:r>
                    <w:r>
                      <w:rPr>
                        <w:rFonts w:ascii="Arial"/>
                        <w:color w:val="231F20"/>
                        <w:spacing w:val="-56"/>
                        <w:sz w:val="21"/>
                      </w:rPr>
                      <w:t> </w:t>
                    </w:r>
                    <w:r>
                      <w:rPr>
                        <w:rFonts w:ascii="Arial"/>
                        <w:color w:val="231F20"/>
                        <w:sz w:val="21"/>
                      </w:rPr>
                      <w:t>health, including those with hearing loss, disabili-</w:t>
                    </w:r>
                    <w:r>
                      <w:rPr>
                        <w:rFonts w:ascii="Arial"/>
                        <w:color w:val="231F20"/>
                        <w:spacing w:val="-56"/>
                        <w:sz w:val="21"/>
                      </w:rPr>
                      <w:t> </w:t>
                    </w:r>
                    <w:r>
                      <w:rPr>
                        <w:rFonts w:ascii="Arial"/>
                        <w:color w:val="231F20"/>
                        <w:sz w:val="21"/>
                      </w:rPr>
                      <w:t>ties, or language barriers.</w:t>
                    </w:r>
                    <w:r>
                      <w:rPr>
                        <w:color w:val="231F20"/>
                        <w:position w:val="7"/>
                        <w:sz w:val="12"/>
                      </w:rPr>
                      <w:t>26</w:t>
                    </w:r>
                  </w:p>
                  <w:p>
                    <w:pPr>
                      <w:numPr>
                        <w:ilvl w:val="0"/>
                        <w:numId w:val="54"/>
                      </w:numPr>
                      <w:tabs>
                        <w:tab w:pos="539" w:val="left" w:leader="none"/>
                        <w:tab w:pos="541" w:val="left" w:leader="none"/>
                      </w:tabs>
                      <w:spacing w:line="256" w:lineRule="auto" w:before="94"/>
                      <w:ind w:left="540" w:right="331" w:hanging="360"/>
                      <w:jc w:val="left"/>
                      <w:rPr>
                        <w:rFonts w:ascii="Arial"/>
                        <w:sz w:val="21"/>
                      </w:rPr>
                    </w:pPr>
                    <w:r>
                      <w:rPr>
                        <w:rFonts w:ascii="Arial"/>
                        <w:color w:val="010202"/>
                        <w:sz w:val="21"/>
                      </w:rPr>
                      <w:t>The National Association of the Deaf has</w:t>
                    </w:r>
                    <w:r>
                      <w:rPr>
                        <w:rFonts w:ascii="Arial"/>
                        <w:color w:val="3953A4"/>
                        <w:spacing w:val="1"/>
                        <w:sz w:val="21"/>
                      </w:rPr>
                      <w:t> </w:t>
                    </w:r>
                    <w:hyperlink r:id="rId229">
                      <w:r>
                        <w:rPr>
                          <w:rFonts w:ascii="Arial"/>
                          <w:color w:val="3953A4"/>
                          <w:sz w:val="21"/>
                          <w:u w:val="single" w:color="3953A4"/>
                        </w:rPr>
                        <w:t>resources for accessibility</w:t>
                      </w:r>
                      <w:r>
                        <w:rPr>
                          <w:rFonts w:ascii="Arial"/>
                          <w:color w:val="3953A4"/>
                          <w:sz w:val="21"/>
                        </w:rPr>
                        <w:t> </w:t>
                      </w:r>
                    </w:hyperlink>
                    <w:r>
                      <w:rPr>
                        <w:rFonts w:ascii="Arial"/>
                        <w:color w:val="010202"/>
                        <w:sz w:val="21"/>
                      </w:rPr>
                      <w:t>for clients who are</w:t>
                    </w:r>
                    <w:r>
                      <w:rPr>
                        <w:rFonts w:ascii="Arial"/>
                        <w:color w:val="010202"/>
                        <w:spacing w:val="-57"/>
                        <w:sz w:val="21"/>
                      </w:rPr>
                      <w:t> </w:t>
                    </w:r>
                    <w:r>
                      <w:rPr>
                        <w:rFonts w:ascii="Arial"/>
                        <w:color w:val="010202"/>
                        <w:sz w:val="21"/>
                      </w:rPr>
                      <w:t>deaf</w:t>
                    </w:r>
                    <w:r>
                      <w:rPr>
                        <w:rFonts w:ascii="Arial"/>
                        <w:color w:val="010202"/>
                        <w:spacing w:val="-1"/>
                        <w:sz w:val="21"/>
                      </w:rPr>
                      <w:t> </w:t>
                    </w:r>
                    <w:r>
                      <w:rPr>
                        <w:rFonts w:ascii="Arial"/>
                        <w:color w:val="010202"/>
                        <w:sz w:val="21"/>
                      </w:rPr>
                      <w:t>and hard of hearing.</w:t>
                    </w:r>
                  </w:p>
                  <w:p>
                    <w:pPr>
                      <w:numPr>
                        <w:ilvl w:val="0"/>
                        <w:numId w:val="54"/>
                      </w:numPr>
                      <w:tabs>
                        <w:tab w:pos="539" w:val="left" w:leader="none"/>
                        <w:tab w:pos="541" w:val="left" w:leader="none"/>
                      </w:tabs>
                      <w:spacing w:before="78"/>
                      <w:ind w:left="540" w:right="0" w:hanging="361"/>
                      <w:jc w:val="left"/>
                      <w:rPr>
                        <w:rFonts w:ascii="Arial"/>
                        <w:sz w:val="21"/>
                      </w:rPr>
                    </w:pPr>
                    <w:r>
                      <w:rPr>
                        <w:rFonts w:ascii="Arial"/>
                        <w:color w:val="010202"/>
                        <w:sz w:val="21"/>
                      </w:rPr>
                      <w:t>The</w:t>
                    </w:r>
                    <w:r>
                      <w:rPr>
                        <w:rFonts w:ascii="Arial"/>
                        <w:color w:val="010202"/>
                        <w:spacing w:val="-13"/>
                        <w:sz w:val="21"/>
                      </w:rPr>
                      <w:t> </w:t>
                    </w:r>
                    <w:r>
                      <w:rPr>
                        <w:rFonts w:ascii="Arial"/>
                        <w:color w:val="010202"/>
                        <w:sz w:val="21"/>
                      </w:rPr>
                      <w:t>American Psychological</w:t>
                    </w:r>
                    <w:r>
                      <w:rPr>
                        <w:rFonts w:ascii="Arial"/>
                        <w:color w:val="010202"/>
                        <w:spacing w:val="-12"/>
                        <w:sz w:val="21"/>
                      </w:rPr>
                      <w:t> </w:t>
                    </w:r>
                    <w:r>
                      <w:rPr>
                        <w:rFonts w:ascii="Arial"/>
                        <w:color w:val="010202"/>
                        <w:sz w:val="21"/>
                      </w:rPr>
                      <w:t>Association has</w:t>
                    </w:r>
                  </w:p>
                  <w:p>
                    <w:pPr>
                      <w:spacing w:line="259" w:lineRule="auto" w:before="17"/>
                      <w:ind w:left="540" w:right="160" w:firstLine="0"/>
                      <w:jc w:val="left"/>
                      <w:rPr>
                        <w:rFonts w:ascii="Arial"/>
                        <w:sz w:val="21"/>
                      </w:rPr>
                    </w:pPr>
                    <w:r>
                      <w:rPr>
                        <w:rFonts w:ascii="Arial"/>
                        <w:color w:val="010202"/>
                        <w:sz w:val="21"/>
                      </w:rPr>
                      <w:t>a </w:t>
                    </w:r>
                    <w:hyperlink r:id="rId230">
                      <w:r>
                        <w:rPr>
                          <w:rFonts w:ascii="Arial"/>
                          <w:color w:val="3953A4"/>
                          <w:sz w:val="21"/>
                          <w:u w:val="single" w:color="3953A4"/>
                        </w:rPr>
                        <w:t>tip sheet</w:t>
                      </w:r>
                      <w:r>
                        <w:rPr>
                          <w:rFonts w:ascii="Arial"/>
                          <w:color w:val="3953A4"/>
                          <w:sz w:val="21"/>
                        </w:rPr>
                        <w:t> </w:t>
                      </w:r>
                    </w:hyperlink>
                    <w:r>
                      <w:rPr>
                        <w:rFonts w:ascii="Arial"/>
                        <w:color w:val="010202"/>
                        <w:sz w:val="21"/>
                      </w:rPr>
                      <w:t>about using telehealth with persons</w:t>
                    </w:r>
                    <w:r>
                      <w:rPr>
                        <w:rFonts w:ascii="Arial"/>
                        <w:color w:val="010202"/>
                        <w:spacing w:val="-57"/>
                        <w:sz w:val="21"/>
                      </w:rPr>
                      <w:t> </w:t>
                    </w:r>
                    <w:r>
                      <w:rPr>
                        <w:rFonts w:ascii="Arial"/>
                        <w:color w:val="010202"/>
                        <w:sz w:val="21"/>
                      </w:rPr>
                      <w:t>with disabilities.</w:t>
                    </w:r>
                  </w:p>
                  <w:p>
                    <w:pPr>
                      <w:numPr>
                        <w:ilvl w:val="0"/>
                        <w:numId w:val="54"/>
                      </w:numPr>
                      <w:tabs>
                        <w:tab w:pos="539" w:val="left" w:leader="none"/>
                        <w:tab w:pos="541" w:val="left" w:leader="none"/>
                      </w:tabs>
                      <w:spacing w:line="256" w:lineRule="auto" w:before="74"/>
                      <w:ind w:left="540" w:right="203" w:hanging="360"/>
                      <w:jc w:val="left"/>
                      <w:rPr>
                        <w:rFonts w:ascii="Arial"/>
                        <w:sz w:val="21"/>
                      </w:rPr>
                    </w:pPr>
                    <w:r>
                      <w:rPr>
                        <w:rFonts w:ascii="Arial"/>
                        <w:color w:val="010202"/>
                        <w:sz w:val="21"/>
                      </w:rPr>
                      <w:t>Providing translation services can help ensure</w:t>
                    </w:r>
                    <w:r>
                      <w:rPr>
                        <w:rFonts w:ascii="Arial"/>
                        <w:color w:val="010202"/>
                        <w:spacing w:val="-56"/>
                        <w:sz w:val="21"/>
                      </w:rPr>
                      <w:t> </w:t>
                    </w:r>
                    <w:r>
                      <w:rPr>
                        <w:rFonts w:ascii="Arial"/>
                        <w:color w:val="010202"/>
                        <w:sz w:val="21"/>
                      </w:rPr>
                      <w:t>equitable</w:t>
                    </w:r>
                    <w:r>
                      <w:rPr>
                        <w:rFonts w:ascii="Arial"/>
                        <w:color w:val="010202"/>
                        <w:spacing w:val="-5"/>
                        <w:sz w:val="21"/>
                      </w:rPr>
                      <w:t> </w:t>
                    </w:r>
                    <w:r>
                      <w:rPr>
                        <w:rFonts w:ascii="Arial"/>
                        <w:color w:val="010202"/>
                        <w:sz w:val="21"/>
                      </w:rPr>
                      <w:t>access</w:t>
                    </w:r>
                    <w:r>
                      <w:rPr>
                        <w:rFonts w:ascii="Arial"/>
                        <w:color w:val="010202"/>
                        <w:spacing w:val="-5"/>
                        <w:sz w:val="21"/>
                      </w:rPr>
                      <w:t> </w:t>
                    </w:r>
                    <w:r>
                      <w:rPr>
                        <w:rFonts w:ascii="Arial"/>
                        <w:color w:val="010202"/>
                        <w:sz w:val="21"/>
                      </w:rPr>
                      <w:t>to</w:t>
                    </w:r>
                    <w:r>
                      <w:rPr>
                        <w:rFonts w:ascii="Arial"/>
                        <w:color w:val="010202"/>
                        <w:spacing w:val="-4"/>
                        <w:sz w:val="21"/>
                      </w:rPr>
                      <w:t> </w:t>
                    </w:r>
                    <w:r>
                      <w:rPr>
                        <w:rFonts w:ascii="Arial"/>
                        <w:color w:val="010202"/>
                        <w:sz w:val="21"/>
                      </w:rPr>
                      <w:t>health</w:t>
                    </w:r>
                    <w:r>
                      <w:rPr>
                        <w:rFonts w:ascii="Arial"/>
                        <w:color w:val="010202"/>
                        <w:spacing w:val="-5"/>
                        <w:sz w:val="21"/>
                      </w:rPr>
                      <w:t> </w:t>
                    </w:r>
                    <w:r>
                      <w:rPr>
                        <w:rFonts w:ascii="Arial"/>
                        <w:color w:val="010202"/>
                        <w:sz w:val="21"/>
                      </w:rPr>
                      <w:t>care.</w:t>
                    </w:r>
                    <w:r>
                      <w:rPr>
                        <w:rFonts w:ascii="Arial"/>
                        <w:color w:val="010202"/>
                        <w:spacing w:val="-4"/>
                        <w:sz w:val="21"/>
                      </w:rPr>
                      <w:t> </w:t>
                    </w:r>
                    <w:r>
                      <w:rPr>
                        <w:rFonts w:ascii="Arial"/>
                        <w:color w:val="010202"/>
                        <w:sz w:val="21"/>
                      </w:rPr>
                      <w:t>Many</w:t>
                    </w:r>
                    <w:r>
                      <w:rPr>
                        <w:rFonts w:ascii="Arial"/>
                        <w:color w:val="010202"/>
                        <w:spacing w:val="-4"/>
                        <w:sz w:val="21"/>
                      </w:rPr>
                      <w:t> </w:t>
                    </w:r>
                    <w:r>
                      <w:rPr>
                        <w:rFonts w:ascii="Arial"/>
                        <w:color w:val="010202"/>
                        <w:sz w:val="21"/>
                      </w:rPr>
                      <w:t>existing</w:t>
                    </w:r>
                    <w:r>
                      <w:rPr>
                        <w:rFonts w:ascii="Arial"/>
                        <w:color w:val="010202"/>
                        <w:spacing w:val="-56"/>
                        <w:sz w:val="21"/>
                      </w:rPr>
                      <w:t> </w:t>
                    </w:r>
                    <w:r>
                      <w:rPr>
                        <w:rFonts w:ascii="Arial"/>
                        <w:color w:val="010202"/>
                        <w:sz w:val="21"/>
                      </w:rPr>
                      <w:t>translation services already occur over the</w:t>
                    </w:r>
                    <w:r>
                      <w:rPr>
                        <w:rFonts w:ascii="Arial"/>
                        <w:color w:val="010202"/>
                        <w:spacing w:val="1"/>
                        <w:sz w:val="21"/>
                      </w:rPr>
                      <w:t> </w:t>
                    </w:r>
                    <w:r>
                      <w:rPr>
                        <w:rFonts w:ascii="Arial"/>
                        <w:color w:val="010202"/>
                        <w:sz w:val="21"/>
                      </w:rPr>
                      <w:t>phone. Consider ways to expand translation</w:t>
                    </w:r>
                    <w:r>
                      <w:rPr>
                        <w:rFonts w:ascii="Arial"/>
                        <w:color w:val="010202"/>
                        <w:spacing w:val="1"/>
                        <w:sz w:val="21"/>
                      </w:rPr>
                      <w:t> </w:t>
                    </w:r>
                    <w:r>
                      <w:rPr>
                        <w:rFonts w:ascii="Arial"/>
                        <w:color w:val="010202"/>
                        <w:sz w:val="21"/>
                      </w:rPr>
                      <w:t>services</w:t>
                    </w:r>
                    <w:r>
                      <w:rPr>
                        <w:rFonts w:ascii="Arial"/>
                        <w:color w:val="010202"/>
                        <w:spacing w:val="-1"/>
                        <w:sz w:val="21"/>
                      </w:rPr>
                      <w:t> </w:t>
                    </w:r>
                    <w:r>
                      <w:rPr>
                        <w:rFonts w:ascii="Arial"/>
                        <w:color w:val="010202"/>
                        <w:sz w:val="21"/>
                      </w:rPr>
                      <w:t>for use in telehealth.</w:t>
                    </w:r>
                  </w:p>
                </w:txbxContent>
              </v:textbox>
              <w10:wrap type="none"/>
            </v:shape>
            <w10:wrap type="none"/>
          </v:group>
        </w:pict>
      </w:r>
      <w:r>
        <w:rPr>
          <w:rFonts w:ascii="Arial"/>
          <w:b/>
          <w:color w:val="010202"/>
          <w:sz w:val="20"/>
        </w:rPr>
        <w:t>Strategies for building therapeutic relationship</w:t>
      </w:r>
    </w:p>
    <w:p>
      <w:pPr>
        <w:pStyle w:val="BodyText"/>
        <w:spacing w:line="266" w:lineRule="auto" w:before="192"/>
        <w:ind w:left="119"/>
      </w:pPr>
      <w:r>
        <w:rPr>
          <w:color w:val="231F20"/>
          <w:spacing w:val="-3"/>
        </w:rPr>
        <w:t>Providing treatment through telehealth modalities </w:t>
      </w:r>
      <w:r>
        <w:rPr>
          <w:color w:val="231F20"/>
          <w:spacing w:val="-2"/>
        </w:rPr>
        <w:t>will</w:t>
      </w:r>
      <w:r>
        <w:rPr>
          <w:color w:val="231F20"/>
          <w:spacing w:val="-1"/>
        </w:rPr>
        <w:t> </w:t>
      </w:r>
      <w:r>
        <w:rPr>
          <w:color w:val="231F20"/>
          <w:spacing w:val="-3"/>
        </w:rPr>
        <w:t>impact the way a provider builds therapeutic </w:t>
      </w:r>
      <w:r>
        <w:rPr>
          <w:color w:val="231F20"/>
          <w:spacing w:val="-2"/>
        </w:rPr>
        <w:t>alliance (the</w:t>
      </w:r>
      <w:r>
        <w:rPr>
          <w:color w:val="231F20"/>
          <w:spacing w:val="-1"/>
        </w:rPr>
        <w:t> </w:t>
      </w:r>
      <w:r>
        <w:rPr>
          <w:color w:val="231F20"/>
          <w:spacing w:val="-3"/>
        </w:rPr>
        <w:t>relationship developed between the provider and </w:t>
      </w:r>
      <w:r>
        <w:rPr>
          <w:color w:val="231F20"/>
          <w:spacing w:val="-2"/>
        </w:rPr>
        <w:t>client in</w:t>
      </w:r>
      <w:r>
        <w:rPr>
          <w:color w:val="231F20"/>
          <w:spacing w:val="-1"/>
        </w:rPr>
        <w:t> </w:t>
      </w:r>
      <w:r>
        <w:rPr>
          <w:color w:val="231F20"/>
          <w:spacing w:val="-4"/>
        </w:rPr>
        <w:t>working</w:t>
      </w:r>
      <w:r>
        <w:rPr>
          <w:color w:val="231F20"/>
          <w:spacing w:val="-10"/>
        </w:rPr>
        <w:t> </w:t>
      </w:r>
      <w:r>
        <w:rPr>
          <w:color w:val="231F20"/>
          <w:spacing w:val="-4"/>
        </w:rPr>
        <w:t>toward</w:t>
      </w:r>
      <w:r>
        <w:rPr>
          <w:color w:val="231F20"/>
          <w:spacing w:val="-9"/>
        </w:rPr>
        <w:t> </w:t>
      </w:r>
      <w:r>
        <w:rPr>
          <w:color w:val="231F20"/>
          <w:spacing w:val="-4"/>
        </w:rPr>
        <w:t>the</w:t>
      </w:r>
      <w:r>
        <w:rPr>
          <w:color w:val="231F20"/>
          <w:spacing w:val="-9"/>
        </w:rPr>
        <w:t> </w:t>
      </w:r>
      <w:r>
        <w:rPr>
          <w:color w:val="231F20"/>
          <w:spacing w:val="-4"/>
        </w:rPr>
        <w:t>goals</w:t>
      </w:r>
      <w:r>
        <w:rPr>
          <w:color w:val="231F20"/>
          <w:spacing w:val="-9"/>
        </w:rPr>
        <w:t> </w:t>
      </w:r>
      <w:r>
        <w:rPr>
          <w:color w:val="231F20"/>
          <w:spacing w:val="-4"/>
        </w:rPr>
        <w:t>of</w:t>
      </w:r>
      <w:r>
        <w:rPr>
          <w:color w:val="231F20"/>
          <w:spacing w:val="-9"/>
        </w:rPr>
        <w:t> </w:t>
      </w:r>
      <w:r>
        <w:rPr>
          <w:color w:val="231F20"/>
          <w:spacing w:val="-4"/>
        </w:rPr>
        <w:t>therapy)</w:t>
      </w:r>
      <w:r>
        <w:rPr>
          <w:color w:val="231F20"/>
          <w:spacing w:val="-4"/>
          <w:vertAlign w:val="superscript"/>
        </w:rPr>
        <w:t>27</w:t>
      </w:r>
      <w:r>
        <w:rPr>
          <w:color w:val="231F20"/>
          <w:spacing w:val="-9"/>
          <w:vertAlign w:val="baseline"/>
        </w:rPr>
        <w:t> </w:t>
      </w:r>
      <w:r>
        <w:rPr>
          <w:color w:val="231F20"/>
          <w:spacing w:val="-3"/>
          <w:vertAlign w:val="baseline"/>
        </w:rPr>
        <w:t>during</w:t>
      </w:r>
      <w:r>
        <w:rPr>
          <w:color w:val="231F20"/>
          <w:spacing w:val="-9"/>
          <w:vertAlign w:val="baseline"/>
        </w:rPr>
        <w:t> </w:t>
      </w:r>
      <w:r>
        <w:rPr>
          <w:color w:val="231F20"/>
          <w:spacing w:val="-3"/>
          <w:vertAlign w:val="baseline"/>
        </w:rPr>
        <w:t>the</w:t>
      </w:r>
      <w:r>
        <w:rPr>
          <w:color w:val="231F20"/>
          <w:spacing w:val="-9"/>
          <w:vertAlign w:val="baseline"/>
        </w:rPr>
        <w:t> </w:t>
      </w:r>
      <w:r>
        <w:rPr>
          <w:color w:val="231F20"/>
          <w:spacing w:val="-3"/>
          <w:vertAlign w:val="baseline"/>
        </w:rPr>
        <w:t>screening</w:t>
      </w:r>
      <w:r>
        <w:rPr>
          <w:color w:val="231F20"/>
          <w:spacing w:val="-52"/>
          <w:vertAlign w:val="baseline"/>
        </w:rPr>
        <w:t> </w:t>
      </w:r>
      <w:r>
        <w:rPr>
          <w:color w:val="231F20"/>
          <w:spacing w:val="-4"/>
          <w:vertAlign w:val="baseline"/>
        </w:rPr>
        <w:t>and consent process and during </w:t>
      </w:r>
      <w:r>
        <w:rPr>
          <w:color w:val="231F20"/>
          <w:spacing w:val="-3"/>
          <w:vertAlign w:val="baseline"/>
        </w:rPr>
        <w:t>treatment. The strategies</w:t>
      </w:r>
      <w:r>
        <w:rPr>
          <w:color w:val="231F20"/>
          <w:spacing w:val="-2"/>
          <w:vertAlign w:val="baseline"/>
        </w:rPr>
        <w:t> </w:t>
      </w:r>
      <w:r>
        <w:rPr>
          <w:color w:val="231F20"/>
          <w:spacing w:val="-3"/>
          <w:vertAlign w:val="baseline"/>
        </w:rPr>
        <w:t>below help to ensure a client’s commitment to </w:t>
      </w:r>
      <w:r>
        <w:rPr>
          <w:color w:val="231F20"/>
          <w:spacing w:val="-2"/>
          <w:vertAlign w:val="baseline"/>
        </w:rPr>
        <w:t>therapy,</w:t>
      </w:r>
      <w:r>
        <w:rPr>
          <w:color w:val="231F20"/>
          <w:spacing w:val="-1"/>
          <w:vertAlign w:val="baseline"/>
        </w:rPr>
        <w:t> </w:t>
      </w:r>
      <w:r>
        <w:rPr>
          <w:color w:val="231F20"/>
          <w:spacing w:val="-4"/>
          <w:vertAlign w:val="baseline"/>
        </w:rPr>
        <w:t>address technological difficulties impacting </w:t>
      </w:r>
      <w:r>
        <w:rPr>
          <w:color w:val="231F20"/>
          <w:spacing w:val="-3"/>
          <w:vertAlign w:val="baseline"/>
        </w:rPr>
        <w:t>the therapeutic</w:t>
      </w:r>
      <w:r>
        <w:rPr>
          <w:color w:val="231F20"/>
          <w:spacing w:val="-52"/>
          <w:vertAlign w:val="baseline"/>
        </w:rPr>
        <w:t> </w:t>
      </w:r>
      <w:r>
        <w:rPr>
          <w:color w:val="231F20"/>
          <w:spacing w:val="-3"/>
          <w:vertAlign w:val="baseline"/>
        </w:rPr>
        <w:t>experience, and mitigate the potential </w:t>
      </w:r>
      <w:r>
        <w:rPr>
          <w:color w:val="231F20"/>
          <w:spacing w:val="-2"/>
          <w:vertAlign w:val="baseline"/>
        </w:rPr>
        <w:t>for a client to feel as</w:t>
      </w:r>
      <w:r>
        <w:rPr>
          <w:color w:val="231F20"/>
          <w:spacing w:val="-52"/>
          <w:vertAlign w:val="baseline"/>
        </w:rPr>
        <w:t> </w:t>
      </w:r>
      <w:r>
        <w:rPr>
          <w:color w:val="231F20"/>
          <w:spacing w:val="-1"/>
          <w:w w:val="95"/>
          <w:vertAlign w:val="baseline"/>
        </w:rPr>
        <w:t>though</w:t>
      </w:r>
      <w:r>
        <w:rPr>
          <w:color w:val="231F20"/>
          <w:spacing w:val="-5"/>
          <w:w w:val="95"/>
          <w:vertAlign w:val="baseline"/>
        </w:rPr>
        <w:t> </w:t>
      </w:r>
      <w:r>
        <w:rPr>
          <w:color w:val="231F20"/>
          <w:spacing w:val="-1"/>
          <w:w w:val="95"/>
          <w:vertAlign w:val="baseline"/>
        </w:rPr>
        <w:t>conversations</w:t>
      </w:r>
      <w:r>
        <w:rPr>
          <w:color w:val="231F20"/>
          <w:spacing w:val="-5"/>
          <w:w w:val="95"/>
          <w:vertAlign w:val="baseline"/>
        </w:rPr>
        <w:t> </w:t>
      </w:r>
      <w:r>
        <w:rPr>
          <w:color w:val="231F20"/>
          <w:w w:val="95"/>
          <w:vertAlign w:val="baseline"/>
        </w:rPr>
        <w:t>are</w:t>
      </w:r>
      <w:r>
        <w:rPr>
          <w:color w:val="231F20"/>
          <w:spacing w:val="-5"/>
          <w:w w:val="95"/>
          <w:vertAlign w:val="baseline"/>
        </w:rPr>
        <w:t> </w:t>
      </w:r>
      <w:r>
        <w:rPr>
          <w:color w:val="231F20"/>
          <w:w w:val="95"/>
          <w:vertAlign w:val="baseline"/>
        </w:rPr>
        <w:t>“impersonal.”</w:t>
      </w:r>
      <w:r>
        <w:rPr>
          <w:color w:val="231F20"/>
          <w:w w:val="95"/>
          <w:vertAlign w:val="superscript"/>
        </w:rPr>
        <w:t>15-17,</w:t>
      </w:r>
      <w:r>
        <w:rPr>
          <w:color w:val="231F20"/>
          <w:spacing w:val="-25"/>
          <w:w w:val="95"/>
          <w:vertAlign w:val="baseline"/>
        </w:rPr>
        <w:t> </w:t>
      </w:r>
      <w:r>
        <w:rPr>
          <w:color w:val="231F20"/>
          <w:w w:val="95"/>
          <w:vertAlign w:val="superscript"/>
        </w:rPr>
        <w:t>28</w:t>
      </w:r>
    </w:p>
    <w:p>
      <w:pPr>
        <w:pStyle w:val="ListParagraph"/>
        <w:numPr>
          <w:ilvl w:val="0"/>
          <w:numId w:val="13"/>
        </w:numPr>
        <w:tabs>
          <w:tab w:pos="839" w:val="left" w:leader="none"/>
          <w:tab w:pos="841" w:val="left" w:leader="none"/>
        </w:tabs>
        <w:spacing w:line="266" w:lineRule="auto" w:before="157" w:after="0"/>
        <w:ind w:left="840" w:right="52" w:hanging="360"/>
        <w:jc w:val="left"/>
        <w:rPr>
          <w:sz w:val="22"/>
        </w:rPr>
      </w:pPr>
      <w:r>
        <w:rPr>
          <w:b/>
          <w:color w:val="010202"/>
          <w:sz w:val="22"/>
        </w:rPr>
        <w:t>Acknowledge differences between in-person</w:t>
      </w:r>
      <w:r>
        <w:rPr>
          <w:b/>
          <w:color w:val="010202"/>
          <w:spacing w:val="1"/>
          <w:sz w:val="22"/>
        </w:rPr>
        <w:t> </w:t>
      </w:r>
      <w:r>
        <w:rPr>
          <w:b/>
          <w:color w:val="010202"/>
          <w:sz w:val="22"/>
        </w:rPr>
        <w:t>and virtual visits </w:t>
      </w:r>
      <w:r>
        <w:rPr>
          <w:color w:val="010202"/>
          <w:sz w:val="22"/>
        </w:rPr>
        <w:t>– Slight audio or video lags</w:t>
      </w:r>
      <w:r>
        <w:rPr>
          <w:color w:val="010202"/>
          <w:spacing w:val="1"/>
          <w:sz w:val="22"/>
        </w:rPr>
        <w:t> </w:t>
      </w:r>
      <w:r>
        <w:rPr>
          <w:color w:val="010202"/>
          <w:sz w:val="22"/>
        </w:rPr>
        <w:t>may disrupt natural communication, which may</w:t>
      </w:r>
      <w:r>
        <w:rPr>
          <w:color w:val="010202"/>
          <w:spacing w:val="1"/>
          <w:sz w:val="22"/>
        </w:rPr>
        <w:t> </w:t>
      </w:r>
      <w:r>
        <w:rPr>
          <w:color w:val="010202"/>
          <w:sz w:val="22"/>
        </w:rPr>
        <w:t>affect rapport-building. Use traditional tools and</w:t>
      </w:r>
      <w:r>
        <w:rPr>
          <w:color w:val="010202"/>
          <w:spacing w:val="-52"/>
          <w:sz w:val="22"/>
        </w:rPr>
        <w:t> </w:t>
      </w:r>
      <w:r>
        <w:rPr>
          <w:color w:val="010202"/>
          <w:sz w:val="22"/>
        </w:rPr>
        <w:t>strategies to build the therapeutic relationship</w:t>
      </w:r>
      <w:r>
        <w:rPr>
          <w:color w:val="010202"/>
          <w:spacing w:val="1"/>
          <w:sz w:val="22"/>
        </w:rPr>
        <w:t> </w:t>
      </w:r>
      <w:r>
        <w:rPr>
          <w:color w:val="010202"/>
          <w:sz w:val="22"/>
        </w:rPr>
        <w:t>and implement additional strategies to overcome</w:t>
      </w:r>
      <w:r>
        <w:rPr>
          <w:color w:val="010202"/>
          <w:spacing w:val="-52"/>
          <w:sz w:val="22"/>
        </w:rPr>
        <w:t> </w:t>
      </w:r>
      <w:r>
        <w:rPr>
          <w:color w:val="010202"/>
          <w:sz w:val="22"/>
        </w:rPr>
        <w:t>challenges to building rapport over video, such</w:t>
      </w:r>
      <w:r>
        <w:rPr>
          <w:color w:val="010202"/>
          <w:spacing w:val="1"/>
          <w:sz w:val="22"/>
        </w:rPr>
        <w:t> </w:t>
      </w:r>
      <w:r>
        <w:rPr>
          <w:color w:val="010202"/>
          <w:w w:val="95"/>
          <w:sz w:val="22"/>
        </w:rPr>
        <w:t>as</w:t>
      </w:r>
      <w:r>
        <w:rPr>
          <w:color w:val="010202"/>
          <w:spacing w:val="11"/>
          <w:w w:val="95"/>
          <w:sz w:val="22"/>
        </w:rPr>
        <w:t> </w:t>
      </w:r>
      <w:r>
        <w:rPr>
          <w:color w:val="010202"/>
          <w:w w:val="95"/>
          <w:sz w:val="22"/>
        </w:rPr>
        <w:t>using</w:t>
      </w:r>
      <w:r>
        <w:rPr>
          <w:color w:val="010202"/>
          <w:spacing w:val="12"/>
          <w:w w:val="95"/>
          <w:sz w:val="22"/>
        </w:rPr>
        <w:t> </w:t>
      </w:r>
      <w:r>
        <w:rPr>
          <w:color w:val="010202"/>
          <w:w w:val="95"/>
          <w:sz w:val="22"/>
        </w:rPr>
        <w:t>exaggerated</w:t>
      </w:r>
      <w:r>
        <w:rPr>
          <w:color w:val="010202"/>
          <w:spacing w:val="11"/>
          <w:w w:val="95"/>
          <w:sz w:val="22"/>
        </w:rPr>
        <w:t> </w:t>
      </w:r>
      <w:r>
        <w:rPr>
          <w:color w:val="010202"/>
          <w:w w:val="95"/>
          <w:sz w:val="22"/>
        </w:rPr>
        <w:t>non-verbal</w:t>
      </w:r>
      <w:r>
        <w:rPr>
          <w:color w:val="010202"/>
          <w:spacing w:val="12"/>
          <w:w w:val="95"/>
          <w:sz w:val="22"/>
        </w:rPr>
        <w:t> </w:t>
      </w:r>
      <w:r>
        <w:rPr>
          <w:color w:val="010202"/>
          <w:w w:val="95"/>
          <w:sz w:val="22"/>
        </w:rPr>
        <w:t>cues.</w:t>
      </w:r>
      <w:r>
        <w:rPr>
          <w:color w:val="010202"/>
          <w:w w:val="95"/>
          <w:sz w:val="22"/>
          <w:vertAlign w:val="superscript"/>
        </w:rPr>
        <w:t>29,</w:t>
      </w:r>
      <w:r>
        <w:rPr>
          <w:color w:val="010202"/>
          <w:spacing w:val="-16"/>
          <w:w w:val="95"/>
          <w:sz w:val="22"/>
          <w:vertAlign w:val="baseline"/>
        </w:rPr>
        <w:t> </w:t>
      </w:r>
      <w:r>
        <w:rPr>
          <w:color w:val="010202"/>
          <w:w w:val="95"/>
          <w:sz w:val="22"/>
          <w:vertAlign w:val="superscript"/>
        </w:rPr>
        <w:t>30</w:t>
      </w:r>
    </w:p>
    <w:p>
      <w:pPr>
        <w:pStyle w:val="ListParagraph"/>
        <w:numPr>
          <w:ilvl w:val="0"/>
          <w:numId w:val="5"/>
        </w:numPr>
        <w:tabs>
          <w:tab w:pos="479" w:val="left" w:leader="none"/>
          <w:tab w:pos="480" w:val="left" w:leader="none"/>
        </w:tabs>
        <w:spacing w:line="264" w:lineRule="auto" w:before="100" w:after="0"/>
        <w:ind w:left="479" w:right="986" w:hanging="360"/>
        <w:jc w:val="left"/>
        <w:rPr>
          <w:sz w:val="22"/>
        </w:rPr>
      </w:pPr>
      <w:r>
        <w:rPr>
          <w:b/>
          <w:color w:val="010202"/>
          <w:spacing w:val="-1"/>
          <w:sz w:val="22"/>
        </w:rPr>
        <w:br w:type="column"/>
      </w:r>
      <w:r>
        <w:rPr>
          <w:b/>
          <w:color w:val="010202"/>
          <w:sz w:val="22"/>
        </w:rPr>
        <w:t>Start with small talk </w:t>
      </w:r>
      <w:r>
        <w:rPr>
          <w:color w:val="010202"/>
          <w:sz w:val="22"/>
        </w:rPr>
        <w:t>– Create a similar</w:t>
      </w:r>
      <w:r>
        <w:rPr>
          <w:color w:val="010202"/>
          <w:spacing w:val="1"/>
          <w:sz w:val="22"/>
        </w:rPr>
        <w:t> </w:t>
      </w:r>
      <w:r>
        <w:rPr>
          <w:color w:val="010202"/>
          <w:sz w:val="22"/>
        </w:rPr>
        <w:t>environment to that of an in-person visit by</w:t>
      </w:r>
      <w:r>
        <w:rPr>
          <w:color w:val="010202"/>
          <w:spacing w:val="1"/>
          <w:sz w:val="22"/>
        </w:rPr>
        <w:t> </w:t>
      </w:r>
      <w:r>
        <w:rPr>
          <w:color w:val="010202"/>
          <w:sz w:val="22"/>
        </w:rPr>
        <w:t>asking about a person’s day, the weather, or</w:t>
      </w:r>
      <w:r>
        <w:rPr>
          <w:color w:val="010202"/>
          <w:spacing w:val="1"/>
          <w:sz w:val="22"/>
        </w:rPr>
        <w:t> </w:t>
      </w:r>
      <w:r>
        <w:rPr>
          <w:color w:val="010202"/>
          <w:sz w:val="22"/>
        </w:rPr>
        <w:t>other light topics to warm up the conversation</w:t>
      </w:r>
      <w:r>
        <w:rPr>
          <w:color w:val="010202"/>
          <w:spacing w:val="-52"/>
          <w:sz w:val="22"/>
        </w:rPr>
        <w:t> </w:t>
      </w:r>
      <w:r>
        <w:rPr>
          <w:color w:val="010202"/>
          <w:sz w:val="22"/>
        </w:rPr>
        <w:t>and build familiarity through a virtual visit.</w:t>
      </w:r>
    </w:p>
    <w:p>
      <w:pPr>
        <w:pStyle w:val="ListParagraph"/>
        <w:numPr>
          <w:ilvl w:val="0"/>
          <w:numId w:val="5"/>
        </w:numPr>
        <w:tabs>
          <w:tab w:pos="479" w:val="left" w:leader="none"/>
          <w:tab w:pos="480" w:val="left" w:leader="none"/>
        </w:tabs>
        <w:spacing w:line="264" w:lineRule="auto" w:before="38" w:after="0"/>
        <w:ind w:left="479" w:right="1169" w:hanging="360"/>
        <w:jc w:val="left"/>
        <w:rPr>
          <w:sz w:val="22"/>
        </w:rPr>
      </w:pPr>
      <w:r>
        <w:rPr>
          <w:b/>
          <w:color w:val="010202"/>
          <w:spacing w:val="-4"/>
          <w:sz w:val="22"/>
        </w:rPr>
        <w:t>Meet</w:t>
      </w:r>
      <w:r>
        <w:rPr>
          <w:b/>
          <w:color w:val="010202"/>
          <w:spacing w:val="-8"/>
          <w:sz w:val="22"/>
        </w:rPr>
        <w:t> </w:t>
      </w:r>
      <w:r>
        <w:rPr>
          <w:b/>
          <w:color w:val="010202"/>
          <w:spacing w:val="-4"/>
          <w:sz w:val="22"/>
        </w:rPr>
        <w:t>in</w:t>
      </w:r>
      <w:r>
        <w:rPr>
          <w:b/>
          <w:color w:val="010202"/>
          <w:spacing w:val="-8"/>
          <w:sz w:val="22"/>
        </w:rPr>
        <w:t> </w:t>
      </w:r>
      <w:r>
        <w:rPr>
          <w:b/>
          <w:color w:val="010202"/>
          <w:spacing w:val="-4"/>
          <w:sz w:val="22"/>
        </w:rPr>
        <w:t>person</w:t>
      </w:r>
      <w:r>
        <w:rPr>
          <w:b/>
          <w:color w:val="010202"/>
          <w:spacing w:val="-8"/>
          <w:sz w:val="22"/>
        </w:rPr>
        <w:t> </w:t>
      </w:r>
      <w:r>
        <w:rPr>
          <w:b/>
          <w:color w:val="010202"/>
          <w:spacing w:val="-4"/>
          <w:sz w:val="22"/>
        </w:rPr>
        <w:t>when</w:t>
      </w:r>
      <w:r>
        <w:rPr>
          <w:b/>
          <w:color w:val="010202"/>
          <w:spacing w:val="-8"/>
          <w:sz w:val="22"/>
        </w:rPr>
        <w:t> </w:t>
      </w:r>
      <w:r>
        <w:rPr>
          <w:b/>
          <w:color w:val="010202"/>
          <w:spacing w:val="-3"/>
          <w:sz w:val="22"/>
        </w:rPr>
        <w:t>needed</w:t>
      </w:r>
      <w:r>
        <w:rPr>
          <w:b/>
          <w:color w:val="010202"/>
          <w:spacing w:val="-8"/>
          <w:sz w:val="22"/>
        </w:rPr>
        <w:t> </w:t>
      </w:r>
      <w:r>
        <w:rPr>
          <w:color w:val="010202"/>
          <w:spacing w:val="-3"/>
          <w:sz w:val="22"/>
        </w:rPr>
        <w:t>–</w:t>
      </w:r>
      <w:r>
        <w:rPr>
          <w:color w:val="010202"/>
          <w:spacing w:val="-12"/>
          <w:sz w:val="22"/>
        </w:rPr>
        <w:t> </w:t>
      </w:r>
      <w:r>
        <w:rPr>
          <w:color w:val="010202"/>
          <w:spacing w:val="-3"/>
          <w:sz w:val="22"/>
        </w:rPr>
        <w:t>This</w:t>
      </w:r>
      <w:r>
        <w:rPr>
          <w:color w:val="010202"/>
          <w:spacing w:val="-8"/>
          <w:sz w:val="22"/>
        </w:rPr>
        <w:t> </w:t>
      </w:r>
      <w:r>
        <w:rPr>
          <w:color w:val="010202"/>
          <w:spacing w:val="-3"/>
          <w:sz w:val="22"/>
        </w:rPr>
        <w:t>strategy</w:t>
      </w:r>
      <w:r>
        <w:rPr>
          <w:color w:val="010202"/>
          <w:spacing w:val="-52"/>
          <w:sz w:val="22"/>
        </w:rPr>
        <w:t> </w:t>
      </w:r>
      <w:r>
        <w:rPr>
          <w:color w:val="010202"/>
          <w:spacing w:val="-2"/>
          <w:sz w:val="22"/>
        </w:rPr>
        <w:t>may be less feasible during pandemics </w:t>
      </w:r>
      <w:r>
        <w:rPr>
          <w:color w:val="010202"/>
          <w:spacing w:val="-1"/>
          <w:sz w:val="22"/>
        </w:rPr>
        <w:t>or</w:t>
      </w:r>
      <w:r>
        <w:rPr>
          <w:color w:val="010202"/>
          <w:sz w:val="22"/>
        </w:rPr>
        <w:t> </w:t>
      </w:r>
      <w:r>
        <w:rPr>
          <w:color w:val="010202"/>
          <w:spacing w:val="-3"/>
          <w:sz w:val="22"/>
        </w:rPr>
        <w:t>natural disasters, but may be useful </w:t>
      </w:r>
      <w:r>
        <w:rPr>
          <w:color w:val="010202"/>
          <w:spacing w:val="-2"/>
          <w:sz w:val="22"/>
        </w:rPr>
        <w:t>in certain</w:t>
      </w:r>
      <w:r>
        <w:rPr>
          <w:color w:val="010202"/>
          <w:spacing w:val="-52"/>
          <w:sz w:val="22"/>
        </w:rPr>
        <w:t> </w:t>
      </w:r>
      <w:r>
        <w:rPr>
          <w:color w:val="010202"/>
          <w:spacing w:val="-4"/>
          <w:sz w:val="22"/>
        </w:rPr>
        <w:t>circumstances, such as </w:t>
      </w:r>
      <w:r>
        <w:rPr>
          <w:color w:val="010202"/>
          <w:spacing w:val="-3"/>
          <w:sz w:val="22"/>
        </w:rPr>
        <w:t>meeting first while in</w:t>
      </w:r>
      <w:r>
        <w:rPr>
          <w:color w:val="010202"/>
          <w:spacing w:val="-2"/>
          <w:sz w:val="22"/>
        </w:rPr>
        <w:t> </w:t>
      </w:r>
      <w:r>
        <w:rPr>
          <w:color w:val="010202"/>
          <w:spacing w:val="-3"/>
          <w:sz w:val="22"/>
        </w:rPr>
        <w:t>a</w:t>
      </w:r>
      <w:r>
        <w:rPr>
          <w:color w:val="010202"/>
          <w:spacing w:val="-11"/>
          <w:sz w:val="22"/>
        </w:rPr>
        <w:t> </w:t>
      </w:r>
      <w:r>
        <w:rPr>
          <w:color w:val="010202"/>
          <w:spacing w:val="-3"/>
          <w:sz w:val="22"/>
        </w:rPr>
        <w:t>hospital</w:t>
      </w:r>
      <w:r>
        <w:rPr>
          <w:color w:val="010202"/>
          <w:spacing w:val="-11"/>
          <w:sz w:val="22"/>
        </w:rPr>
        <w:t> </w:t>
      </w:r>
      <w:r>
        <w:rPr>
          <w:color w:val="010202"/>
          <w:spacing w:val="-3"/>
          <w:sz w:val="22"/>
        </w:rPr>
        <w:t>setting.</w:t>
      </w:r>
      <w:r>
        <w:rPr>
          <w:color w:val="010202"/>
          <w:spacing w:val="-11"/>
          <w:sz w:val="22"/>
        </w:rPr>
        <w:t> </w:t>
      </w:r>
      <w:r>
        <w:rPr>
          <w:color w:val="010202"/>
          <w:spacing w:val="-3"/>
          <w:sz w:val="22"/>
        </w:rPr>
        <w:t>In-person</w:t>
      </w:r>
      <w:r>
        <w:rPr>
          <w:color w:val="010202"/>
          <w:spacing w:val="-10"/>
          <w:sz w:val="22"/>
        </w:rPr>
        <w:t> </w:t>
      </w:r>
      <w:r>
        <w:rPr>
          <w:color w:val="010202"/>
          <w:spacing w:val="-3"/>
          <w:sz w:val="22"/>
        </w:rPr>
        <w:t>meetings</w:t>
      </w:r>
      <w:r>
        <w:rPr>
          <w:color w:val="010202"/>
          <w:spacing w:val="-11"/>
          <w:sz w:val="22"/>
        </w:rPr>
        <w:t> </w:t>
      </w:r>
      <w:r>
        <w:rPr>
          <w:color w:val="010202"/>
          <w:spacing w:val="-2"/>
          <w:sz w:val="22"/>
        </w:rPr>
        <w:t>are</w:t>
      </w:r>
      <w:r>
        <w:rPr>
          <w:color w:val="010202"/>
          <w:spacing w:val="-11"/>
          <w:sz w:val="22"/>
        </w:rPr>
        <w:t> </w:t>
      </w:r>
      <w:r>
        <w:rPr>
          <w:color w:val="010202"/>
          <w:spacing w:val="-2"/>
          <w:sz w:val="22"/>
        </w:rPr>
        <w:t>not</w:t>
      </w:r>
    </w:p>
    <w:p>
      <w:pPr>
        <w:pStyle w:val="BodyText"/>
        <w:spacing w:line="266" w:lineRule="auto" w:before="6"/>
        <w:ind w:left="479" w:right="860"/>
      </w:pPr>
      <w:r>
        <w:rPr>
          <w:color w:val="010202"/>
          <w:spacing w:val="-4"/>
        </w:rPr>
        <w:t>essential</w:t>
      </w:r>
      <w:r>
        <w:rPr>
          <w:color w:val="010202"/>
          <w:spacing w:val="-10"/>
        </w:rPr>
        <w:t> </w:t>
      </w:r>
      <w:r>
        <w:rPr>
          <w:color w:val="010202"/>
          <w:spacing w:val="-4"/>
        </w:rPr>
        <w:t>to</w:t>
      </w:r>
      <w:r>
        <w:rPr>
          <w:color w:val="010202"/>
          <w:spacing w:val="-9"/>
        </w:rPr>
        <w:t> </w:t>
      </w:r>
      <w:r>
        <w:rPr>
          <w:color w:val="010202"/>
          <w:spacing w:val="-4"/>
        </w:rPr>
        <w:t>successful</w:t>
      </w:r>
      <w:r>
        <w:rPr>
          <w:color w:val="010202"/>
          <w:spacing w:val="-10"/>
        </w:rPr>
        <w:t> </w:t>
      </w:r>
      <w:r>
        <w:rPr>
          <w:color w:val="010202"/>
          <w:spacing w:val="-3"/>
        </w:rPr>
        <w:t>telehealth</w:t>
      </w:r>
      <w:r>
        <w:rPr>
          <w:color w:val="010202"/>
          <w:spacing w:val="-9"/>
        </w:rPr>
        <w:t> </w:t>
      </w:r>
      <w:r>
        <w:rPr>
          <w:color w:val="010202"/>
          <w:spacing w:val="-3"/>
        </w:rPr>
        <w:t>visits,</w:t>
      </w:r>
      <w:r>
        <w:rPr>
          <w:color w:val="010202"/>
          <w:spacing w:val="-10"/>
        </w:rPr>
        <w:t> </w:t>
      </w:r>
      <w:r>
        <w:rPr>
          <w:color w:val="010202"/>
          <w:spacing w:val="-3"/>
        </w:rPr>
        <w:t>but</w:t>
      </w:r>
      <w:r>
        <w:rPr>
          <w:color w:val="010202"/>
          <w:spacing w:val="-9"/>
        </w:rPr>
        <w:t> </w:t>
      </w:r>
      <w:r>
        <w:rPr>
          <w:color w:val="010202"/>
          <w:spacing w:val="-3"/>
        </w:rPr>
        <w:t>can</w:t>
      </w:r>
      <w:r>
        <w:rPr>
          <w:color w:val="010202"/>
          <w:spacing w:val="-9"/>
        </w:rPr>
        <w:t> </w:t>
      </w:r>
      <w:r>
        <w:rPr>
          <w:color w:val="010202"/>
          <w:spacing w:val="-3"/>
        </w:rPr>
        <w:t>be</w:t>
      </w:r>
      <w:r>
        <w:rPr>
          <w:color w:val="010202"/>
          <w:spacing w:val="-52"/>
        </w:rPr>
        <w:t> </w:t>
      </w:r>
      <w:r>
        <w:rPr>
          <w:color w:val="010202"/>
          <w:spacing w:val="-3"/>
        </w:rPr>
        <w:t>used at the discretion of the client </w:t>
      </w:r>
      <w:r>
        <w:rPr>
          <w:color w:val="010202"/>
          <w:spacing w:val="-2"/>
        </w:rPr>
        <w:t>and provider.</w:t>
      </w:r>
      <w:r>
        <w:rPr>
          <w:color w:val="010202"/>
          <w:spacing w:val="-1"/>
        </w:rPr>
        <w:t> </w:t>
      </w:r>
      <w:r>
        <w:rPr>
          <w:color w:val="010202"/>
          <w:spacing w:val="-3"/>
        </w:rPr>
        <w:t>Requiring in-person visits can create </w:t>
      </w:r>
      <w:r>
        <w:rPr>
          <w:color w:val="010202"/>
          <w:spacing w:val="-2"/>
        </w:rPr>
        <w:t>a barrier to</w:t>
      </w:r>
      <w:r>
        <w:rPr>
          <w:color w:val="010202"/>
          <w:spacing w:val="-1"/>
        </w:rPr>
        <w:t> </w:t>
      </w:r>
      <w:r>
        <w:rPr>
          <w:color w:val="010202"/>
          <w:spacing w:val="-3"/>
        </w:rPr>
        <w:t>seeking</w:t>
      </w:r>
      <w:r>
        <w:rPr>
          <w:color w:val="010202"/>
          <w:spacing w:val="-10"/>
        </w:rPr>
        <w:t> </w:t>
      </w:r>
      <w:r>
        <w:rPr>
          <w:color w:val="010202"/>
          <w:spacing w:val="-3"/>
        </w:rPr>
        <w:t>or</w:t>
      </w:r>
      <w:r>
        <w:rPr>
          <w:color w:val="010202"/>
          <w:spacing w:val="-10"/>
        </w:rPr>
        <w:t> </w:t>
      </w:r>
      <w:r>
        <w:rPr>
          <w:color w:val="010202"/>
          <w:spacing w:val="-3"/>
        </w:rPr>
        <w:t>accessing</w:t>
      </w:r>
      <w:r>
        <w:rPr>
          <w:color w:val="010202"/>
          <w:spacing w:val="-10"/>
        </w:rPr>
        <w:t> </w:t>
      </w:r>
      <w:r>
        <w:rPr>
          <w:color w:val="010202"/>
          <w:spacing w:val="-3"/>
        </w:rPr>
        <w:t>care,</w:t>
      </w:r>
      <w:r>
        <w:rPr>
          <w:color w:val="010202"/>
          <w:spacing w:val="-10"/>
        </w:rPr>
        <w:t> </w:t>
      </w:r>
      <w:r>
        <w:rPr>
          <w:color w:val="010202"/>
          <w:spacing w:val="-3"/>
        </w:rPr>
        <w:t>so</w:t>
      </w:r>
      <w:r>
        <w:rPr>
          <w:color w:val="010202"/>
          <w:spacing w:val="-10"/>
        </w:rPr>
        <w:t> </w:t>
      </w:r>
      <w:r>
        <w:rPr>
          <w:color w:val="010202"/>
          <w:spacing w:val="-3"/>
        </w:rPr>
        <w:t>the</w:t>
      </w:r>
      <w:r>
        <w:rPr>
          <w:color w:val="010202"/>
          <w:spacing w:val="-10"/>
        </w:rPr>
        <w:t> </w:t>
      </w:r>
      <w:r>
        <w:rPr>
          <w:color w:val="010202"/>
          <w:spacing w:val="-3"/>
        </w:rPr>
        <w:t>decision</w:t>
      </w:r>
      <w:r>
        <w:rPr>
          <w:color w:val="010202"/>
          <w:spacing w:val="-10"/>
        </w:rPr>
        <w:t> </w:t>
      </w:r>
      <w:r>
        <w:rPr>
          <w:color w:val="010202"/>
          <w:spacing w:val="-2"/>
        </w:rPr>
        <w:t>to</w:t>
      </w:r>
      <w:r>
        <w:rPr>
          <w:color w:val="010202"/>
          <w:spacing w:val="-9"/>
        </w:rPr>
        <w:t> </w:t>
      </w:r>
      <w:r>
        <w:rPr>
          <w:color w:val="010202"/>
          <w:spacing w:val="-2"/>
        </w:rPr>
        <w:t>have</w:t>
      </w:r>
      <w:r>
        <w:rPr>
          <w:color w:val="010202"/>
          <w:spacing w:val="-52"/>
        </w:rPr>
        <w:t> </w:t>
      </w:r>
      <w:r>
        <w:rPr>
          <w:color w:val="010202"/>
          <w:spacing w:val="-3"/>
        </w:rPr>
        <w:t>in-person visits should be made in collaboration</w:t>
      </w:r>
      <w:r>
        <w:rPr>
          <w:color w:val="010202"/>
          <w:spacing w:val="-2"/>
        </w:rPr>
        <w:t> </w:t>
      </w:r>
      <w:r>
        <w:rPr>
          <w:color w:val="010202"/>
        </w:rPr>
        <w:t>with</w:t>
      </w:r>
      <w:r>
        <w:rPr>
          <w:color w:val="010202"/>
          <w:spacing w:val="-9"/>
        </w:rPr>
        <w:t> </w:t>
      </w:r>
      <w:r>
        <w:rPr>
          <w:color w:val="010202"/>
        </w:rPr>
        <w:t>the</w:t>
      </w:r>
      <w:r>
        <w:rPr>
          <w:color w:val="010202"/>
          <w:spacing w:val="-9"/>
        </w:rPr>
        <w:t> </w:t>
      </w:r>
      <w:r>
        <w:rPr>
          <w:color w:val="010202"/>
        </w:rPr>
        <w:t>client.</w:t>
      </w:r>
    </w:p>
    <w:p>
      <w:pPr>
        <w:spacing w:after="0" w:line="266" w:lineRule="auto"/>
        <w:sectPr>
          <w:type w:val="continuous"/>
          <w:pgSz w:w="12240" w:h="15840"/>
          <w:pgMar w:header="0" w:footer="666" w:top="1500" w:bottom="0" w:left="600" w:right="0"/>
          <w:cols w:num="2" w:equalWidth="0">
            <w:col w:w="5178" w:space="942"/>
            <w:col w:w="5520"/>
          </w:cols>
        </w:sectPr>
      </w:pPr>
    </w:p>
    <w:p>
      <w:pPr>
        <w:pStyle w:val="BodyText"/>
        <w:rPr>
          <w:sz w:val="20"/>
        </w:rPr>
      </w:pPr>
    </w:p>
    <w:p>
      <w:pPr>
        <w:pStyle w:val="BodyText"/>
        <w:rPr>
          <w:sz w:val="20"/>
        </w:rPr>
      </w:pPr>
    </w:p>
    <w:p>
      <w:pPr>
        <w:pStyle w:val="BodyText"/>
        <w:spacing w:before="7" w:after="1"/>
        <w:rPr>
          <w:sz w:val="19"/>
        </w:rPr>
      </w:pPr>
    </w:p>
    <w:tbl>
      <w:tblPr>
        <w:tblW w:w="0" w:type="auto"/>
        <w:jc w:val="left"/>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672"/>
        <w:gridCol w:w="9108"/>
      </w:tblGrid>
      <w:tr>
        <w:trPr>
          <w:trHeight w:val="285" w:hRule="atLeast"/>
        </w:trPr>
        <w:tc>
          <w:tcPr>
            <w:tcW w:w="10780" w:type="dxa"/>
            <w:gridSpan w:val="2"/>
            <w:shd w:val="clear" w:color="auto" w:fill="CE384B"/>
          </w:tcPr>
          <w:p>
            <w:pPr>
              <w:pStyle w:val="TableParagraph"/>
              <w:spacing w:before="28"/>
              <w:ind w:left="2622" w:right="2602"/>
              <w:jc w:val="center"/>
              <w:rPr>
                <w:b/>
                <w:sz w:val="20"/>
              </w:rPr>
            </w:pPr>
            <w:r>
              <w:rPr>
                <w:b/>
                <w:color w:val="FFFFFF"/>
                <w:sz w:val="20"/>
              </w:rPr>
              <w:t>Considerations</w:t>
            </w:r>
            <w:r>
              <w:rPr>
                <w:b/>
                <w:color w:val="FFFFFF"/>
                <w:spacing w:val="-3"/>
                <w:sz w:val="20"/>
              </w:rPr>
              <w:t> </w:t>
            </w:r>
            <w:r>
              <w:rPr>
                <w:b/>
                <w:color w:val="FFFFFF"/>
                <w:sz w:val="20"/>
              </w:rPr>
              <w:t>for</w:t>
            </w:r>
            <w:r>
              <w:rPr>
                <w:b/>
                <w:color w:val="FFFFFF"/>
                <w:spacing w:val="-3"/>
                <w:sz w:val="20"/>
              </w:rPr>
              <w:t> </w:t>
            </w:r>
            <w:r>
              <w:rPr>
                <w:b/>
                <w:color w:val="FFFFFF"/>
                <w:sz w:val="20"/>
              </w:rPr>
              <w:t>Working</w:t>
            </w:r>
            <w:r>
              <w:rPr>
                <w:b/>
                <w:color w:val="FFFFFF"/>
                <w:spacing w:val="-3"/>
                <w:sz w:val="20"/>
              </w:rPr>
              <w:t> </w:t>
            </w:r>
            <w:r>
              <w:rPr>
                <w:b/>
                <w:color w:val="FFFFFF"/>
                <w:sz w:val="20"/>
              </w:rPr>
              <w:t>with</w:t>
            </w:r>
            <w:r>
              <w:rPr>
                <w:b/>
                <w:color w:val="FFFFFF"/>
                <w:spacing w:val="-2"/>
                <w:sz w:val="20"/>
              </w:rPr>
              <w:t> </w:t>
            </w:r>
            <w:r>
              <w:rPr>
                <w:b/>
                <w:color w:val="FFFFFF"/>
                <w:sz w:val="20"/>
              </w:rPr>
              <w:t>Groups</w:t>
            </w:r>
            <w:r>
              <w:rPr>
                <w:b/>
                <w:color w:val="FFFFFF"/>
                <w:spacing w:val="-3"/>
                <w:sz w:val="20"/>
              </w:rPr>
              <w:t> </w:t>
            </w:r>
            <w:r>
              <w:rPr>
                <w:b/>
                <w:color w:val="FFFFFF"/>
                <w:sz w:val="20"/>
              </w:rPr>
              <w:t>Using</w:t>
            </w:r>
            <w:r>
              <w:rPr>
                <w:b/>
                <w:color w:val="FFFFFF"/>
                <w:spacing w:val="-3"/>
                <w:sz w:val="20"/>
              </w:rPr>
              <w:t> </w:t>
            </w:r>
            <w:r>
              <w:rPr>
                <w:b/>
                <w:color w:val="FFFFFF"/>
                <w:sz w:val="20"/>
              </w:rPr>
              <w:t>Telehealth</w:t>
            </w:r>
          </w:p>
        </w:tc>
      </w:tr>
      <w:tr>
        <w:trPr>
          <w:trHeight w:val="2025" w:hRule="atLeast"/>
        </w:trPr>
        <w:tc>
          <w:tcPr>
            <w:tcW w:w="10780" w:type="dxa"/>
            <w:gridSpan w:val="2"/>
          </w:tcPr>
          <w:p>
            <w:pPr>
              <w:pStyle w:val="TableParagraph"/>
              <w:spacing w:before="28"/>
              <w:ind w:left="80"/>
              <w:rPr>
                <w:sz w:val="20"/>
              </w:rPr>
            </w:pPr>
            <w:r>
              <w:rPr>
                <w:color w:val="231F20"/>
                <w:sz w:val="20"/>
              </w:rPr>
              <w:t>Group</w:t>
            </w:r>
            <w:r>
              <w:rPr>
                <w:color w:val="231F20"/>
                <w:spacing w:val="-2"/>
                <w:sz w:val="20"/>
              </w:rPr>
              <w:t> </w:t>
            </w:r>
            <w:r>
              <w:rPr>
                <w:color w:val="231F20"/>
                <w:sz w:val="20"/>
              </w:rPr>
              <w:t>therapy</w:t>
            </w:r>
            <w:r>
              <w:rPr>
                <w:color w:val="231F20"/>
                <w:spacing w:val="-1"/>
                <w:sz w:val="20"/>
              </w:rPr>
              <w:t> </w:t>
            </w:r>
            <w:r>
              <w:rPr>
                <w:color w:val="231F20"/>
                <w:sz w:val="20"/>
              </w:rPr>
              <w:t>raises</w:t>
            </w:r>
            <w:r>
              <w:rPr>
                <w:color w:val="231F20"/>
                <w:spacing w:val="-1"/>
                <w:sz w:val="20"/>
              </w:rPr>
              <w:t> </w:t>
            </w:r>
            <w:r>
              <w:rPr>
                <w:color w:val="231F20"/>
                <w:sz w:val="20"/>
              </w:rPr>
              <w:t>additional</w:t>
            </w:r>
            <w:r>
              <w:rPr>
                <w:color w:val="231F20"/>
                <w:spacing w:val="-1"/>
                <w:sz w:val="20"/>
              </w:rPr>
              <w:t> </w:t>
            </w:r>
            <w:r>
              <w:rPr>
                <w:color w:val="231F20"/>
                <w:sz w:val="20"/>
              </w:rPr>
              <w:t>concerns</w:t>
            </w:r>
            <w:r>
              <w:rPr>
                <w:color w:val="231F20"/>
                <w:spacing w:val="-1"/>
                <w:sz w:val="20"/>
              </w:rPr>
              <w:t> </w:t>
            </w:r>
            <w:r>
              <w:rPr>
                <w:color w:val="231F20"/>
                <w:sz w:val="20"/>
              </w:rPr>
              <w:t>when</w:t>
            </w:r>
            <w:r>
              <w:rPr>
                <w:color w:val="231F20"/>
                <w:spacing w:val="-1"/>
                <w:sz w:val="20"/>
              </w:rPr>
              <w:t> </w:t>
            </w:r>
            <w:r>
              <w:rPr>
                <w:color w:val="231F20"/>
                <w:sz w:val="20"/>
              </w:rPr>
              <w:t>using</w:t>
            </w:r>
            <w:r>
              <w:rPr>
                <w:color w:val="231F20"/>
                <w:spacing w:val="-1"/>
                <w:sz w:val="20"/>
              </w:rPr>
              <w:t> </w:t>
            </w:r>
            <w:r>
              <w:rPr>
                <w:color w:val="231F20"/>
                <w:sz w:val="20"/>
              </w:rPr>
              <w:t>telehealth,</w:t>
            </w:r>
            <w:r>
              <w:rPr>
                <w:color w:val="231F20"/>
                <w:spacing w:val="-1"/>
                <w:sz w:val="20"/>
              </w:rPr>
              <w:t> </w:t>
            </w:r>
            <w:r>
              <w:rPr>
                <w:color w:val="231F20"/>
                <w:sz w:val="20"/>
              </w:rPr>
              <w:t>especially</w:t>
            </w:r>
            <w:r>
              <w:rPr>
                <w:color w:val="231F20"/>
                <w:spacing w:val="-1"/>
                <w:sz w:val="20"/>
              </w:rPr>
              <w:t> </w:t>
            </w:r>
            <w:r>
              <w:rPr>
                <w:color w:val="231F20"/>
                <w:sz w:val="20"/>
              </w:rPr>
              <w:t>related</w:t>
            </w:r>
            <w:r>
              <w:rPr>
                <w:color w:val="231F20"/>
                <w:spacing w:val="-1"/>
                <w:sz w:val="20"/>
              </w:rPr>
              <w:t> </w:t>
            </w:r>
            <w:r>
              <w:rPr>
                <w:color w:val="231F20"/>
                <w:sz w:val="20"/>
              </w:rPr>
              <w:t>to</w:t>
            </w:r>
            <w:r>
              <w:rPr>
                <w:color w:val="231F20"/>
                <w:spacing w:val="-1"/>
                <w:sz w:val="20"/>
              </w:rPr>
              <w:t> </w:t>
            </w:r>
            <w:r>
              <w:rPr>
                <w:color w:val="231F20"/>
                <w:sz w:val="20"/>
              </w:rPr>
              <w:t>group</w:t>
            </w:r>
            <w:r>
              <w:rPr>
                <w:color w:val="231F20"/>
                <w:spacing w:val="-1"/>
                <w:sz w:val="20"/>
              </w:rPr>
              <w:t> </w:t>
            </w:r>
            <w:r>
              <w:rPr>
                <w:color w:val="231F20"/>
                <w:sz w:val="20"/>
              </w:rPr>
              <w:t>dynamics</w:t>
            </w:r>
            <w:r>
              <w:rPr>
                <w:color w:val="231F20"/>
                <w:spacing w:val="-1"/>
                <w:sz w:val="20"/>
              </w:rPr>
              <w:t> </w:t>
            </w:r>
            <w:r>
              <w:rPr>
                <w:color w:val="231F20"/>
                <w:sz w:val="20"/>
              </w:rPr>
              <w:t>and</w:t>
            </w:r>
            <w:r>
              <w:rPr>
                <w:color w:val="231F20"/>
                <w:spacing w:val="-1"/>
                <w:sz w:val="20"/>
              </w:rPr>
              <w:t> </w:t>
            </w:r>
            <w:r>
              <w:rPr>
                <w:color w:val="231F20"/>
                <w:sz w:val="20"/>
              </w:rPr>
              <w:t>privacy.</w:t>
            </w:r>
          </w:p>
          <w:p>
            <w:pPr>
              <w:pStyle w:val="TableParagraph"/>
              <w:spacing w:before="3"/>
              <w:ind w:left="0"/>
              <w:rPr>
                <w:rFonts w:ascii="Times New Roman"/>
                <w:sz w:val="18"/>
              </w:rPr>
            </w:pPr>
          </w:p>
          <w:p>
            <w:pPr>
              <w:pStyle w:val="TableParagraph"/>
              <w:spacing w:line="249" w:lineRule="auto"/>
              <w:ind w:left="80" w:right="249"/>
              <w:rPr>
                <w:sz w:val="20"/>
              </w:rPr>
            </w:pPr>
            <w:r>
              <w:rPr>
                <w:color w:val="231F20"/>
                <w:sz w:val="20"/>
              </w:rPr>
              <w:t>Evidence supports the efficacy of telehealth-delivered mental health groups for veterans with outcomes similar to</w:t>
            </w:r>
            <w:r>
              <w:rPr>
                <w:color w:val="231F20"/>
                <w:spacing w:val="1"/>
                <w:sz w:val="20"/>
              </w:rPr>
              <w:t> </w:t>
            </w:r>
            <w:r>
              <w:rPr>
                <w:color w:val="231F20"/>
                <w:sz w:val="20"/>
              </w:rPr>
              <w:t>those</w:t>
            </w:r>
            <w:r>
              <w:rPr>
                <w:color w:val="231F20"/>
                <w:spacing w:val="-2"/>
                <w:sz w:val="20"/>
              </w:rPr>
              <w:t> </w:t>
            </w:r>
            <w:r>
              <w:rPr>
                <w:color w:val="231F20"/>
                <w:sz w:val="20"/>
              </w:rPr>
              <w:t>of</w:t>
            </w:r>
            <w:r>
              <w:rPr>
                <w:color w:val="231F20"/>
                <w:spacing w:val="-2"/>
                <w:sz w:val="20"/>
              </w:rPr>
              <w:t> </w:t>
            </w:r>
            <w:r>
              <w:rPr>
                <w:color w:val="231F20"/>
                <w:sz w:val="20"/>
              </w:rPr>
              <w:t>in-person</w:t>
            </w:r>
            <w:r>
              <w:rPr>
                <w:color w:val="231F20"/>
                <w:spacing w:val="-2"/>
                <w:sz w:val="20"/>
              </w:rPr>
              <w:t> </w:t>
            </w:r>
            <w:r>
              <w:rPr>
                <w:color w:val="231F20"/>
                <w:sz w:val="20"/>
              </w:rPr>
              <w:t>groups.</w:t>
            </w:r>
            <w:r>
              <w:rPr>
                <w:color w:val="231F20"/>
                <w:spacing w:val="-2"/>
                <w:sz w:val="20"/>
              </w:rPr>
              <w:t> </w:t>
            </w:r>
            <w:r>
              <w:rPr>
                <w:color w:val="231F20"/>
                <w:sz w:val="20"/>
              </w:rPr>
              <w:t>However,</w:t>
            </w:r>
            <w:r>
              <w:rPr>
                <w:color w:val="231F20"/>
                <w:spacing w:val="-2"/>
                <w:sz w:val="20"/>
              </w:rPr>
              <w:t> </w:t>
            </w:r>
            <w:r>
              <w:rPr>
                <w:color w:val="231F20"/>
                <w:sz w:val="20"/>
              </w:rPr>
              <w:t>groups</w:t>
            </w:r>
            <w:r>
              <w:rPr>
                <w:color w:val="231F20"/>
                <w:spacing w:val="-2"/>
                <w:sz w:val="20"/>
              </w:rPr>
              <w:t> </w:t>
            </w:r>
            <w:r>
              <w:rPr>
                <w:color w:val="231F20"/>
                <w:sz w:val="20"/>
              </w:rPr>
              <w:t>are</w:t>
            </w:r>
            <w:r>
              <w:rPr>
                <w:color w:val="231F20"/>
                <w:spacing w:val="-2"/>
                <w:sz w:val="20"/>
              </w:rPr>
              <w:t> </w:t>
            </w:r>
            <w:r>
              <w:rPr>
                <w:color w:val="231F20"/>
                <w:sz w:val="20"/>
              </w:rPr>
              <w:t>associated</w:t>
            </w:r>
            <w:r>
              <w:rPr>
                <w:color w:val="231F20"/>
                <w:spacing w:val="-2"/>
                <w:sz w:val="20"/>
              </w:rPr>
              <w:t> </w:t>
            </w:r>
            <w:r>
              <w:rPr>
                <w:color w:val="231F20"/>
                <w:sz w:val="20"/>
              </w:rPr>
              <w:t>with</w:t>
            </w:r>
            <w:r>
              <w:rPr>
                <w:color w:val="231F20"/>
                <w:spacing w:val="-2"/>
                <w:sz w:val="20"/>
              </w:rPr>
              <w:t> </w:t>
            </w:r>
            <w:r>
              <w:rPr>
                <w:color w:val="231F20"/>
                <w:sz w:val="20"/>
              </w:rPr>
              <w:t>lower</w:t>
            </w:r>
            <w:r>
              <w:rPr>
                <w:color w:val="231F20"/>
                <w:spacing w:val="-2"/>
                <w:sz w:val="20"/>
              </w:rPr>
              <w:t> </w:t>
            </w:r>
            <w:r>
              <w:rPr>
                <w:color w:val="231F20"/>
                <w:sz w:val="20"/>
              </w:rPr>
              <w:t>therapeutic</w:t>
            </w:r>
            <w:r>
              <w:rPr>
                <w:color w:val="231F20"/>
                <w:spacing w:val="-2"/>
                <w:sz w:val="20"/>
              </w:rPr>
              <w:t> </w:t>
            </w:r>
            <w:r>
              <w:rPr>
                <w:color w:val="231F20"/>
                <w:sz w:val="20"/>
              </w:rPr>
              <w:t>alliance</w:t>
            </w:r>
            <w:r>
              <w:rPr>
                <w:color w:val="231F20"/>
                <w:spacing w:val="-1"/>
                <w:sz w:val="20"/>
              </w:rPr>
              <w:t> </w:t>
            </w:r>
            <w:r>
              <w:rPr>
                <w:color w:val="231F20"/>
                <w:sz w:val="20"/>
              </w:rPr>
              <w:t>and</w:t>
            </w:r>
            <w:r>
              <w:rPr>
                <w:color w:val="231F20"/>
                <w:spacing w:val="-2"/>
                <w:sz w:val="20"/>
              </w:rPr>
              <w:t> </w:t>
            </w:r>
            <w:r>
              <w:rPr>
                <w:color w:val="231F20"/>
                <w:sz w:val="20"/>
              </w:rPr>
              <w:t>group</w:t>
            </w:r>
            <w:r>
              <w:rPr>
                <w:color w:val="231F20"/>
                <w:spacing w:val="-2"/>
                <w:sz w:val="20"/>
              </w:rPr>
              <w:t> </w:t>
            </w:r>
            <w:r>
              <w:rPr>
                <w:color w:val="231F20"/>
                <w:sz w:val="20"/>
              </w:rPr>
              <w:t>cohesion</w:t>
            </w:r>
            <w:r>
              <w:rPr>
                <w:color w:val="231F20"/>
                <w:spacing w:val="-2"/>
                <w:sz w:val="20"/>
              </w:rPr>
              <w:t> </w:t>
            </w:r>
            <w:r>
              <w:rPr>
                <w:color w:val="231F20"/>
                <w:sz w:val="20"/>
              </w:rPr>
              <w:t>ratings</w:t>
            </w:r>
            <w:r>
              <w:rPr>
                <w:color w:val="231F20"/>
                <w:spacing w:val="-53"/>
                <w:sz w:val="20"/>
              </w:rPr>
              <w:t> </w:t>
            </w:r>
            <w:r>
              <w:rPr>
                <w:color w:val="231F20"/>
                <w:sz w:val="20"/>
              </w:rPr>
              <w:t>(although</w:t>
            </w:r>
            <w:r>
              <w:rPr>
                <w:color w:val="231F20"/>
                <w:spacing w:val="-1"/>
                <w:sz w:val="20"/>
              </w:rPr>
              <w:t> </w:t>
            </w:r>
            <w:r>
              <w:rPr>
                <w:color w:val="231F20"/>
                <w:sz w:val="20"/>
              </w:rPr>
              <w:t>these differences</w:t>
            </w:r>
            <w:r>
              <w:rPr>
                <w:color w:val="231F20"/>
                <w:spacing w:val="-2"/>
                <w:sz w:val="20"/>
              </w:rPr>
              <w:t> </w:t>
            </w:r>
            <w:r>
              <w:rPr>
                <w:color w:val="231F20"/>
                <w:sz w:val="20"/>
              </w:rPr>
              <w:t>did</w:t>
            </w:r>
            <w:r>
              <w:rPr>
                <w:color w:val="231F20"/>
                <w:spacing w:val="-1"/>
                <w:sz w:val="20"/>
              </w:rPr>
              <w:t> </w:t>
            </w:r>
            <w:r>
              <w:rPr>
                <w:color w:val="231F20"/>
                <w:sz w:val="20"/>
              </w:rPr>
              <w:t>not</w:t>
            </w:r>
            <w:r>
              <w:rPr>
                <w:color w:val="231F20"/>
                <w:spacing w:val="-2"/>
                <w:sz w:val="20"/>
              </w:rPr>
              <w:t> </w:t>
            </w:r>
            <w:r>
              <w:rPr>
                <w:color w:val="231F20"/>
                <w:sz w:val="20"/>
              </w:rPr>
              <w:t>impact</w:t>
            </w:r>
            <w:r>
              <w:rPr>
                <w:color w:val="231F20"/>
                <w:spacing w:val="-1"/>
                <w:sz w:val="20"/>
              </w:rPr>
              <w:t> </w:t>
            </w:r>
            <w:r>
              <w:rPr>
                <w:color w:val="231F20"/>
                <w:sz w:val="20"/>
              </w:rPr>
              <w:t>group</w:t>
            </w:r>
            <w:r>
              <w:rPr>
                <w:color w:val="231F20"/>
                <w:spacing w:val="-1"/>
                <w:sz w:val="20"/>
              </w:rPr>
              <w:t> </w:t>
            </w:r>
            <w:r>
              <w:rPr>
                <w:color w:val="231F20"/>
                <w:sz w:val="20"/>
              </w:rPr>
              <w:t>clinical</w:t>
            </w:r>
            <w:r>
              <w:rPr>
                <w:color w:val="231F20"/>
                <w:spacing w:val="-1"/>
                <w:sz w:val="20"/>
              </w:rPr>
              <w:t> </w:t>
            </w:r>
            <w:r>
              <w:rPr>
                <w:color w:val="231F20"/>
                <w:sz w:val="20"/>
              </w:rPr>
              <w:t>outcomes).</w:t>
            </w:r>
          </w:p>
          <w:p>
            <w:pPr>
              <w:pStyle w:val="TableParagraph"/>
              <w:numPr>
                <w:ilvl w:val="0"/>
                <w:numId w:val="55"/>
              </w:numPr>
              <w:tabs>
                <w:tab w:pos="439" w:val="left" w:leader="none"/>
                <w:tab w:pos="440" w:val="left" w:leader="none"/>
              </w:tabs>
              <w:spacing w:line="240" w:lineRule="auto" w:before="189" w:after="0"/>
              <w:ind w:left="440" w:right="0" w:hanging="360"/>
              <w:jc w:val="left"/>
              <w:rPr>
                <w:sz w:val="20"/>
              </w:rPr>
            </w:pPr>
            <w:r>
              <w:rPr>
                <w:color w:val="231F20"/>
                <w:sz w:val="20"/>
              </w:rPr>
              <w:t>The</w:t>
            </w:r>
            <w:r>
              <w:rPr>
                <w:color w:val="231F20"/>
                <w:spacing w:val="-12"/>
                <w:sz w:val="20"/>
              </w:rPr>
              <w:t> </w:t>
            </w:r>
            <w:r>
              <w:rPr>
                <w:color w:val="231F20"/>
                <w:sz w:val="20"/>
              </w:rPr>
              <w:t>American Psychological</w:t>
            </w:r>
            <w:r>
              <w:rPr>
                <w:color w:val="231F20"/>
                <w:spacing w:val="-11"/>
                <w:sz w:val="20"/>
              </w:rPr>
              <w:t> </w:t>
            </w:r>
            <w:r>
              <w:rPr>
                <w:color w:val="231F20"/>
                <w:sz w:val="20"/>
              </w:rPr>
              <w:t>Association</w:t>
            </w:r>
            <w:r>
              <w:rPr>
                <w:color w:val="3953A4"/>
                <w:sz w:val="20"/>
              </w:rPr>
              <w:t> </w:t>
            </w:r>
            <w:hyperlink r:id="rId231">
              <w:r>
                <w:rPr>
                  <w:color w:val="3953A4"/>
                  <w:sz w:val="20"/>
                  <w:u w:val="single" w:color="3953A4"/>
                </w:rPr>
                <w:t>has a list of considerations</w:t>
              </w:r>
              <w:r>
                <w:rPr>
                  <w:color w:val="3953A4"/>
                  <w:sz w:val="20"/>
                </w:rPr>
                <w:t> </w:t>
              </w:r>
            </w:hyperlink>
            <w:r>
              <w:rPr>
                <w:color w:val="231F20"/>
                <w:sz w:val="20"/>
              </w:rPr>
              <w:t>for</w:t>
            </w:r>
            <w:r>
              <w:rPr>
                <w:color w:val="231F20"/>
                <w:spacing w:val="-1"/>
                <w:sz w:val="20"/>
              </w:rPr>
              <w:t> </w:t>
            </w:r>
            <w:r>
              <w:rPr>
                <w:color w:val="231F20"/>
                <w:sz w:val="20"/>
              </w:rPr>
              <w:t>group therapy using telehealth modalities.</w:t>
            </w:r>
          </w:p>
          <w:p>
            <w:pPr>
              <w:pStyle w:val="TableParagraph"/>
              <w:numPr>
                <w:ilvl w:val="0"/>
                <w:numId w:val="55"/>
              </w:numPr>
              <w:tabs>
                <w:tab w:pos="439" w:val="left" w:leader="none"/>
                <w:tab w:pos="440" w:val="left" w:leader="none"/>
              </w:tabs>
              <w:spacing w:line="240" w:lineRule="auto" w:before="85" w:after="0"/>
              <w:ind w:left="440" w:right="0" w:hanging="360"/>
              <w:jc w:val="left"/>
              <w:rPr>
                <w:sz w:val="20"/>
              </w:rPr>
            </w:pPr>
            <w:r>
              <w:rPr>
                <w:color w:val="231F20"/>
                <w:sz w:val="20"/>
              </w:rPr>
              <w:t>The</w:t>
            </w:r>
            <w:r>
              <w:rPr>
                <w:color w:val="231F20"/>
                <w:spacing w:val="-7"/>
                <w:sz w:val="20"/>
              </w:rPr>
              <w:t> </w:t>
            </w:r>
            <w:r>
              <w:rPr>
                <w:color w:val="231F20"/>
                <w:sz w:val="20"/>
              </w:rPr>
              <w:t>Mental</w:t>
            </w:r>
            <w:r>
              <w:rPr>
                <w:color w:val="231F20"/>
                <w:spacing w:val="-7"/>
                <w:sz w:val="20"/>
              </w:rPr>
              <w:t> </w:t>
            </w:r>
            <w:r>
              <w:rPr>
                <w:color w:val="231F20"/>
                <w:sz w:val="20"/>
              </w:rPr>
              <w:t>Health</w:t>
            </w:r>
            <w:r>
              <w:rPr>
                <w:color w:val="231F20"/>
                <w:spacing w:val="-10"/>
                <w:sz w:val="20"/>
              </w:rPr>
              <w:t> </w:t>
            </w:r>
            <w:r>
              <w:rPr>
                <w:color w:val="231F20"/>
                <w:sz w:val="20"/>
              </w:rPr>
              <w:t>Technology</w:t>
            </w:r>
            <w:r>
              <w:rPr>
                <w:color w:val="231F20"/>
                <w:spacing w:val="-10"/>
                <w:sz w:val="20"/>
              </w:rPr>
              <w:t> </w:t>
            </w:r>
            <w:r>
              <w:rPr>
                <w:color w:val="231F20"/>
                <w:sz w:val="20"/>
              </w:rPr>
              <w:t>Transfer</w:t>
            </w:r>
            <w:r>
              <w:rPr>
                <w:color w:val="231F20"/>
                <w:spacing w:val="-6"/>
                <w:sz w:val="20"/>
              </w:rPr>
              <w:t> </w:t>
            </w:r>
            <w:r>
              <w:rPr>
                <w:color w:val="231F20"/>
                <w:sz w:val="20"/>
              </w:rPr>
              <w:t>Center</w:t>
            </w:r>
            <w:r>
              <w:rPr>
                <w:color w:val="231F20"/>
                <w:spacing w:val="-7"/>
                <w:sz w:val="20"/>
              </w:rPr>
              <w:t> </w:t>
            </w:r>
            <w:r>
              <w:rPr>
                <w:color w:val="231F20"/>
                <w:sz w:val="20"/>
              </w:rPr>
              <w:t>(MHTTC)</w:t>
            </w:r>
            <w:r>
              <w:rPr>
                <w:color w:val="231F20"/>
                <w:spacing w:val="-7"/>
                <w:sz w:val="20"/>
              </w:rPr>
              <w:t> </w:t>
            </w:r>
            <w:r>
              <w:rPr>
                <w:color w:val="231F20"/>
                <w:sz w:val="20"/>
              </w:rPr>
              <w:t>Central</w:t>
            </w:r>
            <w:r>
              <w:rPr>
                <w:color w:val="231F20"/>
                <w:spacing w:val="-7"/>
                <w:sz w:val="20"/>
              </w:rPr>
              <w:t> </w:t>
            </w:r>
            <w:r>
              <w:rPr>
                <w:color w:val="231F20"/>
                <w:sz w:val="20"/>
              </w:rPr>
              <w:t>East</w:t>
            </w:r>
            <w:r>
              <w:rPr>
                <w:color w:val="231F20"/>
                <w:spacing w:val="-7"/>
                <w:sz w:val="20"/>
              </w:rPr>
              <w:t> </w:t>
            </w:r>
            <w:r>
              <w:rPr>
                <w:color w:val="231F20"/>
                <w:sz w:val="20"/>
              </w:rPr>
              <w:t>has</w:t>
            </w:r>
            <w:r>
              <w:rPr>
                <w:color w:val="231F20"/>
                <w:spacing w:val="-7"/>
                <w:sz w:val="20"/>
              </w:rPr>
              <w:t> </w:t>
            </w:r>
            <w:r>
              <w:rPr>
                <w:color w:val="231F20"/>
                <w:sz w:val="20"/>
              </w:rPr>
              <w:t>a</w:t>
            </w:r>
            <w:r>
              <w:rPr>
                <w:color w:val="3953A4"/>
                <w:spacing w:val="-9"/>
                <w:sz w:val="20"/>
              </w:rPr>
              <w:t> </w:t>
            </w:r>
            <w:hyperlink r:id="rId232">
              <w:r>
                <w:rPr>
                  <w:color w:val="3953A4"/>
                  <w:sz w:val="20"/>
                  <w:u w:val="single" w:color="3953A4"/>
                </w:rPr>
                <w:t>Tip</w:t>
              </w:r>
              <w:r>
                <w:rPr>
                  <w:color w:val="3953A4"/>
                  <w:spacing w:val="-7"/>
                  <w:sz w:val="20"/>
                  <w:u w:val="single" w:color="3953A4"/>
                </w:rPr>
                <w:t> </w:t>
              </w:r>
              <w:r>
                <w:rPr>
                  <w:color w:val="3953A4"/>
                  <w:sz w:val="20"/>
                  <w:u w:val="single" w:color="3953A4"/>
                </w:rPr>
                <w:t>Sheet</w:t>
              </w:r>
              <w:r>
                <w:rPr>
                  <w:color w:val="3953A4"/>
                  <w:spacing w:val="-6"/>
                  <w:sz w:val="20"/>
                </w:rPr>
                <w:t> </w:t>
              </w:r>
            </w:hyperlink>
            <w:r>
              <w:rPr>
                <w:color w:val="231F20"/>
                <w:sz w:val="20"/>
              </w:rPr>
              <w:t>for</w:t>
            </w:r>
            <w:r>
              <w:rPr>
                <w:color w:val="231F20"/>
                <w:spacing w:val="-7"/>
                <w:sz w:val="20"/>
              </w:rPr>
              <w:t> </w:t>
            </w:r>
            <w:r>
              <w:rPr>
                <w:color w:val="231F20"/>
                <w:sz w:val="20"/>
              </w:rPr>
              <w:t>Group</w:t>
            </w:r>
            <w:r>
              <w:rPr>
                <w:color w:val="231F20"/>
                <w:spacing w:val="-10"/>
                <w:sz w:val="20"/>
              </w:rPr>
              <w:t> </w:t>
            </w:r>
            <w:r>
              <w:rPr>
                <w:color w:val="231F20"/>
                <w:sz w:val="20"/>
              </w:rPr>
              <w:t>Teletherapy.</w:t>
            </w:r>
          </w:p>
        </w:tc>
      </w:tr>
      <w:tr>
        <w:trPr>
          <w:trHeight w:val="852" w:hRule="atLeast"/>
        </w:trPr>
        <w:tc>
          <w:tcPr>
            <w:tcW w:w="1672" w:type="dxa"/>
          </w:tcPr>
          <w:p>
            <w:pPr>
              <w:pStyle w:val="TableParagraph"/>
              <w:spacing w:before="28"/>
              <w:ind w:left="79"/>
              <w:rPr>
                <w:b/>
                <w:sz w:val="20"/>
              </w:rPr>
            </w:pPr>
            <w:r>
              <w:rPr>
                <w:b/>
                <w:color w:val="231F20"/>
                <w:sz w:val="20"/>
              </w:rPr>
              <w:t>Format</w:t>
            </w:r>
          </w:p>
        </w:tc>
        <w:tc>
          <w:tcPr>
            <w:tcW w:w="9108" w:type="dxa"/>
          </w:tcPr>
          <w:p>
            <w:pPr>
              <w:pStyle w:val="TableParagraph"/>
              <w:numPr>
                <w:ilvl w:val="0"/>
                <w:numId w:val="56"/>
              </w:numPr>
              <w:tabs>
                <w:tab w:pos="439" w:val="left" w:leader="none"/>
                <w:tab w:pos="440" w:val="left" w:leader="none"/>
              </w:tabs>
              <w:spacing w:line="249" w:lineRule="auto" w:before="14" w:after="0"/>
              <w:ind w:left="439" w:right="298" w:hanging="360"/>
              <w:jc w:val="left"/>
              <w:rPr>
                <w:sz w:val="20"/>
              </w:rPr>
            </w:pPr>
            <w:r>
              <w:rPr>
                <w:color w:val="231F20"/>
                <w:sz w:val="20"/>
              </w:rPr>
              <w:t>Groups may happen in hybrid formats (e.g., some audio only, some video plus audio, some in</w:t>
            </w:r>
            <w:r>
              <w:rPr>
                <w:color w:val="231F20"/>
                <w:spacing w:val="1"/>
                <w:sz w:val="20"/>
              </w:rPr>
              <w:t> </w:t>
            </w:r>
            <w:r>
              <w:rPr>
                <w:color w:val="231F20"/>
                <w:sz w:val="20"/>
              </w:rPr>
              <w:t>person). Consider limiting to two delivery modalities to better facilitate groups and troubleshoot</w:t>
            </w:r>
            <w:r>
              <w:rPr>
                <w:color w:val="231F20"/>
                <w:spacing w:val="-54"/>
                <w:sz w:val="20"/>
              </w:rPr>
              <w:t> </w:t>
            </w:r>
            <w:r>
              <w:rPr>
                <w:color w:val="231F20"/>
                <w:sz w:val="20"/>
              </w:rPr>
              <w:t>challenges.</w:t>
            </w:r>
          </w:p>
        </w:tc>
      </w:tr>
      <w:tr>
        <w:trPr>
          <w:trHeight w:val="2895" w:hRule="atLeast"/>
        </w:trPr>
        <w:tc>
          <w:tcPr>
            <w:tcW w:w="1672" w:type="dxa"/>
          </w:tcPr>
          <w:p>
            <w:pPr>
              <w:pStyle w:val="TableParagraph"/>
              <w:spacing w:before="28"/>
              <w:ind w:left="79"/>
              <w:rPr>
                <w:b/>
                <w:sz w:val="20"/>
              </w:rPr>
            </w:pPr>
            <w:r>
              <w:rPr>
                <w:b/>
                <w:color w:val="231F20"/>
                <w:sz w:val="20"/>
              </w:rPr>
              <w:t>Considerations</w:t>
            </w:r>
          </w:p>
        </w:tc>
        <w:tc>
          <w:tcPr>
            <w:tcW w:w="9108" w:type="dxa"/>
          </w:tcPr>
          <w:p>
            <w:pPr>
              <w:pStyle w:val="TableParagraph"/>
              <w:numPr>
                <w:ilvl w:val="0"/>
                <w:numId w:val="57"/>
              </w:numPr>
              <w:tabs>
                <w:tab w:pos="439" w:val="left" w:leader="none"/>
                <w:tab w:pos="440" w:val="left" w:leader="none"/>
              </w:tabs>
              <w:spacing w:line="240" w:lineRule="auto" w:before="14" w:after="0"/>
              <w:ind w:left="440" w:right="0" w:hanging="361"/>
              <w:jc w:val="left"/>
              <w:rPr>
                <w:sz w:val="20"/>
              </w:rPr>
            </w:pPr>
            <w:r>
              <w:rPr>
                <w:color w:val="231F20"/>
                <w:sz w:val="20"/>
              </w:rPr>
              <w:t>Who</w:t>
            </w:r>
            <w:r>
              <w:rPr>
                <w:color w:val="231F20"/>
                <w:spacing w:val="-3"/>
                <w:sz w:val="20"/>
              </w:rPr>
              <w:t> </w:t>
            </w:r>
            <w:r>
              <w:rPr>
                <w:color w:val="231F20"/>
                <w:sz w:val="20"/>
              </w:rPr>
              <w:t>can</w:t>
            </w:r>
            <w:r>
              <w:rPr>
                <w:color w:val="231F20"/>
                <w:spacing w:val="-2"/>
                <w:sz w:val="20"/>
              </w:rPr>
              <w:t> </w:t>
            </w:r>
            <w:r>
              <w:rPr>
                <w:color w:val="231F20"/>
                <w:sz w:val="20"/>
              </w:rPr>
              <w:t>benefit</w:t>
            </w:r>
            <w:r>
              <w:rPr>
                <w:color w:val="231F20"/>
                <w:spacing w:val="-3"/>
                <w:sz w:val="20"/>
              </w:rPr>
              <w:t> </w:t>
            </w:r>
            <w:r>
              <w:rPr>
                <w:color w:val="231F20"/>
                <w:sz w:val="20"/>
              </w:rPr>
              <w:t>most</w:t>
            </w:r>
            <w:r>
              <w:rPr>
                <w:color w:val="231F20"/>
                <w:spacing w:val="-2"/>
                <w:sz w:val="20"/>
              </w:rPr>
              <w:t> </w:t>
            </w:r>
            <w:r>
              <w:rPr>
                <w:color w:val="231F20"/>
                <w:sz w:val="20"/>
              </w:rPr>
              <w:t>from</w:t>
            </w:r>
            <w:r>
              <w:rPr>
                <w:color w:val="231F20"/>
                <w:spacing w:val="-2"/>
                <w:sz w:val="20"/>
              </w:rPr>
              <w:t> </w:t>
            </w:r>
            <w:r>
              <w:rPr>
                <w:color w:val="231F20"/>
                <w:sz w:val="20"/>
              </w:rPr>
              <w:t>group</w:t>
            </w:r>
            <w:r>
              <w:rPr>
                <w:color w:val="231F20"/>
                <w:spacing w:val="-3"/>
                <w:sz w:val="20"/>
              </w:rPr>
              <w:t> </w:t>
            </w:r>
            <w:r>
              <w:rPr>
                <w:color w:val="231F20"/>
                <w:sz w:val="20"/>
              </w:rPr>
              <w:t>therapy?</w:t>
            </w:r>
            <w:r>
              <w:rPr>
                <w:color w:val="231F20"/>
                <w:spacing w:val="-2"/>
                <w:sz w:val="20"/>
              </w:rPr>
              <w:t> </w:t>
            </w:r>
            <w:r>
              <w:rPr>
                <w:color w:val="231F20"/>
                <w:sz w:val="20"/>
              </w:rPr>
              <w:t>Problem-solve</w:t>
            </w:r>
            <w:r>
              <w:rPr>
                <w:color w:val="231F20"/>
                <w:spacing w:val="-2"/>
                <w:sz w:val="20"/>
              </w:rPr>
              <w:t> </w:t>
            </w:r>
            <w:r>
              <w:rPr>
                <w:color w:val="231F20"/>
                <w:sz w:val="20"/>
              </w:rPr>
              <w:t>barriers</w:t>
            </w:r>
            <w:r>
              <w:rPr>
                <w:color w:val="231F20"/>
                <w:spacing w:val="-4"/>
                <w:sz w:val="20"/>
              </w:rPr>
              <w:t> </w:t>
            </w:r>
            <w:r>
              <w:rPr>
                <w:color w:val="231F20"/>
                <w:sz w:val="20"/>
              </w:rPr>
              <w:t>to</w:t>
            </w:r>
            <w:r>
              <w:rPr>
                <w:color w:val="231F20"/>
                <w:spacing w:val="-2"/>
                <w:sz w:val="20"/>
              </w:rPr>
              <w:t> </w:t>
            </w:r>
            <w:r>
              <w:rPr>
                <w:color w:val="231F20"/>
                <w:sz w:val="20"/>
              </w:rPr>
              <w:t>participation</w:t>
            </w:r>
            <w:r>
              <w:rPr>
                <w:color w:val="231F20"/>
                <w:spacing w:val="-3"/>
                <w:sz w:val="20"/>
              </w:rPr>
              <w:t> </w:t>
            </w:r>
            <w:r>
              <w:rPr>
                <w:color w:val="231F20"/>
                <w:sz w:val="20"/>
              </w:rPr>
              <w:t>(e.g.,</w:t>
            </w:r>
            <w:r>
              <w:rPr>
                <w:color w:val="231F20"/>
                <w:spacing w:val="-2"/>
                <w:sz w:val="20"/>
              </w:rPr>
              <w:t> </w:t>
            </w:r>
            <w:r>
              <w:rPr>
                <w:color w:val="231F20"/>
                <w:sz w:val="20"/>
              </w:rPr>
              <w:t>is</w:t>
            </w:r>
            <w:r>
              <w:rPr>
                <w:color w:val="231F20"/>
                <w:spacing w:val="-3"/>
                <w:sz w:val="20"/>
              </w:rPr>
              <w:t> </w:t>
            </w:r>
            <w:r>
              <w:rPr>
                <w:color w:val="231F20"/>
                <w:sz w:val="20"/>
              </w:rPr>
              <w:t>a</w:t>
            </w:r>
          </w:p>
          <w:p>
            <w:pPr>
              <w:pStyle w:val="TableParagraph"/>
              <w:spacing w:before="9"/>
              <w:ind w:left="439"/>
              <w:rPr>
                <w:sz w:val="20"/>
              </w:rPr>
            </w:pPr>
            <w:r>
              <w:rPr>
                <w:color w:val="231F20"/>
                <w:sz w:val="20"/>
              </w:rPr>
              <w:t>patient’s</w:t>
            </w:r>
            <w:r>
              <w:rPr>
                <w:color w:val="231F20"/>
                <w:spacing w:val="-1"/>
                <w:sz w:val="20"/>
              </w:rPr>
              <w:t> </w:t>
            </w:r>
            <w:r>
              <w:rPr>
                <w:color w:val="231F20"/>
                <w:sz w:val="20"/>
              </w:rPr>
              <w:t>technological</w:t>
            </w:r>
            <w:r>
              <w:rPr>
                <w:color w:val="231F20"/>
                <w:spacing w:val="-1"/>
                <w:sz w:val="20"/>
              </w:rPr>
              <w:t> </w:t>
            </w:r>
            <w:r>
              <w:rPr>
                <w:color w:val="231F20"/>
                <w:sz w:val="20"/>
              </w:rPr>
              <w:t>set-up appropriate</w:t>
            </w:r>
            <w:r>
              <w:rPr>
                <w:color w:val="231F20"/>
                <w:spacing w:val="-1"/>
                <w:sz w:val="20"/>
              </w:rPr>
              <w:t> </w:t>
            </w:r>
            <w:r>
              <w:rPr>
                <w:color w:val="231F20"/>
                <w:sz w:val="20"/>
              </w:rPr>
              <w:t>to support</w:t>
            </w:r>
            <w:r>
              <w:rPr>
                <w:color w:val="231F20"/>
                <w:spacing w:val="-1"/>
                <w:sz w:val="20"/>
              </w:rPr>
              <w:t> </w:t>
            </w:r>
            <w:r>
              <w:rPr>
                <w:color w:val="231F20"/>
                <w:sz w:val="20"/>
              </w:rPr>
              <w:t>a telehealth</w:t>
            </w:r>
            <w:r>
              <w:rPr>
                <w:color w:val="231F20"/>
                <w:spacing w:val="-1"/>
                <w:sz w:val="20"/>
              </w:rPr>
              <w:t> </w:t>
            </w:r>
            <w:r>
              <w:rPr>
                <w:color w:val="231F20"/>
                <w:sz w:val="20"/>
              </w:rPr>
              <w:t>group?).</w:t>
            </w:r>
          </w:p>
          <w:p>
            <w:pPr>
              <w:pStyle w:val="TableParagraph"/>
              <w:numPr>
                <w:ilvl w:val="0"/>
                <w:numId w:val="57"/>
              </w:numPr>
              <w:tabs>
                <w:tab w:pos="439" w:val="left" w:leader="none"/>
                <w:tab w:pos="440" w:val="left" w:leader="none"/>
              </w:tabs>
              <w:spacing w:line="247" w:lineRule="auto" w:before="86" w:after="0"/>
              <w:ind w:left="439" w:right="185" w:hanging="360"/>
              <w:jc w:val="left"/>
              <w:rPr>
                <w:sz w:val="20"/>
              </w:rPr>
            </w:pPr>
            <w:r>
              <w:rPr>
                <w:color w:val="231F20"/>
                <w:sz w:val="20"/>
              </w:rPr>
              <w:t>Are</w:t>
            </w:r>
            <w:r>
              <w:rPr>
                <w:color w:val="231F20"/>
                <w:spacing w:val="-2"/>
                <w:sz w:val="20"/>
              </w:rPr>
              <w:t> </w:t>
            </w:r>
            <w:r>
              <w:rPr>
                <w:color w:val="231F20"/>
                <w:sz w:val="20"/>
              </w:rPr>
              <w:t>there</w:t>
            </w:r>
            <w:r>
              <w:rPr>
                <w:color w:val="231F20"/>
                <w:spacing w:val="-1"/>
                <w:sz w:val="20"/>
              </w:rPr>
              <w:t> </w:t>
            </w:r>
            <w:r>
              <w:rPr>
                <w:color w:val="231F20"/>
                <w:sz w:val="20"/>
              </w:rPr>
              <w:t>any</w:t>
            </w:r>
            <w:r>
              <w:rPr>
                <w:color w:val="231F20"/>
                <w:spacing w:val="-1"/>
                <w:sz w:val="20"/>
              </w:rPr>
              <w:t> </w:t>
            </w:r>
            <w:r>
              <w:rPr>
                <w:color w:val="231F20"/>
                <w:sz w:val="20"/>
              </w:rPr>
              <w:t>potential</w:t>
            </w:r>
            <w:r>
              <w:rPr>
                <w:color w:val="231F20"/>
                <w:spacing w:val="-1"/>
                <w:sz w:val="20"/>
              </w:rPr>
              <w:t> </w:t>
            </w:r>
            <w:r>
              <w:rPr>
                <w:color w:val="231F20"/>
                <w:sz w:val="20"/>
              </w:rPr>
              <w:t>negative</w:t>
            </w:r>
            <w:r>
              <w:rPr>
                <w:color w:val="231F20"/>
                <w:spacing w:val="-2"/>
                <w:sz w:val="20"/>
              </w:rPr>
              <w:t> </w:t>
            </w:r>
            <w:r>
              <w:rPr>
                <w:color w:val="231F20"/>
                <w:sz w:val="20"/>
              </w:rPr>
              <w:t>impacts</w:t>
            </w:r>
            <w:r>
              <w:rPr>
                <w:color w:val="231F20"/>
                <w:spacing w:val="-1"/>
                <w:sz w:val="20"/>
              </w:rPr>
              <w:t> </w:t>
            </w:r>
            <w:r>
              <w:rPr>
                <w:color w:val="231F20"/>
                <w:sz w:val="20"/>
              </w:rPr>
              <w:t>that</w:t>
            </w:r>
            <w:r>
              <w:rPr>
                <w:color w:val="231F20"/>
                <w:spacing w:val="-1"/>
                <w:sz w:val="20"/>
              </w:rPr>
              <w:t> </w:t>
            </w:r>
            <w:r>
              <w:rPr>
                <w:color w:val="231F20"/>
                <w:sz w:val="20"/>
              </w:rPr>
              <w:t>the</w:t>
            </w:r>
            <w:r>
              <w:rPr>
                <w:color w:val="231F20"/>
                <w:spacing w:val="-1"/>
                <w:sz w:val="20"/>
              </w:rPr>
              <w:t> </w:t>
            </w:r>
            <w:r>
              <w:rPr>
                <w:color w:val="231F20"/>
                <w:sz w:val="20"/>
              </w:rPr>
              <w:t>telehealth</w:t>
            </w:r>
            <w:r>
              <w:rPr>
                <w:color w:val="231F20"/>
                <w:spacing w:val="-1"/>
                <w:sz w:val="20"/>
              </w:rPr>
              <w:t> </w:t>
            </w:r>
            <w:r>
              <w:rPr>
                <w:color w:val="231F20"/>
                <w:sz w:val="20"/>
              </w:rPr>
              <w:t>group</w:t>
            </w:r>
            <w:r>
              <w:rPr>
                <w:color w:val="231F20"/>
                <w:spacing w:val="-2"/>
                <w:sz w:val="20"/>
              </w:rPr>
              <w:t> </w:t>
            </w:r>
            <w:r>
              <w:rPr>
                <w:color w:val="231F20"/>
                <w:sz w:val="20"/>
              </w:rPr>
              <w:t>could</w:t>
            </w:r>
            <w:r>
              <w:rPr>
                <w:color w:val="231F20"/>
                <w:spacing w:val="-1"/>
                <w:sz w:val="20"/>
              </w:rPr>
              <w:t> </w:t>
            </w:r>
            <w:r>
              <w:rPr>
                <w:color w:val="231F20"/>
                <w:sz w:val="20"/>
              </w:rPr>
              <w:t>have</w:t>
            </w:r>
            <w:r>
              <w:rPr>
                <w:color w:val="231F20"/>
                <w:spacing w:val="-1"/>
                <w:sz w:val="20"/>
              </w:rPr>
              <w:t> </w:t>
            </w:r>
            <w:r>
              <w:rPr>
                <w:color w:val="231F20"/>
                <w:sz w:val="20"/>
              </w:rPr>
              <w:t>on</w:t>
            </w:r>
            <w:r>
              <w:rPr>
                <w:color w:val="231F20"/>
                <w:spacing w:val="-1"/>
                <w:sz w:val="20"/>
              </w:rPr>
              <w:t> </w:t>
            </w:r>
            <w:r>
              <w:rPr>
                <w:color w:val="231F20"/>
                <w:sz w:val="20"/>
              </w:rPr>
              <w:t>potential</w:t>
            </w:r>
            <w:r>
              <w:rPr>
                <w:color w:val="231F20"/>
                <w:spacing w:val="-1"/>
                <w:sz w:val="20"/>
              </w:rPr>
              <w:t> </w:t>
            </w:r>
            <w:r>
              <w:rPr>
                <w:color w:val="231F20"/>
                <w:sz w:val="20"/>
              </w:rPr>
              <w:t>group</w:t>
            </w:r>
            <w:r>
              <w:rPr>
                <w:color w:val="231F20"/>
                <w:spacing w:val="-53"/>
                <w:sz w:val="20"/>
              </w:rPr>
              <w:t> </w:t>
            </w:r>
            <w:r>
              <w:rPr>
                <w:color w:val="231F20"/>
                <w:sz w:val="20"/>
              </w:rPr>
              <w:t>members</w:t>
            </w:r>
            <w:r>
              <w:rPr>
                <w:color w:val="231F20"/>
                <w:spacing w:val="-1"/>
                <w:sz w:val="20"/>
              </w:rPr>
              <w:t> </w:t>
            </w:r>
            <w:r>
              <w:rPr>
                <w:color w:val="231F20"/>
                <w:sz w:val="20"/>
              </w:rPr>
              <w:t>(e.g., paranoia symptoms, disruptive behavior)?</w:t>
            </w:r>
          </w:p>
          <w:p>
            <w:pPr>
              <w:pStyle w:val="TableParagraph"/>
              <w:numPr>
                <w:ilvl w:val="0"/>
                <w:numId w:val="57"/>
              </w:numPr>
              <w:tabs>
                <w:tab w:pos="439" w:val="left" w:leader="none"/>
                <w:tab w:pos="440" w:val="left" w:leader="none"/>
              </w:tabs>
              <w:spacing w:line="240" w:lineRule="auto" w:before="81" w:after="0"/>
              <w:ind w:left="440" w:right="0" w:hanging="361"/>
              <w:jc w:val="left"/>
              <w:rPr>
                <w:sz w:val="20"/>
              </w:rPr>
            </w:pPr>
            <w:r>
              <w:rPr>
                <w:color w:val="231F20"/>
                <w:sz w:val="20"/>
              </w:rPr>
              <w:t>What</w:t>
            </w:r>
            <w:r>
              <w:rPr>
                <w:color w:val="231F20"/>
                <w:spacing w:val="-5"/>
                <w:sz w:val="20"/>
              </w:rPr>
              <w:t> </w:t>
            </w:r>
            <w:r>
              <w:rPr>
                <w:color w:val="231F20"/>
                <w:sz w:val="20"/>
              </w:rPr>
              <w:t>group</w:t>
            </w:r>
            <w:r>
              <w:rPr>
                <w:color w:val="231F20"/>
                <w:spacing w:val="-5"/>
                <w:sz w:val="20"/>
              </w:rPr>
              <w:t> </w:t>
            </w:r>
            <w:r>
              <w:rPr>
                <w:color w:val="231F20"/>
                <w:sz w:val="20"/>
              </w:rPr>
              <w:t>size</w:t>
            </w:r>
            <w:r>
              <w:rPr>
                <w:color w:val="231F20"/>
                <w:spacing w:val="-5"/>
                <w:sz w:val="20"/>
              </w:rPr>
              <w:t> </w:t>
            </w:r>
            <w:r>
              <w:rPr>
                <w:color w:val="231F20"/>
                <w:sz w:val="20"/>
              </w:rPr>
              <w:t>allows</w:t>
            </w:r>
            <w:r>
              <w:rPr>
                <w:color w:val="231F20"/>
                <w:spacing w:val="-5"/>
                <w:sz w:val="20"/>
              </w:rPr>
              <w:t> </w:t>
            </w:r>
            <w:r>
              <w:rPr>
                <w:color w:val="231F20"/>
                <w:sz w:val="20"/>
              </w:rPr>
              <w:t>for</w:t>
            </w:r>
            <w:r>
              <w:rPr>
                <w:color w:val="231F20"/>
                <w:spacing w:val="-4"/>
                <w:sz w:val="20"/>
              </w:rPr>
              <w:t> </w:t>
            </w:r>
            <w:r>
              <w:rPr>
                <w:color w:val="231F20"/>
                <w:sz w:val="20"/>
              </w:rPr>
              <w:t>effective</w:t>
            </w:r>
            <w:r>
              <w:rPr>
                <w:color w:val="231F20"/>
                <w:spacing w:val="-5"/>
                <w:sz w:val="20"/>
              </w:rPr>
              <w:t> </w:t>
            </w:r>
            <w:r>
              <w:rPr>
                <w:color w:val="231F20"/>
                <w:sz w:val="20"/>
              </w:rPr>
              <w:t>engagement</w:t>
            </w:r>
            <w:r>
              <w:rPr>
                <w:color w:val="231F20"/>
                <w:spacing w:val="-6"/>
                <w:sz w:val="20"/>
              </w:rPr>
              <w:t> </w:t>
            </w:r>
            <w:r>
              <w:rPr>
                <w:color w:val="231F20"/>
                <w:sz w:val="20"/>
              </w:rPr>
              <w:t>while</w:t>
            </w:r>
            <w:r>
              <w:rPr>
                <w:color w:val="231F20"/>
                <w:spacing w:val="-5"/>
                <w:sz w:val="20"/>
              </w:rPr>
              <w:t> </w:t>
            </w:r>
            <w:r>
              <w:rPr>
                <w:color w:val="231F20"/>
                <w:sz w:val="20"/>
              </w:rPr>
              <w:t>also</w:t>
            </w:r>
            <w:r>
              <w:rPr>
                <w:color w:val="231F20"/>
                <w:spacing w:val="-5"/>
                <w:sz w:val="20"/>
              </w:rPr>
              <w:t> </w:t>
            </w:r>
            <w:r>
              <w:rPr>
                <w:color w:val="231F20"/>
                <w:sz w:val="20"/>
              </w:rPr>
              <w:t>being</w:t>
            </w:r>
            <w:r>
              <w:rPr>
                <w:color w:val="231F20"/>
                <w:spacing w:val="-6"/>
                <w:sz w:val="20"/>
              </w:rPr>
              <w:t> </w:t>
            </w:r>
            <w:r>
              <w:rPr>
                <w:color w:val="231F20"/>
                <w:sz w:val="20"/>
              </w:rPr>
              <w:t>able</w:t>
            </w:r>
            <w:r>
              <w:rPr>
                <w:color w:val="231F20"/>
                <w:spacing w:val="-5"/>
                <w:sz w:val="20"/>
              </w:rPr>
              <w:t> </w:t>
            </w:r>
            <w:r>
              <w:rPr>
                <w:color w:val="231F20"/>
                <w:sz w:val="20"/>
              </w:rPr>
              <w:t>to</w:t>
            </w:r>
            <w:r>
              <w:rPr>
                <w:color w:val="231F20"/>
                <w:spacing w:val="-4"/>
                <w:sz w:val="20"/>
              </w:rPr>
              <w:t> </w:t>
            </w:r>
            <w:r>
              <w:rPr>
                <w:color w:val="231F20"/>
                <w:sz w:val="20"/>
              </w:rPr>
              <w:t>address</w:t>
            </w:r>
            <w:r>
              <w:rPr>
                <w:color w:val="231F20"/>
                <w:spacing w:val="-6"/>
                <w:sz w:val="20"/>
              </w:rPr>
              <w:t> </w:t>
            </w:r>
            <w:r>
              <w:rPr>
                <w:color w:val="231F20"/>
                <w:sz w:val="20"/>
              </w:rPr>
              <w:t>emergencies</w:t>
            </w:r>
          </w:p>
          <w:p>
            <w:pPr>
              <w:pStyle w:val="TableParagraph"/>
              <w:spacing w:before="8"/>
              <w:ind w:left="439"/>
              <w:rPr>
                <w:sz w:val="20"/>
              </w:rPr>
            </w:pPr>
            <w:r>
              <w:rPr>
                <w:color w:val="231F20"/>
                <w:sz w:val="20"/>
              </w:rPr>
              <w:t>or</w:t>
            </w:r>
            <w:r>
              <w:rPr>
                <w:color w:val="231F20"/>
                <w:spacing w:val="-1"/>
                <w:sz w:val="20"/>
              </w:rPr>
              <w:t> </w:t>
            </w:r>
            <w:r>
              <w:rPr>
                <w:color w:val="231F20"/>
                <w:sz w:val="20"/>
              </w:rPr>
              <w:t>troubleshoot technology issues, if needed?</w:t>
            </w:r>
          </w:p>
          <w:p>
            <w:pPr>
              <w:pStyle w:val="TableParagraph"/>
              <w:numPr>
                <w:ilvl w:val="0"/>
                <w:numId w:val="57"/>
              </w:numPr>
              <w:tabs>
                <w:tab w:pos="439" w:val="left" w:leader="none"/>
                <w:tab w:pos="440" w:val="left" w:leader="none"/>
              </w:tabs>
              <w:spacing w:line="240" w:lineRule="auto" w:before="87" w:after="0"/>
              <w:ind w:left="440" w:right="0" w:hanging="361"/>
              <w:jc w:val="left"/>
              <w:rPr>
                <w:sz w:val="20"/>
              </w:rPr>
            </w:pPr>
            <w:r>
              <w:rPr>
                <w:color w:val="231F20"/>
                <w:sz w:val="20"/>
              </w:rPr>
              <w:t>Should</w:t>
            </w:r>
            <w:r>
              <w:rPr>
                <w:color w:val="231F20"/>
                <w:spacing w:val="-1"/>
                <w:sz w:val="20"/>
              </w:rPr>
              <w:t> </w:t>
            </w:r>
            <w:r>
              <w:rPr>
                <w:color w:val="231F20"/>
                <w:sz w:val="20"/>
              </w:rPr>
              <w:t>the groups be closed or open?</w:t>
            </w:r>
          </w:p>
          <w:p>
            <w:pPr>
              <w:pStyle w:val="TableParagraph"/>
              <w:numPr>
                <w:ilvl w:val="0"/>
                <w:numId w:val="57"/>
              </w:numPr>
              <w:tabs>
                <w:tab w:pos="439" w:val="left" w:leader="none"/>
                <w:tab w:pos="440" w:val="left" w:leader="none"/>
              </w:tabs>
              <w:spacing w:line="247" w:lineRule="auto" w:before="85" w:after="0"/>
              <w:ind w:left="439" w:right="476" w:hanging="360"/>
              <w:jc w:val="left"/>
              <w:rPr>
                <w:sz w:val="20"/>
              </w:rPr>
            </w:pPr>
            <w:r>
              <w:rPr>
                <w:color w:val="231F20"/>
                <w:sz w:val="20"/>
              </w:rPr>
              <w:t>Is</w:t>
            </w:r>
            <w:r>
              <w:rPr>
                <w:color w:val="231F20"/>
                <w:spacing w:val="-2"/>
                <w:sz w:val="20"/>
              </w:rPr>
              <w:t> </w:t>
            </w:r>
            <w:r>
              <w:rPr>
                <w:color w:val="231F20"/>
                <w:sz w:val="20"/>
              </w:rPr>
              <w:t>there</w:t>
            </w:r>
            <w:r>
              <w:rPr>
                <w:color w:val="231F20"/>
                <w:spacing w:val="-1"/>
                <w:sz w:val="20"/>
              </w:rPr>
              <w:t> </w:t>
            </w:r>
            <w:r>
              <w:rPr>
                <w:color w:val="231F20"/>
                <w:sz w:val="20"/>
              </w:rPr>
              <w:t>a</w:t>
            </w:r>
            <w:r>
              <w:rPr>
                <w:color w:val="231F20"/>
                <w:spacing w:val="-1"/>
                <w:sz w:val="20"/>
              </w:rPr>
              <w:t> </w:t>
            </w:r>
            <w:r>
              <w:rPr>
                <w:color w:val="231F20"/>
                <w:sz w:val="20"/>
              </w:rPr>
              <w:t>mechanism</w:t>
            </w:r>
            <w:r>
              <w:rPr>
                <w:color w:val="231F20"/>
                <w:spacing w:val="-1"/>
                <w:sz w:val="20"/>
              </w:rPr>
              <w:t> </w:t>
            </w:r>
            <w:r>
              <w:rPr>
                <w:color w:val="231F20"/>
                <w:sz w:val="20"/>
              </w:rPr>
              <w:t>for</w:t>
            </w:r>
            <w:r>
              <w:rPr>
                <w:color w:val="231F20"/>
                <w:spacing w:val="-2"/>
                <w:sz w:val="20"/>
              </w:rPr>
              <w:t> </w:t>
            </w:r>
            <w:r>
              <w:rPr>
                <w:color w:val="231F20"/>
                <w:sz w:val="20"/>
              </w:rPr>
              <w:t>reminder</w:t>
            </w:r>
            <w:r>
              <w:rPr>
                <w:color w:val="231F20"/>
                <w:spacing w:val="-1"/>
                <w:sz w:val="20"/>
              </w:rPr>
              <w:t> </w:t>
            </w:r>
            <w:r>
              <w:rPr>
                <w:color w:val="231F20"/>
                <w:sz w:val="20"/>
              </w:rPr>
              <w:t>calls</w:t>
            </w:r>
            <w:r>
              <w:rPr>
                <w:color w:val="231F20"/>
                <w:spacing w:val="-1"/>
                <w:sz w:val="20"/>
              </w:rPr>
              <w:t> </w:t>
            </w:r>
            <w:r>
              <w:rPr>
                <w:color w:val="231F20"/>
                <w:sz w:val="20"/>
              </w:rPr>
              <w:t>before</w:t>
            </w:r>
            <w:r>
              <w:rPr>
                <w:color w:val="231F20"/>
                <w:spacing w:val="-1"/>
                <w:sz w:val="20"/>
              </w:rPr>
              <w:t> </w:t>
            </w:r>
            <w:r>
              <w:rPr>
                <w:color w:val="231F20"/>
                <w:sz w:val="20"/>
              </w:rPr>
              <w:t>the</w:t>
            </w:r>
            <w:r>
              <w:rPr>
                <w:color w:val="231F20"/>
                <w:spacing w:val="-2"/>
                <w:sz w:val="20"/>
              </w:rPr>
              <w:t> </w:t>
            </w:r>
            <w:r>
              <w:rPr>
                <w:color w:val="231F20"/>
                <w:sz w:val="20"/>
              </w:rPr>
              <w:t>group</w:t>
            </w:r>
            <w:r>
              <w:rPr>
                <w:color w:val="231F20"/>
                <w:spacing w:val="-1"/>
                <w:sz w:val="20"/>
              </w:rPr>
              <w:t> </w:t>
            </w:r>
            <w:r>
              <w:rPr>
                <w:color w:val="231F20"/>
                <w:sz w:val="20"/>
              </w:rPr>
              <w:t>meeting</w:t>
            </w:r>
            <w:r>
              <w:rPr>
                <w:color w:val="231F20"/>
                <w:spacing w:val="-1"/>
                <w:sz w:val="20"/>
              </w:rPr>
              <w:t> </w:t>
            </w:r>
            <w:r>
              <w:rPr>
                <w:color w:val="231F20"/>
                <w:sz w:val="20"/>
              </w:rPr>
              <w:t>to</w:t>
            </w:r>
            <w:r>
              <w:rPr>
                <w:color w:val="231F20"/>
                <w:spacing w:val="-1"/>
                <w:sz w:val="20"/>
              </w:rPr>
              <w:t> </w:t>
            </w:r>
            <w:r>
              <w:rPr>
                <w:color w:val="231F20"/>
                <w:sz w:val="20"/>
              </w:rPr>
              <w:t>proactively</w:t>
            </w:r>
            <w:r>
              <w:rPr>
                <w:color w:val="231F20"/>
                <w:spacing w:val="-2"/>
                <w:sz w:val="20"/>
              </w:rPr>
              <w:t> </w:t>
            </w:r>
            <w:r>
              <w:rPr>
                <w:color w:val="231F20"/>
                <w:sz w:val="20"/>
              </w:rPr>
              <w:t>address</w:t>
            </w:r>
            <w:r>
              <w:rPr>
                <w:color w:val="231F20"/>
                <w:spacing w:val="-1"/>
                <w:sz w:val="20"/>
              </w:rPr>
              <w:t> </w:t>
            </w:r>
            <w:r>
              <w:rPr>
                <w:color w:val="231F20"/>
                <w:sz w:val="20"/>
              </w:rPr>
              <w:t>any</w:t>
            </w:r>
            <w:r>
              <w:rPr>
                <w:color w:val="231F20"/>
                <w:spacing w:val="-52"/>
                <w:sz w:val="20"/>
              </w:rPr>
              <w:t> </w:t>
            </w:r>
            <w:r>
              <w:rPr>
                <w:color w:val="231F20"/>
                <w:sz w:val="20"/>
              </w:rPr>
              <w:t>issues, including</w:t>
            </w:r>
            <w:r>
              <w:rPr>
                <w:color w:val="231F20"/>
                <w:spacing w:val="-1"/>
                <w:sz w:val="20"/>
              </w:rPr>
              <w:t> </w:t>
            </w:r>
            <w:r>
              <w:rPr>
                <w:color w:val="231F20"/>
                <w:sz w:val="20"/>
              </w:rPr>
              <w:t>technical ones?</w:t>
            </w:r>
          </w:p>
          <w:p>
            <w:pPr>
              <w:pStyle w:val="TableParagraph"/>
              <w:numPr>
                <w:ilvl w:val="0"/>
                <w:numId w:val="57"/>
              </w:numPr>
              <w:tabs>
                <w:tab w:pos="439" w:val="left" w:leader="none"/>
                <w:tab w:pos="440" w:val="left" w:leader="none"/>
              </w:tabs>
              <w:spacing w:line="240" w:lineRule="auto" w:before="81" w:after="0"/>
              <w:ind w:left="440" w:right="0" w:hanging="361"/>
              <w:jc w:val="left"/>
              <w:rPr>
                <w:sz w:val="20"/>
              </w:rPr>
            </w:pPr>
            <w:r>
              <w:rPr>
                <w:color w:val="231F20"/>
                <w:sz w:val="20"/>
              </w:rPr>
              <w:t>How</w:t>
            </w:r>
            <w:r>
              <w:rPr>
                <w:color w:val="231F20"/>
                <w:spacing w:val="-3"/>
                <w:sz w:val="20"/>
              </w:rPr>
              <w:t> </w:t>
            </w:r>
            <w:r>
              <w:rPr>
                <w:color w:val="231F20"/>
                <w:sz w:val="20"/>
              </w:rPr>
              <w:t>can</w:t>
            </w:r>
            <w:r>
              <w:rPr>
                <w:color w:val="231F20"/>
                <w:spacing w:val="-2"/>
                <w:sz w:val="20"/>
              </w:rPr>
              <w:t> </w:t>
            </w:r>
            <w:r>
              <w:rPr>
                <w:color w:val="231F20"/>
                <w:sz w:val="20"/>
              </w:rPr>
              <w:t>client</w:t>
            </w:r>
            <w:r>
              <w:rPr>
                <w:color w:val="231F20"/>
                <w:spacing w:val="-2"/>
                <w:sz w:val="20"/>
              </w:rPr>
              <w:t> </w:t>
            </w:r>
            <w:r>
              <w:rPr>
                <w:color w:val="231F20"/>
                <w:sz w:val="20"/>
              </w:rPr>
              <w:t>privacy</w:t>
            </w:r>
            <w:r>
              <w:rPr>
                <w:color w:val="231F20"/>
                <w:spacing w:val="-3"/>
                <w:sz w:val="20"/>
              </w:rPr>
              <w:t> </w:t>
            </w:r>
            <w:r>
              <w:rPr>
                <w:color w:val="231F20"/>
                <w:sz w:val="20"/>
              </w:rPr>
              <w:t>and</w:t>
            </w:r>
            <w:r>
              <w:rPr>
                <w:color w:val="231F20"/>
                <w:spacing w:val="-3"/>
                <w:sz w:val="20"/>
              </w:rPr>
              <w:t> </w:t>
            </w:r>
            <w:r>
              <w:rPr>
                <w:color w:val="231F20"/>
                <w:sz w:val="20"/>
              </w:rPr>
              <w:t>confidentiality</w:t>
            </w:r>
            <w:r>
              <w:rPr>
                <w:color w:val="231F20"/>
                <w:spacing w:val="-2"/>
                <w:sz w:val="20"/>
              </w:rPr>
              <w:t> </w:t>
            </w:r>
            <w:r>
              <w:rPr>
                <w:color w:val="231F20"/>
                <w:sz w:val="20"/>
              </w:rPr>
              <w:t>be</w:t>
            </w:r>
            <w:r>
              <w:rPr>
                <w:color w:val="231F20"/>
                <w:spacing w:val="-3"/>
                <w:sz w:val="20"/>
              </w:rPr>
              <w:t> </w:t>
            </w:r>
            <w:r>
              <w:rPr>
                <w:color w:val="231F20"/>
                <w:sz w:val="20"/>
              </w:rPr>
              <w:t>protected</w:t>
            </w:r>
            <w:r>
              <w:rPr>
                <w:color w:val="231F20"/>
                <w:spacing w:val="-3"/>
                <w:sz w:val="20"/>
              </w:rPr>
              <w:t> </w:t>
            </w:r>
            <w:r>
              <w:rPr>
                <w:color w:val="231F20"/>
                <w:sz w:val="20"/>
              </w:rPr>
              <w:t>in</w:t>
            </w:r>
            <w:r>
              <w:rPr>
                <w:color w:val="231F20"/>
                <w:spacing w:val="-3"/>
                <w:sz w:val="20"/>
              </w:rPr>
              <w:t> </w:t>
            </w:r>
            <w:r>
              <w:rPr>
                <w:color w:val="231F20"/>
                <w:sz w:val="20"/>
              </w:rPr>
              <w:t>a</w:t>
            </w:r>
            <w:r>
              <w:rPr>
                <w:color w:val="231F20"/>
                <w:spacing w:val="-3"/>
                <w:sz w:val="20"/>
              </w:rPr>
              <w:t> </w:t>
            </w:r>
            <w:r>
              <w:rPr>
                <w:color w:val="231F20"/>
                <w:sz w:val="20"/>
              </w:rPr>
              <w:t>group</w:t>
            </w:r>
            <w:r>
              <w:rPr>
                <w:color w:val="231F20"/>
                <w:spacing w:val="-3"/>
                <w:sz w:val="20"/>
              </w:rPr>
              <w:t> </w:t>
            </w:r>
            <w:r>
              <w:rPr>
                <w:color w:val="231F20"/>
                <w:sz w:val="20"/>
              </w:rPr>
              <w:t>setting?</w:t>
            </w:r>
          </w:p>
        </w:tc>
      </w:tr>
      <w:tr>
        <w:trPr>
          <w:trHeight w:val="4905" w:hRule="atLeast"/>
        </w:trPr>
        <w:tc>
          <w:tcPr>
            <w:tcW w:w="1672" w:type="dxa"/>
          </w:tcPr>
          <w:p>
            <w:pPr>
              <w:pStyle w:val="TableParagraph"/>
              <w:spacing w:before="28"/>
              <w:ind w:left="79"/>
              <w:rPr>
                <w:b/>
                <w:sz w:val="20"/>
              </w:rPr>
            </w:pPr>
            <w:r>
              <w:rPr>
                <w:b/>
                <w:color w:val="231F20"/>
                <w:sz w:val="20"/>
              </w:rPr>
              <w:t>Facilitation</w:t>
            </w:r>
          </w:p>
        </w:tc>
        <w:tc>
          <w:tcPr>
            <w:tcW w:w="9108" w:type="dxa"/>
          </w:tcPr>
          <w:p>
            <w:pPr>
              <w:pStyle w:val="TableParagraph"/>
              <w:spacing w:before="28"/>
              <w:ind w:left="79"/>
              <w:rPr>
                <w:sz w:val="20"/>
              </w:rPr>
            </w:pPr>
            <w:r>
              <w:rPr>
                <w:color w:val="231F20"/>
                <w:sz w:val="20"/>
              </w:rPr>
              <w:t>Before</w:t>
            </w:r>
            <w:r>
              <w:rPr>
                <w:color w:val="231F20"/>
                <w:spacing w:val="-1"/>
                <w:sz w:val="20"/>
              </w:rPr>
              <w:t> </w:t>
            </w:r>
            <w:r>
              <w:rPr>
                <w:color w:val="231F20"/>
                <w:sz w:val="20"/>
              </w:rPr>
              <w:t>the meeting:</w:t>
            </w:r>
          </w:p>
          <w:p>
            <w:pPr>
              <w:pStyle w:val="TableParagraph"/>
              <w:numPr>
                <w:ilvl w:val="0"/>
                <w:numId w:val="58"/>
              </w:numPr>
              <w:tabs>
                <w:tab w:pos="439" w:val="left" w:leader="none"/>
                <w:tab w:pos="440" w:val="left" w:leader="none"/>
              </w:tabs>
              <w:spacing w:line="247" w:lineRule="auto" w:before="86" w:after="0"/>
              <w:ind w:left="439" w:right="375" w:hanging="360"/>
              <w:jc w:val="left"/>
              <w:rPr>
                <w:sz w:val="20"/>
              </w:rPr>
            </w:pPr>
            <w:r>
              <w:rPr>
                <w:color w:val="231F20"/>
                <w:sz w:val="20"/>
              </w:rPr>
              <w:t>Plan</w:t>
            </w:r>
            <w:r>
              <w:rPr>
                <w:color w:val="231F20"/>
                <w:spacing w:val="-2"/>
                <w:sz w:val="20"/>
              </w:rPr>
              <w:t> </w:t>
            </w:r>
            <w:r>
              <w:rPr>
                <w:color w:val="231F20"/>
                <w:sz w:val="20"/>
              </w:rPr>
              <w:t>ahead</w:t>
            </w:r>
            <w:r>
              <w:rPr>
                <w:color w:val="231F20"/>
                <w:spacing w:val="-1"/>
                <w:sz w:val="20"/>
              </w:rPr>
              <w:t> </w:t>
            </w:r>
            <w:r>
              <w:rPr>
                <w:color w:val="231F20"/>
                <w:sz w:val="20"/>
              </w:rPr>
              <w:t>by</w:t>
            </w:r>
            <w:r>
              <w:rPr>
                <w:color w:val="231F20"/>
                <w:spacing w:val="-2"/>
                <w:sz w:val="20"/>
              </w:rPr>
              <w:t> </w:t>
            </w:r>
            <w:r>
              <w:rPr>
                <w:color w:val="231F20"/>
                <w:sz w:val="20"/>
              </w:rPr>
              <w:t>establishing</w:t>
            </w:r>
            <w:r>
              <w:rPr>
                <w:color w:val="231F20"/>
                <w:spacing w:val="-1"/>
                <w:sz w:val="20"/>
              </w:rPr>
              <w:t> </w:t>
            </w:r>
            <w:r>
              <w:rPr>
                <w:color w:val="231F20"/>
                <w:sz w:val="20"/>
              </w:rPr>
              <w:t>and</w:t>
            </w:r>
            <w:r>
              <w:rPr>
                <w:color w:val="231F20"/>
                <w:spacing w:val="-1"/>
                <w:sz w:val="20"/>
              </w:rPr>
              <w:t> </w:t>
            </w:r>
            <w:r>
              <w:rPr>
                <w:color w:val="231F20"/>
                <w:sz w:val="20"/>
              </w:rPr>
              <w:t>reviewing</w:t>
            </w:r>
            <w:r>
              <w:rPr>
                <w:color w:val="231F20"/>
                <w:spacing w:val="-2"/>
                <w:sz w:val="20"/>
              </w:rPr>
              <w:t> </w:t>
            </w:r>
            <w:r>
              <w:rPr>
                <w:color w:val="231F20"/>
                <w:sz w:val="20"/>
              </w:rPr>
              <w:t>curriculum,</w:t>
            </w:r>
            <w:r>
              <w:rPr>
                <w:color w:val="231F20"/>
                <w:spacing w:val="-1"/>
                <w:sz w:val="20"/>
              </w:rPr>
              <w:t> </w:t>
            </w:r>
            <w:r>
              <w:rPr>
                <w:color w:val="231F20"/>
                <w:sz w:val="20"/>
              </w:rPr>
              <w:t>facilitation</w:t>
            </w:r>
            <w:r>
              <w:rPr>
                <w:color w:val="231F20"/>
                <w:spacing w:val="-2"/>
                <w:sz w:val="20"/>
              </w:rPr>
              <w:t> </w:t>
            </w:r>
            <w:r>
              <w:rPr>
                <w:color w:val="231F20"/>
                <w:sz w:val="20"/>
              </w:rPr>
              <w:t>prompts,</w:t>
            </w:r>
            <w:r>
              <w:rPr>
                <w:color w:val="231F20"/>
                <w:spacing w:val="-1"/>
                <w:sz w:val="20"/>
              </w:rPr>
              <w:t> </w:t>
            </w:r>
            <w:r>
              <w:rPr>
                <w:color w:val="231F20"/>
                <w:sz w:val="20"/>
              </w:rPr>
              <w:t>and</w:t>
            </w:r>
            <w:r>
              <w:rPr>
                <w:color w:val="231F20"/>
                <w:spacing w:val="-2"/>
                <w:sz w:val="20"/>
              </w:rPr>
              <w:t> </w:t>
            </w:r>
            <w:r>
              <w:rPr>
                <w:color w:val="231F20"/>
                <w:sz w:val="20"/>
              </w:rPr>
              <w:t>ways</w:t>
            </w:r>
            <w:r>
              <w:rPr>
                <w:color w:val="231F20"/>
                <w:spacing w:val="-1"/>
                <w:sz w:val="20"/>
              </w:rPr>
              <w:t> </w:t>
            </w:r>
            <w:r>
              <w:rPr>
                <w:color w:val="231F20"/>
                <w:sz w:val="20"/>
              </w:rPr>
              <w:t>to</w:t>
            </w:r>
            <w:r>
              <w:rPr>
                <w:color w:val="231F20"/>
                <w:spacing w:val="-1"/>
                <w:sz w:val="20"/>
              </w:rPr>
              <w:t> </w:t>
            </w:r>
            <w:r>
              <w:rPr>
                <w:color w:val="231F20"/>
                <w:sz w:val="20"/>
              </w:rPr>
              <w:t>handle</w:t>
            </w:r>
            <w:r>
              <w:rPr>
                <w:color w:val="231F20"/>
                <w:spacing w:val="-53"/>
                <w:sz w:val="20"/>
              </w:rPr>
              <w:t> </w:t>
            </w:r>
            <w:r>
              <w:rPr>
                <w:color w:val="231F20"/>
                <w:sz w:val="20"/>
              </w:rPr>
              <w:t>emergencies or disruptions</w:t>
            </w:r>
          </w:p>
          <w:p>
            <w:pPr>
              <w:pStyle w:val="TableParagraph"/>
              <w:numPr>
                <w:ilvl w:val="0"/>
                <w:numId w:val="58"/>
              </w:numPr>
              <w:tabs>
                <w:tab w:pos="439" w:val="left" w:leader="none"/>
                <w:tab w:pos="440" w:val="left" w:leader="none"/>
              </w:tabs>
              <w:spacing w:line="240" w:lineRule="auto" w:before="81" w:after="0"/>
              <w:ind w:left="440" w:right="0" w:hanging="361"/>
              <w:jc w:val="left"/>
              <w:rPr>
                <w:sz w:val="20"/>
              </w:rPr>
            </w:pPr>
            <w:r>
              <w:rPr>
                <w:color w:val="231F20"/>
                <w:sz w:val="20"/>
              </w:rPr>
              <w:t>Send</w:t>
            </w:r>
            <w:r>
              <w:rPr>
                <w:color w:val="231F20"/>
                <w:spacing w:val="-1"/>
                <w:sz w:val="20"/>
              </w:rPr>
              <w:t> </w:t>
            </w:r>
            <w:r>
              <w:rPr>
                <w:color w:val="231F20"/>
                <w:sz w:val="20"/>
              </w:rPr>
              <w:t>participant materials through the mail or secure messaging platforms</w:t>
            </w:r>
          </w:p>
          <w:p>
            <w:pPr>
              <w:pStyle w:val="TableParagraph"/>
              <w:numPr>
                <w:ilvl w:val="0"/>
                <w:numId w:val="58"/>
              </w:numPr>
              <w:tabs>
                <w:tab w:pos="439" w:val="left" w:leader="none"/>
                <w:tab w:pos="440" w:val="left" w:leader="none"/>
              </w:tabs>
              <w:spacing w:line="240" w:lineRule="auto" w:before="85" w:after="0"/>
              <w:ind w:left="440" w:right="0" w:hanging="361"/>
              <w:jc w:val="left"/>
              <w:rPr>
                <w:sz w:val="20"/>
              </w:rPr>
            </w:pPr>
            <w:r>
              <w:rPr>
                <w:color w:val="231F20"/>
                <w:sz w:val="20"/>
              </w:rPr>
              <w:t>Use</w:t>
            </w:r>
            <w:r>
              <w:rPr>
                <w:color w:val="231F20"/>
                <w:spacing w:val="-1"/>
                <w:sz w:val="20"/>
              </w:rPr>
              <w:t> </w:t>
            </w:r>
            <w:r>
              <w:rPr>
                <w:color w:val="231F20"/>
                <w:sz w:val="20"/>
              </w:rPr>
              <w:t>a co-facilitator to help with troubleshooting issues or emergencies</w:t>
            </w:r>
          </w:p>
          <w:p>
            <w:pPr>
              <w:pStyle w:val="TableParagraph"/>
              <w:spacing w:before="188"/>
              <w:ind w:left="79"/>
              <w:rPr>
                <w:sz w:val="20"/>
              </w:rPr>
            </w:pPr>
            <w:r>
              <w:rPr>
                <w:color w:val="231F20"/>
                <w:sz w:val="20"/>
              </w:rPr>
              <w:t>At the</w:t>
            </w:r>
            <w:r>
              <w:rPr>
                <w:color w:val="231F20"/>
                <w:spacing w:val="-1"/>
                <w:sz w:val="20"/>
              </w:rPr>
              <w:t> </w:t>
            </w:r>
            <w:r>
              <w:rPr>
                <w:color w:val="231F20"/>
                <w:sz w:val="20"/>
              </w:rPr>
              <w:t>start of the meeting:</w:t>
            </w:r>
          </w:p>
          <w:p>
            <w:pPr>
              <w:pStyle w:val="TableParagraph"/>
              <w:numPr>
                <w:ilvl w:val="0"/>
                <w:numId w:val="58"/>
              </w:numPr>
              <w:tabs>
                <w:tab w:pos="439" w:val="left" w:leader="none"/>
                <w:tab w:pos="440" w:val="left" w:leader="none"/>
              </w:tabs>
              <w:spacing w:line="240" w:lineRule="auto" w:before="87" w:after="0"/>
              <w:ind w:left="440" w:right="0" w:hanging="361"/>
              <w:jc w:val="left"/>
              <w:rPr>
                <w:sz w:val="20"/>
              </w:rPr>
            </w:pPr>
            <w:r>
              <w:rPr>
                <w:color w:val="231F20"/>
                <w:sz w:val="20"/>
              </w:rPr>
              <w:t>Review</w:t>
            </w:r>
            <w:r>
              <w:rPr>
                <w:color w:val="231F20"/>
                <w:spacing w:val="-1"/>
                <w:sz w:val="20"/>
              </w:rPr>
              <w:t> </w:t>
            </w:r>
            <w:r>
              <w:rPr>
                <w:color w:val="231F20"/>
                <w:sz w:val="20"/>
              </w:rPr>
              <w:t>group rules/expectations, including guidelines to protect group</w:t>
            </w:r>
            <w:r>
              <w:rPr>
                <w:color w:val="231F20"/>
                <w:spacing w:val="-1"/>
                <w:sz w:val="20"/>
              </w:rPr>
              <w:t> </w:t>
            </w:r>
            <w:r>
              <w:rPr>
                <w:color w:val="231F20"/>
                <w:sz w:val="20"/>
              </w:rPr>
              <w:t>and individual privacy and</w:t>
            </w:r>
          </w:p>
          <w:p>
            <w:pPr>
              <w:pStyle w:val="TableParagraph"/>
              <w:spacing w:before="8"/>
              <w:ind w:left="439"/>
              <w:rPr>
                <w:sz w:val="20"/>
              </w:rPr>
            </w:pPr>
            <w:r>
              <w:rPr>
                <w:color w:val="231F20"/>
                <w:sz w:val="20"/>
              </w:rPr>
              <w:t>confidentiality</w:t>
            </w:r>
          </w:p>
          <w:p>
            <w:pPr>
              <w:pStyle w:val="TableParagraph"/>
              <w:numPr>
                <w:ilvl w:val="0"/>
                <w:numId w:val="58"/>
              </w:numPr>
              <w:tabs>
                <w:tab w:pos="439" w:val="left" w:leader="none"/>
                <w:tab w:pos="440" w:val="left" w:leader="none"/>
              </w:tabs>
              <w:spacing w:line="240" w:lineRule="auto" w:before="87" w:after="0"/>
              <w:ind w:left="440" w:right="0" w:hanging="361"/>
              <w:jc w:val="left"/>
              <w:rPr>
                <w:sz w:val="20"/>
              </w:rPr>
            </w:pPr>
            <w:r>
              <w:rPr>
                <w:color w:val="231F20"/>
                <w:sz w:val="20"/>
              </w:rPr>
              <w:t>Use</w:t>
            </w:r>
            <w:r>
              <w:rPr>
                <w:color w:val="231F20"/>
                <w:spacing w:val="-1"/>
                <w:sz w:val="20"/>
              </w:rPr>
              <w:t> </w:t>
            </w:r>
            <w:r>
              <w:rPr>
                <w:color w:val="231F20"/>
                <w:sz w:val="20"/>
              </w:rPr>
              <w:t>the “share screen” function to share a document with group instructions</w:t>
            </w:r>
          </w:p>
          <w:p>
            <w:pPr>
              <w:pStyle w:val="TableParagraph"/>
              <w:spacing w:before="188"/>
              <w:ind w:left="79"/>
              <w:rPr>
                <w:sz w:val="20"/>
              </w:rPr>
            </w:pPr>
            <w:r>
              <w:rPr>
                <w:color w:val="231F20"/>
                <w:sz w:val="20"/>
              </w:rPr>
              <w:t>During</w:t>
            </w:r>
            <w:r>
              <w:rPr>
                <w:color w:val="231F20"/>
                <w:spacing w:val="-1"/>
                <w:sz w:val="20"/>
              </w:rPr>
              <w:t> </w:t>
            </w:r>
            <w:r>
              <w:rPr>
                <w:color w:val="231F20"/>
                <w:sz w:val="20"/>
              </w:rPr>
              <w:t>the meeting:</w:t>
            </w:r>
          </w:p>
          <w:p>
            <w:pPr>
              <w:pStyle w:val="TableParagraph"/>
              <w:numPr>
                <w:ilvl w:val="0"/>
                <w:numId w:val="58"/>
              </w:numPr>
              <w:tabs>
                <w:tab w:pos="439" w:val="left" w:leader="none"/>
                <w:tab w:pos="440" w:val="left" w:leader="none"/>
              </w:tabs>
              <w:spacing w:line="240" w:lineRule="auto" w:before="87" w:after="0"/>
              <w:ind w:left="440" w:right="0" w:hanging="361"/>
              <w:jc w:val="left"/>
              <w:rPr>
                <w:sz w:val="20"/>
              </w:rPr>
            </w:pPr>
            <w:r>
              <w:rPr>
                <w:color w:val="231F20"/>
                <w:sz w:val="20"/>
              </w:rPr>
              <w:t>Lock</w:t>
            </w:r>
            <w:r>
              <w:rPr>
                <w:color w:val="231F20"/>
                <w:spacing w:val="-1"/>
                <w:sz w:val="20"/>
              </w:rPr>
              <w:t> </w:t>
            </w:r>
            <w:r>
              <w:rPr>
                <w:color w:val="231F20"/>
                <w:sz w:val="20"/>
              </w:rPr>
              <w:t>the sessions once participants have joined</w:t>
            </w:r>
          </w:p>
          <w:p>
            <w:pPr>
              <w:pStyle w:val="TableParagraph"/>
              <w:numPr>
                <w:ilvl w:val="0"/>
                <w:numId w:val="58"/>
              </w:numPr>
              <w:tabs>
                <w:tab w:pos="439" w:val="left" w:leader="none"/>
                <w:tab w:pos="440" w:val="left" w:leader="none"/>
              </w:tabs>
              <w:spacing w:line="240" w:lineRule="auto" w:before="85" w:after="0"/>
              <w:ind w:left="440" w:right="0" w:hanging="361"/>
              <w:jc w:val="left"/>
              <w:rPr>
                <w:sz w:val="20"/>
              </w:rPr>
            </w:pPr>
            <w:r>
              <w:rPr>
                <w:color w:val="231F20"/>
                <w:sz w:val="20"/>
              </w:rPr>
              <w:t>Utilize</w:t>
            </w:r>
            <w:r>
              <w:rPr>
                <w:color w:val="231F20"/>
                <w:spacing w:val="-1"/>
                <w:sz w:val="20"/>
              </w:rPr>
              <w:t> </w:t>
            </w:r>
            <w:r>
              <w:rPr>
                <w:color w:val="231F20"/>
                <w:sz w:val="20"/>
              </w:rPr>
              <w:t>the chat box</w:t>
            </w:r>
          </w:p>
          <w:p>
            <w:pPr>
              <w:pStyle w:val="TableParagraph"/>
              <w:numPr>
                <w:ilvl w:val="0"/>
                <w:numId w:val="58"/>
              </w:numPr>
              <w:tabs>
                <w:tab w:pos="439" w:val="left" w:leader="none"/>
                <w:tab w:pos="440" w:val="left" w:leader="none"/>
              </w:tabs>
              <w:spacing w:line="240" w:lineRule="auto" w:before="85" w:after="0"/>
              <w:ind w:left="440" w:right="0" w:hanging="361"/>
              <w:jc w:val="left"/>
              <w:rPr>
                <w:sz w:val="20"/>
              </w:rPr>
            </w:pPr>
            <w:r>
              <w:rPr>
                <w:color w:val="231F20"/>
                <w:sz w:val="20"/>
              </w:rPr>
              <w:t>Utilize</w:t>
            </w:r>
            <w:r>
              <w:rPr>
                <w:color w:val="231F20"/>
                <w:spacing w:val="-1"/>
                <w:sz w:val="20"/>
              </w:rPr>
              <w:t> </w:t>
            </w:r>
            <w:r>
              <w:rPr>
                <w:color w:val="231F20"/>
                <w:sz w:val="20"/>
              </w:rPr>
              <w:t>the raise hand feature</w:t>
            </w:r>
          </w:p>
          <w:p>
            <w:pPr>
              <w:pStyle w:val="TableParagraph"/>
              <w:numPr>
                <w:ilvl w:val="0"/>
                <w:numId w:val="58"/>
              </w:numPr>
              <w:tabs>
                <w:tab w:pos="439" w:val="left" w:leader="none"/>
                <w:tab w:pos="440" w:val="left" w:leader="none"/>
              </w:tabs>
              <w:spacing w:line="240" w:lineRule="auto" w:before="85" w:after="0"/>
              <w:ind w:left="440" w:right="0" w:hanging="361"/>
              <w:jc w:val="left"/>
              <w:rPr>
                <w:sz w:val="20"/>
              </w:rPr>
            </w:pPr>
            <w:r>
              <w:rPr>
                <w:color w:val="231F20"/>
                <w:sz w:val="20"/>
              </w:rPr>
              <w:t>Mute</w:t>
            </w:r>
            <w:r>
              <w:rPr>
                <w:color w:val="231F20"/>
                <w:spacing w:val="-4"/>
                <w:sz w:val="20"/>
              </w:rPr>
              <w:t> </w:t>
            </w:r>
            <w:r>
              <w:rPr>
                <w:color w:val="231F20"/>
                <w:sz w:val="20"/>
              </w:rPr>
              <w:t>incoming</w:t>
            </w:r>
            <w:r>
              <w:rPr>
                <w:color w:val="231F20"/>
                <w:spacing w:val="-5"/>
                <w:sz w:val="20"/>
              </w:rPr>
              <w:t> </w:t>
            </w:r>
            <w:r>
              <w:rPr>
                <w:color w:val="231F20"/>
                <w:sz w:val="20"/>
              </w:rPr>
              <w:t>audio</w:t>
            </w:r>
          </w:p>
          <w:p>
            <w:pPr>
              <w:pStyle w:val="TableParagraph"/>
              <w:numPr>
                <w:ilvl w:val="0"/>
                <w:numId w:val="58"/>
              </w:numPr>
              <w:tabs>
                <w:tab w:pos="439" w:val="left" w:leader="none"/>
                <w:tab w:pos="440" w:val="left" w:leader="none"/>
              </w:tabs>
              <w:spacing w:line="240" w:lineRule="auto" w:before="85" w:after="0"/>
              <w:ind w:left="440" w:right="0" w:hanging="361"/>
              <w:jc w:val="left"/>
              <w:rPr>
                <w:sz w:val="20"/>
              </w:rPr>
            </w:pPr>
            <w:r>
              <w:rPr>
                <w:color w:val="231F20"/>
                <w:sz w:val="20"/>
              </w:rPr>
              <w:t>Allow</w:t>
            </w:r>
            <w:r>
              <w:rPr>
                <w:color w:val="231F20"/>
                <w:spacing w:val="-1"/>
                <w:sz w:val="20"/>
              </w:rPr>
              <w:t> </w:t>
            </w:r>
            <w:r>
              <w:rPr>
                <w:color w:val="231F20"/>
                <w:sz w:val="20"/>
              </w:rPr>
              <w:t>time for questions and troubleshooting</w:t>
            </w:r>
          </w:p>
        </w:tc>
      </w:tr>
      <w:tr>
        <w:trPr>
          <w:trHeight w:val="1773" w:hRule="atLeast"/>
        </w:trPr>
        <w:tc>
          <w:tcPr>
            <w:tcW w:w="1672" w:type="dxa"/>
          </w:tcPr>
          <w:p>
            <w:pPr>
              <w:pStyle w:val="TableParagraph"/>
              <w:spacing w:before="28"/>
              <w:ind w:left="79"/>
              <w:rPr>
                <w:b/>
                <w:sz w:val="20"/>
              </w:rPr>
            </w:pPr>
            <w:r>
              <w:rPr>
                <w:b/>
                <w:color w:val="231F20"/>
                <w:sz w:val="20"/>
              </w:rPr>
              <w:t>Emergencies</w:t>
            </w:r>
          </w:p>
        </w:tc>
        <w:tc>
          <w:tcPr>
            <w:tcW w:w="9108" w:type="dxa"/>
          </w:tcPr>
          <w:p>
            <w:pPr>
              <w:pStyle w:val="TableParagraph"/>
              <w:numPr>
                <w:ilvl w:val="0"/>
                <w:numId w:val="59"/>
              </w:numPr>
              <w:tabs>
                <w:tab w:pos="439" w:val="left" w:leader="none"/>
                <w:tab w:pos="440" w:val="left" w:leader="none"/>
              </w:tabs>
              <w:spacing w:line="240" w:lineRule="auto" w:before="14" w:after="0"/>
              <w:ind w:left="440" w:right="0" w:hanging="361"/>
              <w:jc w:val="left"/>
              <w:rPr>
                <w:sz w:val="20"/>
              </w:rPr>
            </w:pPr>
            <w:r>
              <w:rPr>
                <w:color w:val="231F20"/>
                <w:sz w:val="20"/>
              </w:rPr>
              <w:t>Document</w:t>
            </w:r>
            <w:r>
              <w:rPr>
                <w:color w:val="231F20"/>
                <w:spacing w:val="-1"/>
                <w:sz w:val="20"/>
              </w:rPr>
              <w:t> </w:t>
            </w:r>
            <w:r>
              <w:rPr>
                <w:color w:val="231F20"/>
                <w:sz w:val="20"/>
              </w:rPr>
              <w:t>each</w:t>
            </w:r>
            <w:r>
              <w:rPr>
                <w:color w:val="231F20"/>
                <w:spacing w:val="-1"/>
                <w:sz w:val="20"/>
              </w:rPr>
              <w:t> </w:t>
            </w:r>
            <w:r>
              <w:rPr>
                <w:color w:val="231F20"/>
                <w:sz w:val="20"/>
              </w:rPr>
              <w:t>patient’s physical</w:t>
            </w:r>
            <w:r>
              <w:rPr>
                <w:color w:val="231F20"/>
                <w:spacing w:val="-1"/>
                <w:sz w:val="20"/>
              </w:rPr>
              <w:t> </w:t>
            </w:r>
            <w:r>
              <w:rPr>
                <w:color w:val="231F20"/>
                <w:sz w:val="20"/>
              </w:rPr>
              <w:t>location and</w:t>
            </w:r>
            <w:r>
              <w:rPr>
                <w:color w:val="231F20"/>
                <w:spacing w:val="-1"/>
                <w:sz w:val="20"/>
              </w:rPr>
              <w:t> </w:t>
            </w:r>
            <w:r>
              <w:rPr>
                <w:color w:val="231F20"/>
                <w:sz w:val="20"/>
              </w:rPr>
              <w:t>emergency</w:t>
            </w:r>
            <w:r>
              <w:rPr>
                <w:color w:val="231F20"/>
                <w:spacing w:val="-1"/>
                <w:sz w:val="20"/>
              </w:rPr>
              <w:t> </w:t>
            </w:r>
            <w:r>
              <w:rPr>
                <w:color w:val="231F20"/>
                <w:sz w:val="20"/>
              </w:rPr>
              <w:t>contacts</w:t>
            </w:r>
          </w:p>
          <w:p>
            <w:pPr>
              <w:pStyle w:val="TableParagraph"/>
              <w:numPr>
                <w:ilvl w:val="0"/>
                <w:numId w:val="59"/>
              </w:numPr>
              <w:tabs>
                <w:tab w:pos="439" w:val="left" w:leader="none"/>
                <w:tab w:pos="440" w:val="left" w:leader="none"/>
              </w:tabs>
              <w:spacing w:line="240" w:lineRule="auto" w:before="85" w:after="0"/>
              <w:ind w:left="440" w:right="0" w:hanging="361"/>
              <w:jc w:val="left"/>
              <w:rPr>
                <w:sz w:val="20"/>
              </w:rPr>
            </w:pPr>
            <w:r>
              <w:rPr>
                <w:color w:val="231F20"/>
                <w:sz w:val="20"/>
              </w:rPr>
              <w:t>Remind</w:t>
            </w:r>
            <w:r>
              <w:rPr>
                <w:color w:val="231F20"/>
                <w:spacing w:val="-5"/>
                <w:sz w:val="20"/>
              </w:rPr>
              <w:t> </w:t>
            </w:r>
            <w:r>
              <w:rPr>
                <w:color w:val="231F20"/>
                <w:sz w:val="20"/>
              </w:rPr>
              <w:t>participants</w:t>
            </w:r>
            <w:r>
              <w:rPr>
                <w:color w:val="231F20"/>
                <w:spacing w:val="-4"/>
                <w:sz w:val="20"/>
              </w:rPr>
              <w:t> </w:t>
            </w:r>
            <w:r>
              <w:rPr>
                <w:color w:val="231F20"/>
                <w:sz w:val="20"/>
              </w:rPr>
              <w:t>of</w:t>
            </w:r>
            <w:r>
              <w:rPr>
                <w:color w:val="231F20"/>
                <w:spacing w:val="-5"/>
                <w:sz w:val="20"/>
              </w:rPr>
              <w:t> </w:t>
            </w:r>
            <w:r>
              <w:rPr>
                <w:color w:val="231F20"/>
                <w:sz w:val="20"/>
              </w:rPr>
              <w:t>emergency</w:t>
            </w:r>
            <w:r>
              <w:rPr>
                <w:color w:val="231F20"/>
                <w:spacing w:val="-4"/>
                <w:sz w:val="20"/>
              </w:rPr>
              <w:t> </w:t>
            </w:r>
            <w:r>
              <w:rPr>
                <w:color w:val="231F20"/>
                <w:sz w:val="20"/>
              </w:rPr>
              <w:t>plan</w:t>
            </w:r>
            <w:r>
              <w:rPr>
                <w:color w:val="231F20"/>
                <w:spacing w:val="-5"/>
                <w:sz w:val="20"/>
              </w:rPr>
              <w:t> </w:t>
            </w:r>
            <w:r>
              <w:rPr>
                <w:color w:val="231F20"/>
                <w:sz w:val="20"/>
              </w:rPr>
              <w:t>and</w:t>
            </w:r>
            <w:r>
              <w:rPr>
                <w:color w:val="231F20"/>
                <w:spacing w:val="-4"/>
                <w:sz w:val="20"/>
              </w:rPr>
              <w:t> </w:t>
            </w:r>
            <w:r>
              <w:rPr>
                <w:color w:val="231F20"/>
                <w:sz w:val="20"/>
              </w:rPr>
              <w:t>rules</w:t>
            </w:r>
            <w:r>
              <w:rPr>
                <w:color w:val="231F20"/>
                <w:spacing w:val="-4"/>
                <w:sz w:val="20"/>
              </w:rPr>
              <w:t> </w:t>
            </w:r>
            <w:r>
              <w:rPr>
                <w:color w:val="231F20"/>
                <w:sz w:val="20"/>
              </w:rPr>
              <w:t>during</w:t>
            </w:r>
            <w:r>
              <w:rPr>
                <w:color w:val="231F20"/>
                <w:spacing w:val="-4"/>
                <w:sz w:val="20"/>
              </w:rPr>
              <w:t> </w:t>
            </w:r>
            <w:r>
              <w:rPr>
                <w:color w:val="231F20"/>
                <w:sz w:val="20"/>
              </w:rPr>
              <w:t>first</w:t>
            </w:r>
            <w:r>
              <w:rPr>
                <w:color w:val="231F20"/>
                <w:spacing w:val="-4"/>
                <w:sz w:val="20"/>
              </w:rPr>
              <w:t> </w:t>
            </w:r>
            <w:r>
              <w:rPr>
                <w:color w:val="231F20"/>
                <w:sz w:val="20"/>
              </w:rPr>
              <w:t>group</w:t>
            </w:r>
            <w:r>
              <w:rPr>
                <w:color w:val="231F20"/>
                <w:spacing w:val="-4"/>
                <w:sz w:val="20"/>
              </w:rPr>
              <w:t> </w:t>
            </w:r>
            <w:r>
              <w:rPr>
                <w:color w:val="231F20"/>
                <w:sz w:val="20"/>
              </w:rPr>
              <w:t>session</w:t>
            </w:r>
          </w:p>
          <w:p>
            <w:pPr>
              <w:pStyle w:val="TableParagraph"/>
              <w:numPr>
                <w:ilvl w:val="0"/>
                <w:numId w:val="59"/>
              </w:numPr>
              <w:tabs>
                <w:tab w:pos="439" w:val="left" w:leader="none"/>
                <w:tab w:pos="440" w:val="left" w:leader="none"/>
              </w:tabs>
              <w:spacing w:line="240" w:lineRule="auto" w:before="85" w:after="0"/>
              <w:ind w:left="440" w:right="0" w:hanging="361"/>
              <w:jc w:val="left"/>
              <w:rPr>
                <w:sz w:val="20"/>
              </w:rPr>
            </w:pPr>
            <w:r>
              <w:rPr>
                <w:color w:val="231F20"/>
                <w:sz w:val="20"/>
              </w:rPr>
              <w:t>Consider</w:t>
            </w:r>
            <w:r>
              <w:rPr>
                <w:color w:val="231F20"/>
                <w:spacing w:val="-1"/>
                <w:sz w:val="20"/>
              </w:rPr>
              <w:t> </w:t>
            </w:r>
            <w:r>
              <w:rPr>
                <w:color w:val="231F20"/>
                <w:sz w:val="20"/>
              </w:rPr>
              <w:t>co-leading videoconferencing groups with another clinician</w:t>
            </w:r>
            <w:r>
              <w:rPr>
                <w:color w:val="231F20"/>
                <w:spacing w:val="-1"/>
                <w:sz w:val="20"/>
              </w:rPr>
              <w:t> </w:t>
            </w:r>
            <w:r>
              <w:rPr>
                <w:color w:val="231F20"/>
                <w:sz w:val="20"/>
              </w:rPr>
              <w:t>to:</w:t>
            </w:r>
          </w:p>
          <w:p>
            <w:pPr>
              <w:pStyle w:val="TableParagraph"/>
              <w:numPr>
                <w:ilvl w:val="1"/>
                <w:numId w:val="59"/>
              </w:numPr>
              <w:tabs>
                <w:tab w:pos="799" w:val="left" w:leader="none"/>
                <w:tab w:pos="800" w:val="left" w:leader="none"/>
              </w:tabs>
              <w:spacing w:line="240" w:lineRule="auto" w:before="61" w:after="0"/>
              <w:ind w:left="800" w:right="0" w:hanging="361"/>
              <w:jc w:val="left"/>
              <w:rPr>
                <w:sz w:val="20"/>
              </w:rPr>
            </w:pPr>
            <w:r>
              <w:rPr>
                <w:color w:val="010202"/>
                <w:sz w:val="20"/>
              </w:rPr>
              <w:t>Ensure</w:t>
            </w:r>
            <w:r>
              <w:rPr>
                <w:color w:val="010202"/>
                <w:spacing w:val="-1"/>
                <w:sz w:val="20"/>
              </w:rPr>
              <w:t> </w:t>
            </w:r>
            <w:r>
              <w:rPr>
                <w:color w:val="010202"/>
                <w:sz w:val="20"/>
              </w:rPr>
              <w:t>group sessions do not have to be cancelled if a clinician is</w:t>
            </w:r>
            <w:r>
              <w:rPr>
                <w:color w:val="010202"/>
                <w:spacing w:val="-1"/>
                <w:sz w:val="20"/>
              </w:rPr>
              <w:t> </w:t>
            </w:r>
            <w:r>
              <w:rPr>
                <w:color w:val="010202"/>
                <w:sz w:val="20"/>
              </w:rPr>
              <w:t>unexpectedly out</w:t>
            </w:r>
          </w:p>
          <w:p>
            <w:pPr>
              <w:pStyle w:val="TableParagraph"/>
              <w:numPr>
                <w:ilvl w:val="1"/>
                <w:numId w:val="59"/>
              </w:numPr>
              <w:tabs>
                <w:tab w:pos="799" w:val="left" w:leader="none"/>
                <w:tab w:pos="800" w:val="left" w:leader="none"/>
              </w:tabs>
              <w:spacing w:line="223" w:lineRule="auto" w:before="75" w:after="0"/>
              <w:ind w:left="799" w:right="93" w:hanging="360"/>
              <w:jc w:val="left"/>
              <w:rPr>
                <w:sz w:val="20"/>
              </w:rPr>
            </w:pPr>
            <w:r>
              <w:rPr>
                <w:color w:val="010202"/>
                <w:sz w:val="20"/>
              </w:rPr>
              <w:t>Enable</w:t>
            </w:r>
            <w:r>
              <w:rPr>
                <w:color w:val="010202"/>
                <w:spacing w:val="-2"/>
                <w:sz w:val="20"/>
              </w:rPr>
              <w:t> </w:t>
            </w:r>
            <w:r>
              <w:rPr>
                <w:color w:val="010202"/>
                <w:sz w:val="20"/>
              </w:rPr>
              <w:t>a</w:t>
            </w:r>
            <w:r>
              <w:rPr>
                <w:color w:val="010202"/>
                <w:spacing w:val="-1"/>
                <w:sz w:val="20"/>
              </w:rPr>
              <w:t> </w:t>
            </w:r>
            <w:r>
              <w:rPr>
                <w:color w:val="010202"/>
                <w:sz w:val="20"/>
              </w:rPr>
              <w:t>provider</w:t>
            </w:r>
            <w:r>
              <w:rPr>
                <w:color w:val="010202"/>
                <w:spacing w:val="-1"/>
                <w:sz w:val="20"/>
              </w:rPr>
              <w:t> </w:t>
            </w:r>
            <w:r>
              <w:rPr>
                <w:color w:val="010202"/>
                <w:sz w:val="20"/>
              </w:rPr>
              <w:t>to</w:t>
            </w:r>
            <w:r>
              <w:rPr>
                <w:color w:val="010202"/>
                <w:spacing w:val="-2"/>
                <w:sz w:val="20"/>
              </w:rPr>
              <w:t> </w:t>
            </w:r>
            <w:r>
              <w:rPr>
                <w:color w:val="010202"/>
                <w:sz w:val="20"/>
              </w:rPr>
              <w:t>problem-solve</w:t>
            </w:r>
            <w:r>
              <w:rPr>
                <w:color w:val="010202"/>
                <w:spacing w:val="-1"/>
                <w:sz w:val="20"/>
              </w:rPr>
              <w:t> </w:t>
            </w:r>
            <w:r>
              <w:rPr>
                <w:color w:val="010202"/>
                <w:sz w:val="20"/>
              </w:rPr>
              <w:t>technical</w:t>
            </w:r>
            <w:r>
              <w:rPr>
                <w:color w:val="010202"/>
                <w:spacing w:val="-1"/>
                <w:sz w:val="20"/>
              </w:rPr>
              <w:t> </w:t>
            </w:r>
            <w:r>
              <w:rPr>
                <w:color w:val="010202"/>
                <w:sz w:val="20"/>
              </w:rPr>
              <w:t>issues</w:t>
            </w:r>
            <w:r>
              <w:rPr>
                <w:color w:val="010202"/>
                <w:spacing w:val="-2"/>
                <w:sz w:val="20"/>
              </w:rPr>
              <w:t> </w:t>
            </w:r>
            <w:r>
              <w:rPr>
                <w:color w:val="010202"/>
                <w:sz w:val="20"/>
              </w:rPr>
              <w:t>or</w:t>
            </w:r>
            <w:r>
              <w:rPr>
                <w:color w:val="010202"/>
                <w:spacing w:val="-1"/>
                <w:sz w:val="20"/>
              </w:rPr>
              <w:t> </w:t>
            </w:r>
            <w:r>
              <w:rPr>
                <w:color w:val="010202"/>
                <w:sz w:val="20"/>
              </w:rPr>
              <w:t>attend</w:t>
            </w:r>
            <w:r>
              <w:rPr>
                <w:color w:val="010202"/>
                <w:spacing w:val="-1"/>
                <w:sz w:val="20"/>
              </w:rPr>
              <w:t> </w:t>
            </w:r>
            <w:r>
              <w:rPr>
                <w:color w:val="010202"/>
                <w:sz w:val="20"/>
              </w:rPr>
              <w:t>to</w:t>
            </w:r>
            <w:r>
              <w:rPr>
                <w:color w:val="010202"/>
                <w:spacing w:val="-1"/>
                <w:sz w:val="20"/>
              </w:rPr>
              <w:t> </w:t>
            </w:r>
            <w:r>
              <w:rPr>
                <w:color w:val="010202"/>
                <w:sz w:val="20"/>
              </w:rPr>
              <w:t>emergencies</w:t>
            </w:r>
            <w:r>
              <w:rPr>
                <w:color w:val="010202"/>
                <w:spacing w:val="-2"/>
                <w:sz w:val="20"/>
              </w:rPr>
              <w:t> </w:t>
            </w:r>
            <w:r>
              <w:rPr>
                <w:color w:val="010202"/>
                <w:sz w:val="20"/>
              </w:rPr>
              <w:t>while</w:t>
            </w:r>
            <w:r>
              <w:rPr>
                <w:color w:val="010202"/>
                <w:spacing w:val="-1"/>
                <w:sz w:val="20"/>
              </w:rPr>
              <w:t> </w:t>
            </w:r>
            <w:r>
              <w:rPr>
                <w:color w:val="010202"/>
                <w:sz w:val="20"/>
              </w:rPr>
              <w:t>the</w:t>
            </w:r>
            <w:r>
              <w:rPr>
                <w:color w:val="010202"/>
                <w:spacing w:val="-1"/>
                <w:sz w:val="20"/>
              </w:rPr>
              <w:t> </w:t>
            </w:r>
            <w:r>
              <w:rPr>
                <w:color w:val="010202"/>
                <w:sz w:val="20"/>
              </w:rPr>
              <w:t>other</w:t>
            </w:r>
            <w:r>
              <w:rPr>
                <w:color w:val="010202"/>
                <w:spacing w:val="-53"/>
                <w:sz w:val="20"/>
              </w:rPr>
              <w:t> </w:t>
            </w:r>
            <w:r>
              <w:rPr>
                <w:color w:val="010202"/>
                <w:sz w:val="20"/>
              </w:rPr>
              <w:t>clinician proceeds</w:t>
            </w:r>
            <w:r>
              <w:rPr>
                <w:color w:val="010202"/>
                <w:spacing w:val="-1"/>
                <w:sz w:val="20"/>
              </w:rPr>
              <w:t> </w:t>
            </w:r>
            <w:r>
              <w:rPr>
                <w:color w:val="010202"/>
                <w:sz w:val="20"/>
              </w:rPr>
              <w:t>with group material</w:t>
            </w:r>
          </w:p>
        </w:tc>
      </w:tr>
    </w:tbl>
    <w:p>
      <w:pPr>
        <w:spacing w:after="0" w:line="223" w:lineRule="auto"/>
        <w:jc w:val="left"/>
        <w:rPr>
          <w:sz w:val="20"/>
        </w:rPr>
        <w:sectPr>
          <w:pgSz w:w="12240" w:h="15840"/>
          <w:pgMar w:header="0" w:footer="666" w:top="380" w:bottom="860" w:left="600" w:right="0"/>
        </w:sectPr>
      </w:pPr>
    </w:p>
    <w:p>
      <w:pPr>
        <w:pStyle w:val="BodyText"/>
        <w:rPr>
          <w:sz w:val="20"/>
        </w:rPr>
      </w:pPr>
    </w:p>
    <w:p>
      <w:pPr>
        <w:pStyle w:val="BodyText"/>
        <w:rPr>
          <w:sz w:val="20"/>
        </w:rPr>
      </w:pPr>
    </w:p>
    <w:p>
      <w:pPr>
        <w:pStyle w:val="BodyText"/>
        <w:spacing w:before="7" w:after="1"/>
        <w:rPr>
          <w:sz w:val="19"/>
        </w:rPr>
      </w:pPr>
    </w:p>
    <w:p>
      <w:pPr>
        <w:pStyle w:val="BodyText"/>
        <w:ind w:left="120"/>
        <w:rPr>
          <w:sz w:val="20"/>
        </w:rPr>
      </w:pPr>
      <w:r>
        <w:rPr>
          <w:sz w:val="20"/>
        </w:rPr>
        <w:drawing>
          <wp:inline distT="0" distB="0" distL="0" distR="0">
            <wp:extent cx="6871554" cy="3096768"/>
            <wp:effectExtent l="0" t="0" r="0" b="0"/>
            <wp:docPr id="37" name="image19.png" descr="Picture of a person using a laptop. The laptop screen shows a video call with multiple pe "/>
            <wp:cNvGraphicFramePr>
              <a:graphicFrameLocks noChangeAspect="1"/>
            </wp:cNvGraphicFramePr>
            <a:graphic>
              <a:graphicData uri="http://schemas.openxmlformats.org/drawingml/2006/picture">
                <pic:pic>
                  <pic:nvPicPr>
                    <pic:cNvPr id="38" name="image19.png"/>
                    <pic:cNvPicPr/>
                  </pic:nvPicPr>
                  <pic:blipFill>
                    <a:blip r:embed="rId233" cstate="print"/>
                    <a:stretch>
                      <a:fillRect/>
                    </a:stretch>
                  </pic:blipFill>
                  <pic:spPr>
                    <a:xfrm>
                      <a:off x="0" y="0"/>
                      <a:ext cx="6871554" cy="3096768"/>
                    </a:xfrm>
                    <a:prstGeom prst="rect">
                      <a:avLst/>
                    </a:prstGeom>
                  </pic:spPr>
                </pic:pic>
              </a:graphicData>
            </a:graphic>
          </wp:inline>
        </w:drawing>
      </w:r>
      <w:r>
        <w:rPr>
          <w:sz w:val="20"/>
        </w:rPr>
      </w:r>
    </w:p>
    <w:p>
      <w:pPr>
        <w:pStyle w:val="BodyText"/>
        <w:spacing w:before="2"/>
        <w:rPr>
          <w:sz w:val="9"/>
        </w:rPr>
      </w:pPr>
    </w:p>
    <w:p>
      <w:pPr>
        <w:spacing w:after="0"/>
        <w:rPr>
          <w:sz w:val="9"/>
        </w:rPr>
        <w:sectPr>
          <w:pgSz w:w="12240" w:h="15840"/>
          <w:pgMar w:header="0" w:footer="666" w:top="380" w:bottom="860" w:left="600" w:right="0"/>
        </w:sectPr>
      </w:pPr>
    </w:p>
    <w:p>
      <w:pPr>
        <w:pStyle w:val="Heading5"/>
        <w:spacing w:before="126"/>
      </w:pPr>
      <w:bookmarkStart w:name="Organizational-Level Considerations" w:id="28"/>
      <w:bookmarkEnd w:id="28"/>
      <w:r>
        <w:rPr>
          <w:b w:val="0"/>
        </w:rPr>
      </w:r>
      <w:r>
        <w:rPr>
          <w:color w:val="CE384B"/>
        </w:rPr>
        <w:t>Organizational-Level Considerations</w:t>
      </w:r>
    </w:p>
    <w:p>
      <w:pPr>
        <w:pStyle w:val="BodyText"/>
        <w:spacing w:before="118"/>
        <w:ind w:left="120"/>
      </w:pPr>
      <w:r>
        <w:rPr>
          <w:color w:val="231F20"/>
        </w:rPr>
        <w:t>Telehealth</w:t>
      </w:r>
      <w:r>
        <w:rPr>
          <w:color w:val="231F20"/>
          <w:spacing w:val="-4"/>
        </w:rPr>
        <w:t> </w:t>
      </w:r>
      <w:r>
        <w:rPr>
          <w:color w:val="231F20"/>
        </w:rPr>
        <w:t>requires</w:t>
      </w:r>
      <w:r>
        <w:rPr>
          <w:color w:val="231F20"/>
          <w:spacing w:val="-4"/>
        </w:rPr>
        <w:t> </w:t>
      </w:r>
      <w:r>
        <w:rPr>
          <w:color w:val="231F20"/>
        </w:rPr>
        <w:t>organization-level</w:t>
      </w:r>
      <w:r>
        <w:rPr>
          <w:color w:val="231F20"/>
          <w:spacing w:val="-4"/>
        </w:rPr>
        <w:t> </w:t>
      </w:r>
      <w:r>
        <w:rPr>
          <w:color w:val="231F20"/>
        </w:rPr>
        <w:t>change</w:t>
      </w:r>
      <w:r>
        <w:rPr>
          <w:color w:val="231F20"/>
          <w:spacing w:val="-4"/>
        </w:rPr>
        <w:t> </w:t>
      </w:r>
      <w:r>
        <w:rPr>
          <w:color w:val="231F20"/>
        </w:rPr>
        <w:t>to</w:t>
      </w:r>
    </w:p>
    <w:p>
      <w:pPr>
        <w:pStyle w:val="BodyText"/>
        <w:spacing w:line="266" w:lineRule="auto" w:before="27"/>
        <w:ind w:left="120" w:right="20"/>
      </w:pPr>
      <w:r>
        <w:rPr>
          <w:color w:val="231F20"/>
        </w:rPr>
        <w:t>be sustained. Before a treatment program or clinic</w:t>
      </w:r>
      <w:r>
        <w:rPr>
          <w:color w:val="231F20"/>
          <w:spacing w:val="1"/>
        </w:rPr>
        <w:t> </w:t>
      </w:r>
      <w:r>
        <w:rPr>
          <w:color w:val="231F20"/>
        </w:rPr>
        <w:t>implements telehealth services, it is important to assess</w:t>
      </w:r>
      <w:r>
        <w:rPr>
          <w:color w:val="231F20"/>
          <w:spacing w:val="1"/>
        </w:rPr>
        <w:t> </w:t>
      </w:r>
      <w:r>
        <w:rPr>
          <w:color w:val="231F20"/>
        </w:rPr>
        <w:t>the appropriateness of the services for the setting, the</w:t>
      </w:r>
      <w:r>
        <w:rPr>
          <w:color w:val="231F20"/>
          <w:spacing w:val="1"/>
        </w:rPr>
        <w:t> </w:t>
      </w:r>
      <w:r>
        <w:rPr>
          <w:color w:val="231F20"/>
        </w:rPr>
        <w:t>clients being served, and the providers who will be using</w:t>
      </w:r>
      <w:r>
        <w:rPr>
          <w:color w:val="231F20"/>
          <w:spacing w:val="-53"/>
        </w:rPr>
        <w:t> </w:t>
      </w:r>
      <w:r>
        <w:rPr>
          <w:color w:val="231F20"/>
          <w:spacing w:val="-1"/>
        </w:rPr>
        <w:t>telehealth </w:t>
      </w:r>
      <w:r>
        <w:rPr>
          <w:color w:val="231F20"/>
        </w:rPr>
        <w:t>to deliver treatment services. An organization</w:t>
      </w:r>
      <w:r>
        <w:rPr>
          <w:color w:val="231F20"/>
          <w:spacing w:val="1"/>
        </w:rPr>
        <w:t> </w:t>
      </w:r>
      <w:r>
        <w:rPr>
          <w:color w:val="231F20"/>
        </w:rPr>
        <w:t>must ensure there is appropriate space, technology,</w:t>
      </w:r>
      <w:r>
        <w:rPr>
          <w:color w:val="231F20"/>
          <w:spacing w:val="1"/>
        </w:rPr>
        <w:t> </w:t>
      </w:r>
      <w:r>
        <w:rPr>
          <w:color w:val="231F20"/>
        </w:rPr>
        <w:t>training, financial and human resources, and support to</w:t>
      </w:r>
      <w:r>
        <w:rPr>
          <w:color w:val="231F20"/>
          <w:spacing w:val="1"/>
        </w:rPr>
        <w:t> </w:t>
      </w:r>
      <w:r>
        <w:rPr>
          <w:color w:val="231F20"/>
        </w:rPr>
        <w:t>implement telehealth.</w:t>
      </w:r>
    </w:p>
    <w:p>
      <w:pPr>
        <w:spacing w:line="249" w:lineRule="auto" w:before="152"/>
        <w:ind w:left="120" w:right="640" w:firstLine="0"/>
        <w:jc w:val="left"/>
        <w:rPr>
          <w:rFonts w:ascii="Arial"/>
          <w:b/>
          <w:sz w:val="20"/>
        </w:rPr>
      </w:pPr>
      <w:r>
        <w:rPr>
          <w:rFonts w:ascii="Arial"/>
          <w:b/>
          <w:color w:val="010202"/>
          <w:sz w:val="20"/>
        </w:rPr>
        <w:t>Strategies to assess organizational needs and</w:t>
      </w:r>
      <w:r>
        <w:rPr>
          <w:rFonts w:ascii="Arial"/>
          <w:b/>
          <w:color w:val="010202"/>
          <w:spacing w:val="-53"/>
          <w:sz w:val="20"/>
        </w:rPr>
        <w:t> </w:t>
      </w:r>
      <w:r>
        <w:rPr>
          <w:rFonts w:ascii="Arial"/>
          <w:b/>
          <w:color w:val="010202"/>
          <w:sz w:val="20"/>
        </w:rPr>
        <w:t>readiness</w:t>
      </w:r>
    </w:p>
    <w:p>
      <w:pPr>
        <w:pStyle w:val="BodyText"/>
        <w:spacing w:line="266" w:lineRule="auto" w:before="183"/>
        <w:ind w:left="120" w:right="27"/>
      </w:pPr>
      <w:r>
        <w:rPr>
          <w:color w:val="231F20"/>
        </w:rPr>
        <w:t>Prior to implementing telehealth practices, each program</w:t>
      </w:r>
      <w:r>
        <w:rPr>
          <w:color w:val="231F20"/>
          <w:spacing w:val="-52"/>
        </w:rPr>
        <w:t> </w:t>
      </w:r>
      <w:r>
        <w:rPr>
          <w:color w:val="231F20"/>
        </w:rPr>
        <w:t>or organization should conduct a needs assessment to</w:t>
      </w:r>
      <w:r>
        <w:rPr>
          <w:color w:val="231F20"/>
          <w:spacing w:val="1"/>
        </w:rPr>
        <w:t> </w:t>
      </w:r>
      <w:r>
        <w:rPr>
          <w:color w:val="231F20"/>
        </w:rPr>
        <w:t>explore the</w:t>
      </w:r>
      <w:r>
        <w:rPr>
          <w:color w:val="231F20"/>
          <w:spacing w:val="-1"/>
        </w:rPr>
        <w:t> </w:t>
      </w:r>
      <w:r>
        <w:rPr>
          <w:color w:val="231F20"/>
        </w:rPr>
        <w:t>following factors:</w:t>
      </w:r>
    </w:p>
    <w:p>
      <w:pPr>
        <w:pStyle w:val="ListParagraph"/>
        <w:numPr>
          <w:ilvl w:val="1"/>
          <w:numId w:val="5"/>
        </w:numPr>
        <w:tabs>
          <w:tab w:pos="839" w:val="left" w:leader="none"/>
          <w:tab w:pos="840" w:val="left" w:leader="none"/>
        </w:tabs>
        <w:spacing w:line="264" w:lineRule="auto" w:before="162" w:after="0"/>
        <w:ind w:left="839" w:right="171" w:hanging="360"/>
        <w:jc w:val="left"/>
        <w:rPr>
          <w:rFonts w:ascii="Symbol" w:hAnsi="Symbol"/>
          <w:color w:val="010202"/>
          <w:sz w:val="22"/>
        </w:rPr>
      </w:pPr>
      <w:r>
        <w:rPr>
          <w:b/>
          <w:color w:val="010202"/>
          <w:sz w:val="22"/>
        </w:rPr>
        <w:t>The</w:t>
      </w:r>
      <w:r>
        <w:rPr>
          <w:b/>
          <w:color w:val="010202"/>
          <w:spacing w:val="-6"/>
          <w:sz w:val="22"/>
        </w:rPr>
        <w:t> </w:t>
      </w:r>
      <w:r>
        <w:rPr>
          <w:b/>
          <w:color w:val="010202"/>
          <w:sz w:val="22"/>
        </w:rPr>
        <w:t>organization’s</w:t>
      </w:r>
      <w:r>
        <w:rPr>
          <w:b/>
          <w:color w:val="010202"/>
          <w:spacing w:val="-6"/>
          <w:sz w:val="22"/>
        </w:rPr>
        <w:t> </w:t>
      </w:r>
      <w:r>
        <w:rPr>
          <w:b/>
          <w:color w:val="010202"/>
          <w:sz w:val="22"/>
        </w:rPr>
        <w:t>readiness</w:t>
      </w:r>
      <w:r>
        <w:rPr>
          <w:b/>
          <w:color w:val="010202"/>
          <w:spacing w:val="-5"/>
          <w:sz w:val="22"/>
        </w:rPr>
        <w:t> </w:t>
      </w:r>
      <w:r>
        <w:rPr>
          <w:b/>
          <w:color w:val="010202"/>
          <w:sz w:val="22"/>
        </w:rPr>
        <w:t>for</w:t>
      </w:r>
      <w:r>
        <w:rPr>
          <w:b/>
          <w:color w:val="010202"/>
          <w:spacing w:val="-9"/>
          <w:sz w:val="22"/>
        </w:rPr>
        <w:t> </w:t>
      </w:r>
      <w:r>
        <w:rPr>
          <w:b/>
          <w:color w:val="010202"/>
          <w:sz w:val="22"/>
        </w:rPr>
        <w:t>telehealth</w:t>
      </w:r>
      <w:r>
        <w:rPr>
          <w:b/>
          <w:color w:val="010202"/>
          <w:spacing w:val="-6"/>
          <w:sz w:val="22"/>
        </w:rPr>
        <w:t> </w:t>
      </w:r>
      <w:r>
        <w:rPr>
          <w:color w:val="010202"/>
          <w:sz w:val="22"/>
        </w:rPr>
        <w:t>–</w:t>
      </w:r>
      <w:r>
        <w:rPr>
          <w:color w:val="010202"/>
          <w:spacing w:val="-52"/>
          <w:sz w:val="22"/>
        </w:rPr>
        <w:t> </w:t>
      </w:r>
      <w:r>
        <w:rPr>
          <w:color w:val="010202"/>
          <w:sz w:val="22"/>
        </w:rPr>
        <w:t>Review</w:t>
      </w:r>
      <w:r>
        <w:rPr>
          <w:color w:val="010202"/>
          <w:spacing w:val="6"/>
          <w:sz w:val="22"/>
        </w:rPr>
        <w:t> </w:t>
      </w:r>
      <w:r>
        <w:rPr>
          <w:color w:val="010202"/>
          <w:sz w:val="22"/>
        </w:rPr>
        <w:t>existing</w:t>
      </w:r>
      <w:r>
        <w:rPr>
          <w:color w:val="010202"/>
          <w:spacing w:val="6"/>
          <w:sz w:val="22"/>
        </w:rPr>
        <w:t> </w:t>
      </w:r>
      <w:r>
        <w:rPr>
          <w:color w:val="010202"/>
          <w:sz w:val="22"/>
        </w:rPr>
        <w:t>protocols</w:t>
      </w:r>
      <w:r>
        <w:rPr>
          <w:color w:val="010202"/>
          <w:spacing w:val="6"/>
          <w:sz w:val="22"/>
        </w:rPr>
        <w:t> </w:t>
      </w:r>
      <w:r>
        <w:rPr>
          <w:color w:val="010202"/>
          <w:sz w:val="22"/>
        </w:rPr>
        <w:t>and</w:t>
      </w:r>
      <w:r>
        <w:rPr>
          <w:color w:val="010202"/>
          <w:spacing w:val="6"/>
          <w:sz w:val="22"/>
        </w:rPr>
        <w:t> </w:t>
      </w:r>
      <w:r>
        <w:rPr>
          <w:color w:val="010202"/>
          <w:sz w:val="22"/>
        </w:rPr>
        <w:t>procedures</w:t>
      </w:r>
      <w:r>
        <w:rPr>
          <w:color w:val="010202"/>
          <w:spacing w:val="1"/>
          <w:sz w:val="22"/>
        </w:rPr>
        <w:t> </w:t>
      </w:r>
      <w:r>
        <w:rPr>
          <w:color w:val="010202"/>
          <w:sz w:val="22"/>
        </w:rPr>
        <w:t>(e.g., intake procedures, scheduling) that could</w:t>
      </w:r>
      <w:r>
        <w:rPr>
          <w:color w:val="010202"/>
          <w:spacing w:val="-52"/>
          <w:sz w:val="22"/>
        </w:rPr>
        <w:t> </w:t>
      </w:r>
      <w:r>
        <w:rPr>
          <w:color w:val="010202"/>
          <w:sz w:val="22"/>
        </w:rPr>
        <w:t>facilitate or impede implementation using</w:t>
      </w:r>
    </w:p>
    <w:p>
      <w:pPr>
        <w:pStyle w:val="BodyText"/>
        <w:spacing w:line="266" w:lineRule="auto" w:before="5"/>
        <w:ind w:left="839" w:right="303"/>
      </w:pPr>
      <w:r>
        <w:rPr>
          <w:color w:val="010202"/>
        </w:rPr>
        <w:t>a readiness assessment tool. The American</w:t>
      </w:r>
      <w:r>
        <w:rPr>
          <w:color w:val="010202"/>
          <w:spacing w:val="1"/>
        </w:rPr>
        <w:t> </w:t>
      </w:r>
      <w:r>
        <w:rPr>
          <w:color w:val="010202"/>
          <w:w w:val="95"/>
        </w:rPr>
        <w:t>Psychological Association</w:t>
      </w:r>
      <w:r>
        <w:rPr>
          <w:color w:val="010202"/>
          <w:spacing w:val="1"/>
          <w:w w:val="95"/>
        </w:rPr>
        <w:t> </w:t>
      </w:r>
      <w:r>
        <w:rPr>
          <w:color w:val="010202"/>
          <w:w w:val="95"/>
        </w:rPr>
        <w:t>has</w:t>
      </w:r>
      <w:r>
        <w:rPr>
          <w:color w:val="010202"/>
          <w:spacing w:val="1"/>
          <w:w w:val="95"/>
        </w:rPr>
        <w:t> </w:t>
      </w:r>
      <w:r>
        <w:rPr>
          <w:color w:val="010202"/>
          <w:w w:val="95"/>
        </w:rPr>
        <w:t>an</w:t>
      </w:r>
      <w:r>
        <w:rPr>
          <w:color w:val="010202"/>
          <w:spacing w:val="1"/>
          <w:w w:val="95"/>
        </w:rPr>
        <w:t> </w:t>
      </w:r>
      <w:hyperlink r:id="rId234">
        <w:r>
          <w:rPr>
            <w:color w:val="3953A4"/>
            <w:w w:val="95"/>
            <w:u w:val="single" w:color="3953A4"/>
          </w:rPr>
          <w:t>office</w:t>
        </w:r>
        <w:r>
          <w:rPr>
            <w:color w:val="3953A4"/>
            <w:spacing w:val="1"/>
            <w:w w:val="95"/>
            <w:u w:val="single" w:color="3953A4"/>
          </w:rPr>
          <w:t> </w:t>
        </w:r>
        <w:r>
          <w:rPr>
            <w:color w:val="3953A4"/>
            <w:w w:val="95"/>
            <w:u w:val="single" w:color="3953A4"/>
          </w:rPr>
          <w:t>and</w:t>
        </w:r>
      </w:hyperlink>
      <w:r>
        <w:rPr>
          <w:color w:val="3953A4"/>
          <w:spacing w:val="1"/>
          <w:w w:val="95"/>
        </w:rPr>
        <w:t> </w:t>
      </w:r>
      <w:hyperlink r:id="rId234">
        <w:r>
          <w:rPr>
            <w:color w:val="3953A4"/>
            <w:u w:val="single" w:color="3953A4"/>
          </w:rPr>
          <w:t>technology checklist for telepsychological</w:t>
        </w:r>
      </w:hyperlink>
      <w:r>
        <w:rPr>
          <w:color w:val="3953A4"/>
          <w:spacing w:val="1"/>
        </w:rPr>
        <w:t> </w:t>
      </w:r>
      <w:hyperlink r:id="rId234">
        <w:r>
          <w:rPr>
            <w:color w:val="3953A4"/>
            <w:u w:val="single" w:color="3953A4"/>
          </w:rPr>
          <w:t>services</w:t>
        </w:r>
      </w:hyperlink>
      <w:r>
        <w:rPr>
          <w:color w:val="3953A4"/>
        </w:rPr>
        <w:t> </w:t>
      </w:r>
      <w:r>
        <w:rPr>
          <w:color w:val="010202"/>
        </w:rPr>
        <w:t>that is a tool for checking client and</w:t>
      </w:r>
      <w:r>
        <w:rPr>
          <w:color w:val="010202"/>
          <w:spacing w:val="1"/>
        </w:rPr>
        <w:t> </w:t>
      </w:r>
      <w:r>
        <w:rPr>
          <w:color w:val="010202"/>
          <w:spacing w:val="-1"/>
        </w:rPr>
        <w:t>agency </w:t>
      </w:r>
      <w:r>
        <w:rPr>
          <w:color w:val="010202"/>
        </w:rPr>
        <w:t>readiness. Similarly, the American</w:t>
      </w:r>
      <w:r>
        <w:rPr>
          <w:color w:val="010202"/>
          <w:spacing w:val="1"/>
        </w:rPr>
        <w:t> </w:t>
      </w:r>
      <w:r>
        <w:rPr>
          <w:color w:val="010202"/>
        </w:rPr>
        <w:t>Psychiatric Association has a comprehensive</w:t>
      </w:r>
      <w:r>
        <w:rPr>
          <w:color w:val="010202"/>
          <w:spacing w:val="1"/>
        </w:rPr>
        <w:t> </w:t>
      </w:r>
      <w:hyperlink r:id="rId235">
        <w:r>
          <w:rPr>
            <w:color w:val="3953A4"/>
            <w:spacing w:val="-1"/>
            <w:u w:val="single" w:color="3953A4"/>
          </w:rPr>
          <w:t>Telepsychiatry</w:t>
        </w:r>
        <w:r>
          <w:rPr>
            <w:color w:val="3953A4"/>
            <w:spacing w:val="-12"/>
            <w:u w:val="single" w:color="3953A4"/>
          </w:rPr>
          <w:t> </w:t>
        </w:r>
        <w:r>
          <w:rPr>
            <w:color w:val="3953A4"/>
            <w:u w:val="single" w:color="3953A4"/>
          </w:rPr>
          <w:t>Toolkit</w:t>
        </w:r>
      </w:hyperlink>
      <w:r>
        <w:rPr>
          <w:color w:val="3953A4"/>
          <w:spacing w:val="-7"/>
        </w:rPr>
        <w:t> </w:t>
      </w:r>
      <w:r>
        <w:rPr>
          <w:color w:val="010202"/>
        </w:rPr>
        <w:t>to</w:t>
      </w:r>
      <w:r>
        <w:rPr>
          <w:color w:val="010202"/>
          <w:spacing w:val="-8"/>
        </w:rPr>
        <w:t> </w:t>
      </w:r>
      <w:r>
        <w:rPr>
          <w:color w:val="010202"/>
        </w:rPr>
        <w:t>provide</w:t>
      </w:r>
      <w:r>
        <w:rPr>
          <w:color w:val="010202"/>
          <w:spacing w:val="-7"/>
        </w:rPr>
        <w:t> </w:t>
      </w:r>
      <w:r>
        <w:rPr>
          <w:color w:val="010202"/>
        </w:rPr>
        <w:t>information</w:t>
      </w:r>
      <w:r>
        <w:rPr>
          <w:color w:val="010202"/>
          <w:spacing w:val="-52"/>
        </w:rPr>
        <w:t> </w:t>
      </w:r>
      <w:r>
        <w:rPr>
          <w:color w:val="010202"/>
        </w:rPr>
        <w:t>and resources about using telehealth for</w:t>
      </w:r>
      <w:r>
        <w:rPr>
          <w:color w:val="010202"/>
          <w:spacing w:val="1"/>
        </w:rPr>
        <w:t> </w:t>
      </w:r>
      <w:r>
        <w:rPr>
          <w:color w:val="010202"/>
        </w:rPr>
        <w:t>psychiatric</w:t>
      </w:r>
      <w:r>
        <w:rPr>
          <w:color w:val="010202"/>
          <w:spacing w:val="-1"/>
        </w:rPr>
        <w:t> </w:t>
      </w:r>
      <w:r>
        <w:rPr>
          <w:color w:val="010202"/>
        </w:rPr>
        <w:t>care.</w:t>
      </w:r>
      <w:r>
        <w:rPr>
          <w:color w:val="010202"/>
          <w:vertAlign w:val="superscript"/>
        </w:rPr>
        <w:t>31-33</w:t>
      </w:r>
    </w:p>
    <w:p>
      <w:pPr>
        <w:pStyle w:val="ListParagraph"/>
        <w:numPr>
          <w:ilvl w:val="0"/>
          <w:numId w:val="5"/>
        </w:numPr>
        <w:tabs>
          <w:tab w:pos="479" w:val="left" w:leader="none"/>
          <w:tab w:pos="480" w:val="left" w:leader="none"/>
        </w:tabs>
        <w:spacing w:line="266" w:lineRule="auto" w:before="100" w:after="0"/>
        <w:ind w:left="479" w:right="754" w:hanging="360"/>
        <w:jc w:val="left"/>
        <w:rPr>
          <w:sz w:val="22"/>
        </w:rPr>
      </w:pPr>
      <w:r>
        <w:rPr>
          <w:b/>
          <w:color w:val="010202"/>
          <w:sz w:val="22"/>
        </w:rPr>
        <w:br w:type="column"/>
      </w:r>
      <w:r>
        <w:rPr>
          <w:b/>
          <w:color w:val="010202"/>
          <w:spacing w:val="-1"/>
          <w:sz w:val="22"/>
        </w:rPr>
        <w:t>A program’s or organization’s strengths </w:t>
      </w:r>
      <w:r>
        <w:rPr>
          <w:b/>
          <w:color w:val="010202"/>
          <w:sz w:val="22"/>
        </w:rPr>
        <w:t>and</w:t>
      </w:r>
      <w:r>
        <w:rPr>
          <w:b/>
          <w:color w:val="010202"/>
          <w:spacing w:val="1"/>
          <w:sz w:val="22"/>
        </w:rPr>
        <w:t> </w:t>
      </w:r>
      <w:r>
        <w:rPr>
          <w:b/>
          <w:color w:val="010202"/>
          <w:sz w:val="22"/>
        </w:rPr>
        <w:t>areas for development </w:t>
      </w:r>
      <w:r>
        <w:rPr>
          <w:color w:val="010202"/>
          <w:sz w:val="22"/>
        </w:rPr>
        <w:t>– Review the budget,</w:t>
      </w:r>
      <w:r>
        <w:rPr>
          <w:color w:val="010202"/>
          <w:spacing w:val="1"/>
          <w:sz w:val="22"/>
        </w:rPr>
        <w:t> </w:t>
      </w:r>
      <w:r>
        <w:rPr>
          <w:color w:val="010202"/>
          <w:sz w:val="22"/>
        </w:rPr>
        <w:t>infrastructure, information management support,</w:t>
      </w:r>
      <w:r>
        <w:rPr>
          <w:color w:val="010202"/>
          <w:spacing w:val="-52"/>
          <w:sz w:val="22"/>
        </w:rPr>
        <w:t> </w:t>
      </w:r>
      <w:r>
        <w:rPr>
          <w:color w:val="010202"/>
          <w:sz w:val="22"/>
        </w:rPr>
        <w:t>understanding and compliance with regulations,</w:t>
      </w:r>
      <w:r>
        <w:rPr>
          <w:color w:val="010202"/>
          <w:spacing w:val="1"/>
          <w:sz w:val="22"/>
        </w:rPr>
        <w:t> </w:t>
      </w:r>
      <w:r>
        <w:rPr>
          <w:color w:val="010202"/>
          <w:sz w:val="22"/>
        </w:rPr>
        <w:t>billing and reimbursement policies, and</w:t>
      </w:r>
      <w:r>
        <w:rPr>
          <w:color w:val="010202"/>
          <w:spacing w:val="1"/>
          <w:sz w:val="22"/>
        </w:rPr>
        <w:t> </w:t>
      </w:r>
      <w:r>
        <w:rPr>
          <w:color w:val="010202"/>
          <w:sz w:val="22"/>
        </w:rPr>
        <w:t>organizational</w:t>
      </w:r>
      <w:r>
        <w:rPr>
          <w:color w:val="010202"/>
          <w:spacing w:val="-1"/>
          <w:sz w:val="22"/>
        </w:rPr>
        <w:t> </w:t>
      </w:r>
      <w:r>
        <w:rPr>
          <w:color w:val="010202"/>
          <w:sz w:val="22"/>
        </w:rPr>
        <w:t>ability</w:t>
      </w:r>
      <w:r>
        <w:rPr>
          <w:color w:val="010202"/>
          <w:spacing w:val="-1"/>
          <w:sz w:val="22"/>
        </w:rPr>
        <w:t> </w:t>
      </w:r>
      <w:r>
        <w:rPr>
          <w:color w:val="010202"/>
          <w:sz w:val="22"/>
        </w:rPr>
        <w:t>to</w:t>
      </w:r>
      <w:r>
        <w:rPr>
          <w:color w:val="010202"/>
          <w:spacing w:val="-1"/>
          <w:sz w:val="22"/>
        </w:rPr>
        <w:t> </w:t>
      </w:r>
      <w:r>
        <w:rPr>
          <w:color w:val="010202"/>
          <w:sz w:val="22"/>
        </w:rPr>
        <w:t>support</w:t>
      </w:r>
      <w:r>
        <w:rPr>
          <w:color w:val="010202"/>
          <w:spacing w:val="-1"/>
          <w:sz w:val="22"/>
        </w:rPr>
        <w:t> </w:t>
      </w:r>
      <w:r>
        <w:rPr>
          <w:color w:val="010202"/>
          <w:sz w:val="22"/>
        </w:rPr>
        <w:t>telehealth.</w:t>
      </w:r>
    </w:p>
    <w:p>
      <w:pPr>
        <w:pStyle w:val="ListParagraph"/>
        <w:numPr>
          <w:ilvl w:val="0"/>
          <w:numId w:val="5"/>
        </w:numPr>
        <w:tabs>
          <w:tab w:pos="479" w:val="left" w:leader="none"/>
          <w:tab w:pos="480" w:val="left" w:leader="none"/>
        </w:tabs>
        <w:spacing w:line="266" w:lineRule="auto" w:before="24" w:after="0"/>
        <w:ind w:left="479" w:right="879" w:hanging="360"/>
        <w:jc w:val="left"/>
        <w:rPr>
          <w:sz w:val="22"/>
        </w:rPr>
      </w:pPr>
      <w:r>
        <w:rPr>
          <w:b/>
          <w:color w:val="010202"/>
          <w:sz w:val="22"/>
        </w:rPr>
        <w:t>Available internal resources and local</w:t>
      </w:r>
      <w:r>
        <w:rPr>
          <w:b/>
          <w:color w:val="010202"/>
          <w:spacing w:val="1"/>
          <w:sz w:val="22"/>
        </w:rPr>
        <w:t> </w:t>
      </w:r>
      <w:r>
        <w:rPr>
          <w:b/>
          <w:color w:val="010202"/>
          <w:sz w:val="22"/>
        </w:rPr>
        <w:t>factors </w:t>
      </w:r>
      <w:r>
        <w:rPr>
          <w:color w:val="010202"/>
          <w:sz w:val="22"/>
        </w:rPr>
        <w:t>– Identify internal resources (e.g.,</w:t>
      </w:r>
      <w:r>
        <w:rPr>
          <w:color w:val="010202"/>
          <w:spacing w:val="1"/>
          <w:sz w:val="22"/>
        </w:rPr>
        <w:t> </w:t>
      </w:r>
      <w:r>
        <w:rPr>
          <w:color w:val="010202"/>
          <w:sz w:val="22"/>
        </w:rPr>
        <w:t>staffing, technology, space) and local factors</w:t>
      </w:r>
      <w:r>
        <w:rPr>
          <w:color w:val="010202"/>
          <w:spacing w:val="1"/>
          <w:sz w:val="22"/>
        </w:rPr>
        <w:t> </w:t>
      </w:r>
      <w:r>
        <w:rPr>
          <w:color w:val="010202"/>
          <w:sz w:val="22"/>
        </w:rPr>
        <w:t>(e.g., geography, transportation, availability of</w:t>
      </w:r>
      <w:r>
        <w:rPr>
          <w:color w:val="010202"/>
          <w:spacing w:val="1"/>
          <w:sz w:val="22"/>
        </w:rPr>
        <w:t> </w:t>
      </w:r>
      <w:r>
        <w:rPr>
          <w:color w:val="010202"/>
          <w:sz w:val="22"/>
        </w:rPr>
        <w:t>telehealth, availability of high-speed Internet)</w:t>
      </w:r>
      <w:r>
        <w:rPr>
          <w:color w:val="010202"/>
          <w:spacing w:val="1"/>
          <w:sz w:val="22"/>
        </w:rPr>
        <w:t> </w:t>
      </w:r>
      <w:r>
        <w:rPr>
          <w:color w:val="010202"/>
          <w:sz w:val="22"/>
        </w:rPr>
        <w:t>that</w:t>
      </w:r>
      <w:r>
        <w:rPr>
          <w:color w:val="010202"/>
          <w:spacing w:val="-4"/>
          <w:sz w:val="22"/>
        </w:rPr>
        <w:t> </w:t>
      </w:r>
      <w:r>
        <w:rPr>
          <w:color w:val="010202"/>
          <w:sz w:val="22"/>
        </w:rPr>
        <w:t>could</w:t>
      </w:r>
      <w:r>
        <w:rPr>
          <w:color w:val="010202"/>
          <w:spacing w:val="-3"/>
          <w:sz w:val="22"/>
        </w:rPr>
        <w:t> </w:t>
      </w:r>
      <w:r>
        <w:rPr>
          <w:color w:val="010202"/>
          <w:sz w:val="22"/>
        </w:rPr>
        <w:t>affect</w:t>
      </w:r>
      <w:r>
        <w:rPr>
          <w:color w:val="010202"/>
          <w:spacing w:val="-3"/>
          <w:sz w:val="22"/>
        </w:rPr>
        <w:t> </w:t>
      </w:r>
      <w:r>
        <w:rPr>
          <w:color w:val="010202"/>
          <w:sz w:val="22"/>
        </w:rPr>
        <w:t>service</w:t>
      </w:r>
      <w:r>
        <w:rPr>
          <w:color w:val="010202"/>
          <w:spacing w:val="-5"/>
          <w:sz w:val="22"/>
        </w:rPr>
        <w:t> </w:t>
      </w:r>
      <w:r>
        <w:rPr>
          <w:color w:val="010202"/>
          <w:sz w:val="22"/>
        </w:rPr>
        <w:t>delivery</w:t>
      </w:r>
      <w:r>
        <w:rPr>
          <w:color w:val="010202"/>
          <w:spacing w:val="-3"/>
          <w:sz w:val="22"/>
        </w:rPr>
        <w:t> </w:t>
      </w:r>
      <w:r>
        <w:rPr>
          <w:color w:val="010202"/>
          <w:sz w:val="22"/>
        </w:rPr>
        <w:t>via</w:t>
      </w:r>
      <w:r>
        <w:rPr>
          <w:color w:val="010202"/>
          <w:spacing w:val="-3"/>
          <w:sz w:val="22"/>
        </w:rPr>
        <w:t> </w:t>
      </w:r>
      <w:r>
        <w:rPr>
          <w:color w:val="010202"/>
          <w:sz w:val="22"/>
        </w:rPr>
        <w:t>telehealth.</w:t>
      </w:r>
    </w:p>
    <w:p>
      <w:pPr>
        <w:pStyle w:val="ListParagraph"/>
        <w:numPr>
          <w:ilvl w:val="0"/>
          <w:numId w:val="5"/>
        </w:numPr>
        <w:tabs>
          <w:tab w:pos="479" w:val="left" w:leader="none"/>
          <w:tab w:pos="480" w:val="left" w:leader="none"/>
        </w:tabs>
        <w:spacing w:line="264" w:lineRule="auto" w:before="24" w:after="0"/>
        <w:ind w:left="479" w:right="807" w:hanging="360"/>
        <w:jc w:val="left"/>
        <w:rPr>
          <w:sz w:val="22"/>
        </w:rPr>
      </w:pPr>
      <w:r>
        <w:rPr>
          <w:b/>
          <w:color w:val="010202"/>
          <w:sz w:val="22"/>
        </w:rPr>
        <w:t>Financial implications </w:t>
      </w:r>
      <w:r>
        <w:rPr>
          <w:color w:val="010202"/>
          <w:sz w:val="22"/>
        </w:rPr>
        <w:t>– Determine the costs</w:t>
      </w:r>
      <w:r>
        <w:rPr>
          <w:color w:val="010202"/>
          <w:spacing w:val="1"/>
          <w:sz w:val="22"/>
        </w:rPr>
        <w:t> </w:t>
      </w:r>
      <w:r>
        <w:rPr>
          <w:color w:val="010202"/>
          <w:sz w:val="22"/>
        </w:rPr>
        <w:t>of implementing and sustaining telehealth</w:t>
      </w:r>
      <w:r>
        <w:rPr>
          <w:color w:val="010202"/>
          <w:spacing w:val="1"/>
          <w:sz w:val="22"/>
        </w:rPr>
        <w:t> </w:t>
      </w:r>
      <w:r>
        <w:rPr>
          <w:color w:val="010202"/>
          <w:sz w:val="22"/>
        </w:rPr>
        <w:t>modalities.</w:t>
      </w:r>
      <w:r>
        <w:rPr>
          <w:color w:val="010202"/>
          <w:spacing w:val="-11"/>
          <w:sz w:val="22"/>
        </w:rPr>
        <w:t> </w:t>
      </w:r>
      <w:r>
        <w:rPr>
          <w:color w:val="010202"/>
          <w:sz w:val="22"/>
        </w:rPr>
        <w:t>Verify</w:t>
      </w:r>
      <w:r>
        <w:rPr>
          <w:color w:val="010202"/>
          <w:spacing w:val="-6"/>
          <w:sz w:val="22"/>
        </w:rPr>
        <w:t> </w:t>
      </w:r>
      <w:r>
        <w:rPr>
          <w:color w:val="010202"/>
          <w:sz w:val="22"/>
        </w:rPr>
        <w:t>that</w:t>
      </w:r>
      <w:r>
        <w:rPr>
          <w:color w:val="010202"/>
          <w:spacing w:val="-6"/>
          <w:sz w:val="22"/>
        </w:rPr>
        <w:t> </w:t>
      </w:r>
      <w:r>
        <w:rPr>
          <w:color w:val="010202"/>
          <w:sz w:val="22"/>
        </w:rPr>
        <w:t>payers</w:t>
      </w:r>
      <w:r>
        <w:rPr>
          <w:color w:val="010202"/>
          <w:spacing w:val="-6"/>
          <w:sz w:val="22"/>
        </w:rPr>
        <w:t> </w:t>
      </w:r>
      <w:r>
        <w:rPr>
          <w:color w:val="010202"/>
          <w:sz w:val="22"/>
        </w:rPr>
        <w:t>will</w:t>
      </w:r>
      <w:r>
        <w:rPr>
          <w:color w:val="010202"/>
          <w:spacing w:val="-7"/>
          <w:sz w:val="22"/>
        </w:rPr>
        <w:t> </w:t>
      </w:r>
      <w:r>
        <w:rPr>
          <w:color w:val="010202"/>
          <w:sz w:val="22"/>
        </w:rPr>
        <w:t>reimburse</w:t>
      </w:r>
      <w:r>
        <w:rPr>
          <w:color w:val="010202"/>
          <w:spacing w:val="-6"/>
          <w:sz w:val="22"/>
        </w:rPr>
        <w:t> </w:t>
      </w:r>
      <w:r>
        <w:rPr>
          <w:color w:val="010202"/>
          <w:sz w:val="22"/>
        </w:rPr>
        <w:t>for</w:t>
      </w:r>
      <w:r>
        <w:rPr>
          <w:color w:val="010202"/>
          <w:spacing w:val="-52"/>
          <w:sz w:val="22"/>
        </w:rPr>
        <w:t> </w:t>
      </w:r>
      <w:r>
        <w:rPr>
          <w:color w:val="010202"/>
          <w:sz w:val="22"/>
        </w:rPr>
        <w:t>services provided over telehealth and whether</w:t>
      </w:r>
      <w:r>
        <w:rPr>
          <w:color w:val="010202"/>
          <w:spacing w:val="1"/>
          <w:sz w:val="22"/>
        </w:rPr>
        <w:t> </w:t>
      </w:r>
      <w:r>
        <w:rPr>
          <w:color w:val="010202"/>
          <w:sz w:val="22"/>
        </w:rPr>
        <w:t>reimbursement</w:t>
      </w:r>
      <w:r>
        <w:rPr>
          <w:color w:val="010202"/>
          <w:spacing w:val="-2"/>
          <w:sz w:val="22"/>
        </w:rPr>
        <w:t> </w:t>
      </w:r>
      <w:r>
        <w:rPr>
          <w:color w:val="010202"/>
          <w:sz w:val="22"/>
        </w:rPr>
        <w:t>rates</w:t>
      </w:r>
      <w:r>
        <w:rPr>
          <w:color w:val="010202"/>
          <w:spacing w:val="-1"/>
          <w:sz w:val="22"/>
        </w:rPr>
        <w:t> </w:t>
      </w:r>
      <w:r>
        <w:rPr>
          <w:color w:val="010202"/>
          <w:sz w:val="22"/>
        </w:rPr>
        <w:t>are</w:t>
      </w:r>
      <w:r>
        <w:rPr>
          <w:color w:val="010202"/>
          <w:spacing w:val="-1"/>
          <w:sz w:val="22"/>
        </w:rPr>
        <w:t> </w:t>
      </w:r>
      <w:r>
        <w:rPr>
          <w:color w:val="010202"/>
          <w:sz w:val="22"/>
        </w:rPr>
        <w:t>sufficient.</w:t>
      </w:r>
    </w:p>
    <w:p>
      <w:pPr>
        <w:pStyle w:val="ListParagraph"/>
        <w:numPr>
          <w:ilvl w:val="0"/>
          <w:numId w:val="5"/>
        </w:numPr>
        <w:tabs>
          <w:tab w:pos="479" w:val="left" w:leader="none"/>
          <w:tab w:pos="480" w:val="left" w:leader="none"/>
        </w:tabs>
        <w:spacing w:line="264" w:lineRule="auto" w:before="37" w:after="0"/>
        <w:ind w:left="479" w:right="876" w:hanging="360"/>
        <w:jc w:val="left"/>
        <w:rPr>
          <w:sz w:val="22"/>
        </w:rPr>
      </w:pPr>
      <w:r>
        <w:rPr>
          <w:b/>
          <w:color w:val="010202"/>
          <w:sz w:val="22"/>
        </w:rPr>
        <w:t>Characteristics of the client population </w:t>
      </w:r>
      <w:r>
        <w:rPr>
          <w:color w:val="010202"/>
          <w:sz w:val="22"/>
        </w:rPr>
        <w:t>–</w:t>
      </w:r>
      <w:r>
        <w:rPr>
          <w:color w:val="010202"/>
          <w:spacing w:val="1"/>
          <w:sz w:val="22"/>
        </w:rPr>
        <w:t> </w:t>
      </w:r>
      <w:r>
        <w:rPr>
          <w:color w:val="010202"/>
          <w:sz w:val="22"/>
        </w:rPr>
        <w:t>Identify the population of focus and their</w:t>
      </w:r>
      <w:r>
        <w:rPr>
          <w:color w:val="010202"/>
          <w:spacing w:val="1"/>
          <w:sz w:val="22"/>
        </w:rPr>
        <w:t> </w:t>
      </w:r>
      <w:r>
        <w:rPr>
          <w:color w:val="010202"/>
          <w:sz w:val="22"/>
        </w:rPr>
        <w:t>unique risk factors, cultures, challenges, assets,</w:t>
      </w:r>
      <w:r>
        <w:rPr>
          <w:color w:val="010202"/>
          <w:spacing w:val="-52"/>
          <w:sz w:val="22"/>
        </w:rPr>
        <w:t> </w:t>
      </w:r>
      <w:r>
        <w:rPr>
          <w:color w:val="010202"/>
          <w:sz w:val="22"/>
        </w:rPr>
        <w:t>technology access</w:t>
      </w:r>
      <w:r>
        <w:rPr>
          <w:color w:val="010202"/>
          <w:spacing w:val="-1"/>
          <w:sz w:val="22"/>
        </w:rPr>
        <w:t> </w:t>
      </w:r>
      <w:r>
        <w:rPr>
          <w:color w:val="010202"/>
          <w:sz w:val="22"/>
        </w:rPr>
        <w:t>(including broadband and</w:t>
      </w:r>
    </w:p>
    <w:p>
      <w:pPr>
        <w:pStyle w:val="BodyText"/>
        <w:spacing w:line="266" w:lineRule="auto" w:before="5"/>
        <w:ind w:left="479" w:right="708"/>
      </w:pPr>
      <w:r>
        <w:rPr>
          <w:color w:val="010202"/>
        </w:rPr>
        <w:t>equipment), and ways that telehealth can be used</w:t>
      </w:r>
      <w:r>
        <w:rPr>
          <w:color w:val="010202"/>
          <w:spacing w:val="-52"/>
        </w:rPr>
        <w:t> </w:t>
      </w:r>
      <w:r>
        <w:rPr>
          <w:color w:val="010202"/>
          <w:w w:val="95"/>
        </w:rPr>
        <w:t>to</w:t>
      </w:r>
      <w:r>
        <w:rPr>
          <w:color w:val="010202"/>
          <w:spacing w:val="6"/>
          <w:w w:val="95"/>
        </w:rPr>
        <w:t> </w:t>
      </w:r>
      <w:r>
        <w:rPr>
          <w:color w:val="010202"/>
          <w:w w:val="95"/>
        </w:rPr>
        <w:t>overcome</w:t>
      </w:r>
      <w:r>
        <w:rPr>
          <w:color w:val="010202"/>
          <w:spacing w:val="7"/>
          <w:w w:val="95"/>
        </w:rPr>
        <w:t> </w:t>
      </w:r>
      <w:r>
        <w:rPr>
          <w:color w:val="010202"/>
          <w:w w:val="95"/>
        </w:rPr>
        <w:t>client</w:t>
      </w:r>
      <w:r>
        <w:rPr>
          <w:color w:val="010202"/>
          <w:spacing w:val="7"/>
          <w:w w:val="95"/>
        </w:rPr>
        <w:t> </w:t>
      </w:r>
      <w:r>
        <w:rPr>
          <w:color w:val="010202"/>
          <w:w w:val="95"/>
        </w:rPr>
        <w:t>challenges.</w:t>
      </w:r>
      <w:r>
        <w:rPr>
          <w:color w:val="010202"/>
          <w:w w:val="95"/>
          <w:vertAlign w:val="superscript"/>
        </w:rPr>
        <w:t>34,</w:t>
      </w:r>
      <w:r>
        <w:rPr>
          <w:color w:val="010202"/>
          <w:spacing w:val="-18"/>
          <w:w w:val="95"/>
          <w:vertAlign w:val="baseline"/>
        </w:rPr>
        <w:t> </w:t>
      </w:r>
      <w:r>
        <w:rPr>
          <w:color w:val="010202"/>
          <w:w w:val="95"/>
          <w:vertAlign w:val="superscript"/>
        </w:rPr>
        <w:t>35</w:t>
      </w:r>
    </w:p>
    <w:p>
      <w:pPr>
        <w:spacing w:after="0" w:line="266" w:lineRule="auto"/>
        <w:sectPr>
          <w:type w:val="continuous"/>
          <w:pgSz w:w="12240" w:h="15840"/>
          <w:pgMar w:header="0" w:footer="666" w:top="1500" w:bottom="0" w:left="600" w:right="0"/>
          <w:cols w:num="2" w:equalWidth="0">
            <w:col w:w="5171" w:space="949"/>
            <w:col w:w="55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1"/>
        <w:ind w:left="120" w:right="51"/>
      </w:pPr>
      <w:r>
        <w:rPr>
          <w:color w:val="231F20"/>
        </w:rPr>
        <w:t>Based</w:t>
      </w:r>
      <w:r>
        <w:rPr>
          <w:color w:val="231F20"/>
          <w:spacing w:val="-3"/>
        </w:rPr>
        <w:t> </w:t>
      </w:r>
      <w:r>
        <w:rPr>
          <w:color w:val="231F20"/>
        </w:rPr>
        <w:t>on</w:t>
      </w:r>
      <w:r>
        <w:rPr>
          <w:color w:val="231F20"/>
          <w:spacing w:val="-3"/>
        </w:rPr>
        <w:t> </w:t>
      </w:r>
      <w:r>
        <w:rPr>
          <w:color w:val="231F20"/>
        </w:rPr>
        <w:t>results</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needs</w:t>
      </w:r>
      <w:r>
        <w:rPr>
          <w:color w:val="231F20"/>
          <w:spacing w:val="-3"/>
        </w:rPr>
        <w:t> </w:t>
      </w:r>
      <w:r>
        <w:rPr>
          <w:color w:val="231F20"/>
        </w:rPr>
        <w:t>assessment,</w:t>
      </w:r>
      <w:r>
        <w:rPr>
          <w:color w:val="231F20"/>
          <w:spacing w:val="-3"/>
        </w:rPr>
        <w:t> </w:t>
      </w:r>
      <w:r>
        <w:rPr>
          <w:color w:val="231F20"/>
        </w:rPr>
        <w:t>organizational</w:t>
      </w:r>
      <w:r>
        <w:rPr>
          <w:color w:val="231F20"/>
          <w:spacing w:val="-52"/>
        </w:rPr>
        <w:t> </w:t>
      </w:r>
      <w:r>
        <w:rPr>
          <w:color w:val="231F20"/>
        </w:rPr>
        <w:t>leaders can work with their clinical teams,</w:t>
      </w:r>
      <w:r>
        <w:rPr>
          <w:color w:val="231F20"/>
          <w:spacing w:val="1"/>
        </w:rPr>
        <w:t> </w:t>
      </w:r>
      <w:r>
        <w:rPr>
          <w:color w:val="231F20"/>
        </w:rPr>
        <w:t>administrators, client representatives or patient advisory</w:t>
      </w:r>
      <w:r>
        <w:rPr>
          <w:color w:val="231F20"/>
          <w:spacing w:val="-52"/>
        </w:rPr>
        <w:t> </w:t>
      </w:r>
      <w:r>
        <w:rPr>
          <w:color w:val="231F20"/>
        </w:rPr>
        <w:t>boards, community members, and partners to create an</w:t>
      </w:r>
      <w:r>
        <w:rPr>
          <w:color w:val="231F20"/>
          <w:spacing w:val="1"/>
        </w:rPr>
        <w:t> </w:t>
      </w:r>
      <w:r>
        <w:rPr>
          <w:color w:val="231F20"/>
        </w:rPr>
        <w:t>implementation plan that includes the following:</w:t>
      </w:r>
    </w:p>
    <w:p>
      <w:pPr>
        <w:pStyle w:val="ListParagraph"/>
        <w:numPr>
          <w:ilvl w:val="1"/>
          <w:numId w:val="5"/>
        </w:numPr>
        <w:tabs>
          <w:tab w:pos="839" w:val="left" w:leader="none"/>
          <w:tab w:pos="840" w:val="left" w:leader="none"/>
        </w:tabs>
        <w:spacing w:line="264" w:lineRule="auto" w:before="160" w:after="0"/>
        <w:ind w:left="839" w:right="491" w:hanging="360"/>
        <w:jc w:val="left"/>
        <w:rPr>
          <w:rFonts w:ascii="Symbol" w:hAnsi="Symbol"/>
          <w:color w:val="010202"/>
          <w:sz w:val="22"/>
        </w:rPr>
      </w:pPr>
      <w:r>
        <w:rPr>
          <w:color w:val="010202"/>
          <w:sz w:val="22"/>
        </w:rPr>
        <w:t>Organizational</w:t>
      </w:r>
      <w:r>
        <w:rPr>
          <w:color w:val="010202"/>
          <w:spacing w:val="-6"/>
          <w:sz w:val="22"/>
        </w:rPr>
        <w:t> </w:t>
      </w:r>
      <w:r>
        <w:rPr>
          <w:color w:val="010202"/>
          <w:sz w:val="22"/>
        </w:rPr>
        <w:t>priorities,</w:t>
      </w:r>
      <w:r>
        <w:rPr>
          <w:color w:val="010202"/>
          <w:spacing w:val="-6"/>
          <w:sz w:val="22"/>
        </w:rPr>
        <w:t> </w:t>
      </w:r>
      <w:r>
        <w:rPr>
          <w:color w:val="010202"/>
          <w:sz w:val="22"/>
        </w:rPr>
        <w:t>technology</w:t>
      </w:r>
      <w:r>
        <w:rPr>
          <w:color w:val="010202"/>
          <w:spacing w:val="-6"/>
          <w:sz w:val="22"/>
        </w:rPr>
        <w:t> </w:t>
      </w:r>
      <w:r>
        <w:rPr>
          <w:color w:val="010202"/>
          <w:sz w:val="22"/>
        </w:rPr>
        <w:t>needs,</w:t>
      </w:r>
      <w:r>
        <w:rPr>
          <w:color w:val="010202"/>
          <w:spacing w:val="-52"/>
          <w:sz w:val="22"/>
        </w:rPr>
        <w:t> </w:t>
      </w:r>
      <w:r>
        <w:rPr>
          <w:color w:val="010202"/>
          <w:sz w:val="22"/>
        </w:rPr>
        <w:t>necessary changes to existing policies and</w:t>
      </w:r>
      <w:r>
        <w:rPr>
          <w:color w:val="010202"/>
          <w:spacing w:val="1"/>
          <w:sz w:val="22"/>
        </w:rPr>
        <w:t> </w:t>
      </w:r>
      <w:r>
        <w:rPr>
          <w:color w:val="010202"/>
          <w:sz w:val="22"/>
        </w:rPr>
        <w:t>workflows,</w:t>
      </w:r>
      <w:r>
        <w:rPr>
          <w:color w:val="010202"/>
          <w:spacing w:val="-2"/>
          <w:sz w:val="22"/>
        </w:rPr>
        <w:t> </w:t>
      </w:r>
      <w:r>
        <w:rPr>
          <w:color w:val="010202"/>
          <w:sz w:val="22"/>
        </w:rPr>
        <w:t>and</w:t>
      </w:r>
      <w:r>
        <w:rPr>
          <w:color w:val="010202"/>
          <w:spacing w:val="-1"/>
          <w:sz w:val="22"/>
        </w:rPr>
        <w:t> </w:t>
      </w:r>
      <w:r>
        <w:rPr>
          <w:color w:val="010202"/>
          <w:sz w:val="22"/>
        </w:rPr>
        <w:t>training</w:t>
      </w:r>
      <w:r>
        <w:rPr>
          <w:color w:val="010202"/>
          <w:spacing w:val="-1"/>
          <w:sz w:val="22"/>
        </w:rPr>
        <w:t> </w:t>
      </w:r>
      <w:r>
        <w:rPr>
          <w:color w:val="010202"/>
          <w:sz w:val="22"/>
        </w:rPr>
        <w:t>needs</w:t>
      </w:r>
    </w:p>
    <w:p>
      <w:pPr>
        <w:pStyle w:val="ListParagraph"/>
        <w:numPr>
          <w:ilvl w:val="1"/>
          <w:numId w:val="5"/>
        </w:numPr>
        <w:tabs>
          <w:tab w:pos="839" w:val="left" w:leader="none"/>
          <w:tab w:pos="840" w:val="left" w:leader="none"/>
        </w:tabs>
        <w:spacing w:line="240" w:lineRule="auto" w:before="34" w:after="0"/>
        <w:ind w:left="839" w:right="0" w:hanging="361"/>
        <w:jc w:val="left"/>
        <w:rPr>
          <w:rFonts w:ascii="Symbol" w:hAnsi="Symbol"/>
          <w:color w:val="010202"/>
          <w:sz w:val="22"/>
        </w:rPr>
      </w:pPr>
      <w:r>
        <w:rPr>
          <w:color w:val="010202"/>
          <w:spacing w:val="-3"/>
          <w:sz w:val="22"/>
        </w:rPr>
        <w:t>Short-</w:t>
      </w:r>
      <w:r>
        <w:rPr>
          <w:color w:val="010202"/>
          <w:spacing w:val="-10"/>
          <w:sz w:val="22"/>
        </w:rPr>
        <w:t> </w:t>
      </w:r>
      <w:r>
        <w:rPr>
          <w:color w:val="010202"/>
          <w:spacing w:val="-3"/>
          <w:sz w:val="22"/>
        </w:rPr>
        <w:t>and</w:t>
      </w:r>
      <w:r>
        <w:rPr>
          <w:color w:val="010202"/>
          <w:spacing w:val="-10"/>
          <w:sz w:val="22"/>
        </w:rPr>
        <w:t> </w:t>
      </w:r>
      <w:r>
        <w:rPr>
          <w:color w:val="010202"/>
          <w:spacing w:val="-3"/>
          <w:sz w:val="22"/>
        </w:rPr>
        <w:t>long-term</w:t>
      </w:r>
      <w:r>
        <w:rPr>
          <w:color w:val="010202"/>
          <w:spacing w:val="-10"/>
          <w:sz w:val="22"/>
        </w:rPr>
        <w:t> </w:t>
      </w:r>
      <w:r>
        <w:rPr>
          <w:color w:val="010202"/>
          <w:spacing w:val="-3"/>
          <w:sz w:val="22"/>
        </w:rPr>
        <w:t>outcomes</w:t>
      </w:r>
      <w:r>
        <w:rPr>
          <w:color w:val="010202"/>
          <w:spacing w:val="-10"/>
          <w:sz w:val="22"/>
        </w:rPr>
        <w:t> </w:t>
      </w:r>
      <w:r>
        <w:rPr>
          <w:color w:val="010202"/>
          <w:spacing w:val="-3"/>
          <w:sz w:val="22"/>
        </w:rPr>
        <w:t>(to</w:t>
      </w:r>
      <w:r>
        <w:rPr>
          <w:color w:val="010202"/>
          <w:spacing w:val="-10"/>
          <w:sz w:val="22"/>
        </w:rPr>
        <w:t> </w:t>
      </w:r>
      <w:r>
        <w:rPr>
          <w:color w:val="010202"/>
          <w:spacing w:val="-3"/>
          <w:sz w:val="22"/>
        </w:rPr>
        <w:t>be</w:t>
      </w:r>
      <w:r>
        <w:rPr>
          <w:color w:val="010202"/>
          <w:spacing w:val="-10"/>
          <w:sz w:val="22"/>
        </w:rPr>
        <w:t> </w:t>
      </w:r>
      <w:r>
        <w:rPr>
          <w:color w:val="010202"/>
          <w:spacing w:val="-3"/>
          <w:sz w:val="22"/>
        </w:rPr>
        <w:t>measured</w:t>
      </w:r>
    </w:p>
    <w:p>
      <w:pPr>
        <w:pStyle w:val="BodyText"/>
        <w:spacing w:before="26"/>
        <w:ind w:left="839"/>
      </w:pPr>
      <w:r>
        <w:rPr>
          <w:color w:val="010202"/>
          <w:spacing w:val="-4"/>
        </w:rPr>
        <w:t>using</w:t>
      </w:r>
      <w:r>
        <w:rPr>
          <w:color w:val="010202"/>
          <w:spacing w:val="-10"/>
        </w:rPr>
        <w:t> </w:t>
      </w:r>
      <w:r>
        <w:rPr>
          <w:color w:val="010202"/>
          <w:spacing w:val="-4"/>
        </w:rPr>
        <w:t>tools</w:t>
      </w:r>
      <w:r>
        <w:rPr>
          <w:color w:val="010202"/>
          <w:spacing w:val="-9"/>
        </w:rPr>
        <w:t> </w:t>
      </w:r>
      <w:r>
        <w:rPr>
          <w:color w:val="010202"/>
          <w:spacing w:val="-3"/>
        </w:rPr>
        <w:t>identified</w:t>
      </w:r>
      <w:r>
        <w:rPr>
          <w:color w:val="010202"/>
          <w:spacing w:val="-10"/>
        </w:rPr>
        <w:t> </w:t>
      </w:r>
      <w:r>
        <w:rPr>
          <w:color w:val="010202"/>
          <w:spacing w:val="-3"/>
        </w:rPr>
        <w:t>in</w:t>
      </w:r>
      <w:r>
        <w:rPr>
          <w:color w:val="010202"/>
          <w:spacing w:val="-9"/>
        </w:rPr>
        <w:t> </w:t>
      </w:r>
      <w:r>
        <w:rPr>
          <w:color w:val="010202"/>
          <w:spacing w:val="-3"/>
        </w:rPr>
        <w:t>Chapter</w:t>
      </w:r>
      <w:r>
        <w:rPr>
          <w:color w:val="010202"/>
          <w:spacing w:val="-9"/>
        </w:rPr>
        <w:t> </w:t>
      </w:r>
      <w:r>
        <w:rPr>
          <w:color w:val="010202"/>
          <w:spacing w:val="-3"/>
        </w:rPr>
        <w:t>5)</w:t>
      </w:r>
    </w:p>
    <w:p>
      <w:pPr>
        <w:pStyle w:val="ListParagraph"/>
        <w:numPr>
          <w:ilvl w:val="1"/>
          <w:numId w:val="5"/>
        </w:numPr>
        <w:tabs>
          <w:tab w:pos="839" w:val="left" w:leader="none"/>
          <w:tab w:pos="840" w:val="left" w:leader="none"/>
        </w:tabs>
        <w:spacing w:line="264" w:lineRule="auto" w:before="58" w:after="0"/>
        <w:ind w:left="839" w:right="194" w:hanging="360"/>
        <w:jc w:val="left"/>
        <w:rPr>
          <w:rFonts w:ascii="Symbol" w:hAnsi="Symbol"/>
          <w:color w:val="010202"/>
          <w:sz w:val="22"/>
        </w:rPr>
      </w:pPr>
      <w:r>
        <w:rPr>
          <w:color w:val="010202"/>
          <w:sz w:val="22"/>
        </w:rPr>
        <w:t>A</w:t>
      </w:r>
      <w:r>
        <w:rPr>
          <w:color w:val="3953A4"/>
          <w:sz w:val="22"/>
        </w:rPr>
        <w:t> </w:t>
      </w:r>
      <w:hyperlink r:id="rId236">
        <w:r>
          <w:rPr>
            <w:color w:val="3953A4"/>
            <w:sz w:val="22"/>
            <w:u w:val="single" w:color="3953A4"/>
          </w:rPr>
          <w:t>logic model</w:t>
        </w:r>
        <w:r>
          <w:rPr>
            <w:color w:val="3953A4"/>
            <w:sz w:val="22"/>
          </w:rPr>
          <w:t> </w:t>
        </w:r>
      </w:hyperlink>
      <w:r>
        <w:rPr>
          <w:color w:val="010202"/>
          <w:sz w:val="22"/>
        </w:rPr>
        <w:t>(a graphic depiction of the</w:t>
      </w:r>
      <w:r>
        <w:rPr>
          <w:color w:val="010202"/>
          <w:spacing w:val="1"/>
          <w:sz w:val="22"/>
        </w:rPr>
        <w:t> </w:t>
      </w:r>
      <w:r>
        <w:rPr>
          <w:color w:val="010202"/>
          <w:sz w:val="22"/>
        </w:rPr>
        <w:t>relationship</w:t>
      </w:r>
      <w:r>
        <w:rPr>
          <w:color w:val="010202"/>
          <w:spacing w:val="-6"/>
          <w:sz w:val="22"/>
        </w:rPr>
        <w:t> </w:t>
      </w:r>
      <w:r>
        <w:rPr>
          <w:color w:val="010202"/>
          <w:sz w:val="22"/>
        </w:rPr>
        <w:t>between</w:t>
      </w:r>
      <w:r>
        <w:rPr>
          <w:color w:val="010202"/>
          <w:spacing w:val="-5"/>
          <w:sz w:val="22"/>
        </w:rPr>
        <w:t> </w:t>
      </w:r>
      <w:r>
        <w:rPr>
          <w:color w:val="010202"/>
          <w:sz w:val="22"/>
        </w:rPr>
        <w:t>a</w:t>
      </w:r>
      <w:r>
        <w:rPr>
          <w:color w:val="010202"/>
          <w:spacing w:val="-5"/>
          <w:sz w:val="22"/>
        </w:rPr>
        <w:t> </w:t>
      </w:r>
      <w:r>
        <w:rPr>
          <w:color w:val="010202"/>
          <w:sz w:val="22"/>
        </w:rPr>
        <w:t>program’s</w:t>
      </w:r>
      <w:r>
        <w:rPr>
          <w:color w:val="010202"/>
          <w:spacing w:val="-6"/>
          <w:sz w:val="22"/>
        </w:rPr>
        <w:t> </w:t>
      </w:r>
      <w:r>
        <w:rPr>
          <w:color w:val="010202"/>
          <w:sz w:val="22"/>
        </w:rPr>
        <w:t>activities</w:t>
      </w:r>
      <w:r>
        <w:rPr>
          <w:color w:val="010202"/>
          <w:spacing w:val="-5"/>
          <w:sz w:val="22"/>
        </w:rPr>
        <w:t> </w:t>
      </w:r>
      <w:r>
        <w:rPr>
          <w:color w:val="010202"/>
          <w:sz w:val="22"/>
        </w:rPr>
        <w:t>and</w:t>
      </w:r>
      <w:r>
        <w:rPr>
          <w:color w:val="010202"/>
          <w:spacing w:val="-52"/>
          <w:sz w:val="22"/>
        </w:rPr>
        <w:t> </w:t>
      </w:r>
      <w:r>
        <w:rPr>
          <w:color w:val="010202"/>
          <w:sz w:val="22"/>
        </w:rPr>
        <w:t>their expected outcomes)</w:t>
      </w:r>
    </w:p>
    <w:p>
      <w:pPr>
        <w:pStyle w:val="ListParagraph"/>
        <w:numPr>
          <w:ilvl w:val="1"/>
          <w:numId w:val="5"/>
        </w:numPr>
        <w:tabs>
          <w:tab w:pos="839" w:val="left" w:leader="none"/>
          <w:tab w:pos="840" w:val="left" w:leader="none"/>
        </w:tabs>
        <w:spacing w:line="240" w:lineRule="auto" w:before="34" w:after="0"/>
        <w:ind w:left="839" w:right="0" w:hanging="361"/>
        <w:jc w:val="left"/>
        <w:rPr>
          <w:rFonts w:ascii="Symbol" w:hAnsi="Symbol"/>
          <w:color w:val="010202"/>
          <w:sz w:val="22"/>
        </w:rPr>
      </w:pPr>
      <w:r>
        <w:rPr>
          <w:color w:val="010202"/>
          <w:sz w:val="22"/>
        </w:rPr>
        <w:t>Privacy,</w:t>
      </w:r>
      <w:r>
        <w:rPr>
          <w:color w:val="010202"/>
          <w:spacing w:val="-11"/>
          <w:sz w:val="22"/>
        </w:rPr>
        <w:t> </w:t>
      </w:r>
      <w:r>
        <w:rPr>
          <w:color w:val="010202"/>
          <w:sz w:val="22"/>
        </w:rPr>
        <w:t>security,</w:t>
      </w:r>
      <w:r>
        <w:rPr>
          <w:color w:val="010202"/>
          <w:spacing w:val="-10"/>
          <w:sz w:val="22"/>
        </w:rPr>
        <w:t> </w:t>
      </w:r>
      <w:r>
        <w:rPr>
          <w:color w:val="010202"/>
          <w:sz w:val="22"/>
        </w:rPr>
        <w:t>and</w:t>
      </w:r>
      <w:r>
        <w:rPr>
          <w:color w:val="010202"/>
          <w:spacing w:val="-10"/>
          <w:sz w:val="22"/>
        </w:rPr>
        <w:t> </w:t>
      </w:r>
      <w:r>
        <w:rPr>
          <w:color w:val="010202"/>
          <w:sz w:val="22"/>
        </w:rPr>
        <w:t>confidentiality</w:t>
      </w:r>
      <w:r>
        <w:rPr>
          <w:color w:val="010202"/>
          <w:spacing w:val="-11"/>
          <w:sz w:val="22"/>
        </w:rPr>
        <w:t> </w:t>
      </w:r>
      <w:r>
        <w:rPr>
          <w:color w:val="010202"/>
          <w:sz w:val="22"/>
        </w:rPr>
        <w:t>procedures</w:t>
      </w:r>
    </w:p>
    <w:p>
      <w:pPr>
        <w:spacing w:line="249" w:lineRule="auto" w:before="184"/>
        <w:ind w:left="120" w:right="677" w:firstLine="0"/>
        <w:jc w:val="left"/>
        <w:rPr>
          <w:rFonts w:ascii="Arial"/>
          <w:b/>
          <w:sz w:val="20"/>
        </w:rPr>
      </w:pPr>
      <w:r>
        <w:rPr>
          <w:rFonts w:ascii="Arial"/>
          <w:b/>
          <w:color w:val="010202"/>
          <w:sz w:val="20"/>
        </w:rPr>
        <w:t>Strategies for boosting internal readiness and</w:t>
      </w:r>
      <w:r>
        <w:rPr>
          <w:rFonts w:ascii="Arial"/>
          <w:b/>
          <w:color w:val="010202"/>
          <w:spacing w:val="-54"/>
          <w:sz w:val="20"/>
        </w:rPr>
        <w:t> </w:t>
      </w:r>
      <w:r>
        <w:rPr>
          <w:rFonts w:ascii="Arial"/>
          <w:b/>
          <w:color w:val="010202"/>
          <w:sz w:val="20"/>
        </w:rPr>
        <w:t>workforce capacity to participate in telehealth</w:t>
      </w:r>
    </w:p>
    <w:p>
      <w:pPr>
        <w:pStyle w:val="ListParagraph"/>
        <w:numPr>
          <w:ilvl w:val="1"/>
          <w:numId w:val="5"/>
        </w:numPr>
        <w:tabs>
          <w:tab w:pos="839" w:val="left" w:leader="none"/>
          <w:tab w:pos="840" w:val="left" w:leader="none"/>
        </w:tabs>
        <w:spacing w:line="266" w:lineRule="auto" w:before="168" w:after="0"/>
        <w:ind w:left="839" w:right="96" w:hanging="360"/>
        <w:jc w:val="left"/>
        <w:rPr>
          <w:rFonts w:ascii="Symbol" w:hAnsi="Symbol"/>
          <w:color w:val="010202"/>
          <w:sz w:val="22"/>
        </w:rPr>
      </w:pPr>
      <w:r>
        <w:rPr>
          <w:b/>
          <w:color w:val="010202"/>
          <w:sz w:val="22"/>
        </w:rPr>
        <w:t>Identify a program champion </w:t>
      </w:r>
      <w:r>
        <w:rPr>
          <w:color w:val="010202"/>
          <w:sz w:val="22"/>
        </w:rPr>
        <w:t>– Program</w:t>
      </w:r>
      <w:r>
        <w:rPr>
          <w:color w:val="010202"/>
          <w:spacing w:val="1"/>
          <w:sz w:val="22"/>
        </w:rPr>
        <w:t> </w:t>
      </w:r>
      <w:r>
        <w:rPr>
          <w:color w:val="010202"/>
          <w:sz w:val="22"/>
        </w:rPr>
        <w:t>champions can serve a variety of roles in the</w:t>
      </w:r>
      <w:r>
        <w:rPr>
          <w:color w:val="010202"/>
          <w:spacing w:val="1"/>
          <w:sz w:val="22"/>
        </w:rPr>
        <w:t> </w:t>
      </w:r>
      <w:r>
        <w:rPr>
          <w:color w:val="010202"/>
          <w:sz w:val="22"/>
        </w:rPr>
        <w:t>clinic (e.g., providers, telehealth coordinators,</w:t>
      </w:r>
      <w:r>
        <w:rPr>
          <w:color w:val="010202"/>
          <w:spacing w:val="1"/>
          <w:sz w:val="22"/>
        </w:rPr>
        <w:t> </w:t>
      </w:r>
      <w:r>
        <w:rPr>
          <w:color w:val="010202"/>
          <w:sz w:val="22"/>
        </w:rPr>
        <w:t>leadership), but as champions they can advocate</w:t>
      </w:r>
      <w:r>
        <w:rPr>
          <w:color w:val="010202"/>
          <w:spacing w:val="-52"/>
          <w:sz w:val="22"/>
        </w:rPr>
        <w:t> </w:t>
      </w:r>
      <w:r>
        <w:rPr>
          <w:color w:val="010202"/>
          <w:sz w:val="22"/>
        </w:rPr>
        <w:t>for telehealth to leadership, provide formal and</w:t>
      </w:r>
      <w:r>
        <w:rPr>
          <w:color w:val="010202"/>
          <w:spacing w:val="1"/>
          <w:sz w:val="22"/>
        </w:rPr>
        <w:t> </w:t>
      </w:r>
      <w:r>
        <w:rPr>
          <w:color w:val="010202"/>
          <w:sz w:val="22"/>
        </w:rPr>
        <w:t>informal training on telehealth, and identify</w:t>
      </w:r>
      <w:r>
        <w:rPr>
          <w:color w:val="010202"/>
          <w:spacing w:val="1"/>
          <w:sz w:val="22"/>
        </w:rPr>
        <w:t> </w:t>
      </w:r>
      <w:r>
        <w:rPr>
          <w:color w:val="010202"/>
          <w:sz w:val="22"/>
        </w:rPr>
        <w:t>challenges</w:t>
      </w:r>
      <w:r>
        <w:rPr>
          <w:color w:val="010202"/>
          <w:spacing w:val="-1"/>
          <w:sz w:val="22"/>
        </w:rPr>
        <w:t> </w:t>
      </w:r>
      <w:r>
        <w:rPr>
          <w:color w:val="010202"/>
          <w:sz w:val="22"/>
        </w:rPr>
        <w:t>and propose solutions.</w:t>
      </w:r>
      <w:r>
        <w:rPr>
          <w:color w:val="010202"/>
          <w:sz w:val="22"/>
          <w:vertAlign w:val="superscript"/>
        </w:rPr>
        <w:t>3</w:t>
      </w:r>
    </w:p>
    <w:p>
      <w:pPr>
        <w:pStyle w:val="ListParagraph"/>
        <w:numPr>
          <w:ilvl w:val="1"/>
          <w:numId w:val="5"/>
        </w:numPr>
        <w:tabs>
          <w:tab w:pos="839" w:val="left" w:leader="none"/>
          <w:tab w:pos="840" w:val="left" w:leader="none"/>
        </w:tabs>
        <w:spacing w:line="264" w:lineRule="auto" w:before="23" w:after="0"/>
        <w:ind w:left="839" w:right="579" w:hanging="360"/>
        <w:jc w:val="left"/>
        <w:rPr>
          <w:rFonts w:ascii="Symbol" w:hAnsi="Symbol"/>
          <w:color w:val="010202"/>
          <w:sz w:val="22"/>
        </w:rPr>
      </w:pPr>
      <w:r>
        <w:rPr>
          <w:b/>
          <w:color w:val="010202"/>
          <w:sz w:val="22"/>
        </w:rPr>
        <w:t>Training and capacity-building </w:t>
      </w:r>
      <w:r>
        <w:rPr>
          <w:color w:val="010202"/>
          <w:sz w:val="22"/>
        </w:rPr>
        <w:t>– When</w:t>
      </w:r>
      <w:r>
        <w:rPr>
          <w:color w:val="010202"/>
          <w:spacing w:val="1"/>
          <w:sz w:val="22"/>
        </w:rPr>
        <w:t> </w:t>
      </w:r>
      <w:r>
        <w:rPr>
          <w:color w:val="010202"/>
          <w:sz w:val="22"/>
        </w:rPr>
        <w:t>possible, provide protected time to support</w:t>
      </w:r>
      <w:r>
        <w:rPr>
          <w:color w:val="010202"/>
          <w:spacing w:val="-52"/>
          <w:sz w:val="22"/>
        </w:rPr>
        <w:t> </w:t>
      </w:r>
      <w:r>
        <w:rPr>
          <w:color w:val="010202"/>
          <w:sz w:val="22"/>
        </w:rPr>
        <w:t>implementation training.</w:t>
      </w:r>
      <w:r>
        <w:rPr>
          <w:color w:val="010202"/>
          <w:sz w:val="22"/>
          <w:vertAlign w:val="superscript"/>
        </w:rPr>
        <w:t>36</w:t>
      </w:r>
      <w:r>
        <w:rPr>
          <w:color w:val="010202"/>
          <w:sz w:val="22"/>
          <w:vertAlign w:val="baseline"/>
        </w:rPr>
        <w:t> Training and</w:t>
      </w:r>
      <w:r>
        <w:rPr>
          <w:color w:val="010202"/>
          <w:spacing w:val="1"/>
          <w:sz w:val="22"/>
          <w:vertAlign w:val="baseline"/>
        </w:rPr>
        <w:t> </w:t>
      </w:r>
      <w:r>
        <w:rPr>
          <w:color w:val="010202"/>
          <w:sz w:val="22"/>
          <w:vertAlign w:val="baseline"/>
        </w:rPr>
        <w:t>capacity-building</w:t>
      </w:r>
      <w:r>
        <w:rPr>
          <w:color w:val="010202"/>
          <w:spacing w:val="-3"/>
          <w:sz w:val="22"/>
          <w:vertAlign w:val="baseline"/>
        </w:rPr>
        <w:t> </w:t>
      </w:r>
      <w:r>
        <w:rPr>
          <w:color w:val="010202"/>
          <w:sz w:val="22"/>
          <w:vertAlign w:val="baseline"/>
        </w:rPr>
        <w:t>efforts</w:t>
      </w:r>
      <w:r>
        <w:rPr>
          <w:color w:val="010202"/>
          <w:spacing w:val="-2"/>
          <w:sz w:val="22"/>
          <w:vertAlign w:val="baseline"/>
        </w:rPr>
        <w:t> </w:t>
      </w:r>
      <w:r>
        <w:rPr>
          <w:color w:val="010202"/>
          <w:sz w:val="22"/>
          <w:vertAlign w:val="baseline"/>
        </w:rPr>
        <w:t>should</w:t>
      </w:r>
      <w:r>
        <w:rPr>
          <w:color w:val="010202"/>
          <w:spacing w:val="-3"/>
          <w:sz w:val="22"/>
          <w:vertAlign w:val="baseline"/>
        </w:rPr>
        <w:t> </w:t>
      </w:r>
      <w:r>
        <w:rPr>
          <w:color w:val="010202"/>
          <w:sz w:val="22"/>
          <w:vertAlign w:val="baseline"/>
        </w:rPr>
        <w:t>engage</w:t>
      </w:r>
    </w:p>
    <w:p>
      <w:pPr>
        <w:pStyle w:val="BodyText"/>
        <w:spacing w:before="4"/>
        <w:ind w:left="839"/>
      </w:pPr>
      <w:r>
        <w:rPr>
          <w:color w:val="010202"/>
        </w:rPr>
        <w:t>all</w:t>
      </w:r>
      <w:r>
        <w:rPr>
          <w:color w:val="010202"/>
          <w:spacing w:val="-3"/>
        </w:rPr>
        <w:t> </w:t>
      </w:r>
      <w:r>
        <w:rPr>
          <w:color w:val="010202"/>
        </w:rPr>
        <w:t>involved</w:t>
      </w:r>
      <w:r>
        <w:rPr>
          <w:color w:val="010202"/>
          <w:spacing w:val="-2"/>
        </w:rPr>
        <w:t> </w:t>
      </w:r>
      <w:r>
        <w:rPr>
          <w:color w:val="010202"/>
        </w:rPr>
        <w:t>staff</w:t>
      </w:r>
      <w:r>
        <w:rPr>
          <w:color w:val="010202"/>
          <w:spacing w:val="-4"/>
        </w:rPr>
        <w:t> </w:t>
      </w:r>
      <w:r>
        <w:rPr>
          <w:color w:val="010202"/>
        </w:rPr>
        <w:t>and</w:t>
      </w:r>
      <w:r>
        <w:rPr>
          <w:color w:val="010202"/>
          <w:spacing w:val="-2"/>
        </w:rPr>
        <w:t> </w:t>
      </w:r>
      <w:r>
        <w:rPr>
          <w:color w:val="010202"/>
        </w:rPr>
        <w:t>partners,</w:t>
      </w:r>
      <w:r>
        <w:rPr>
          <w:color w:val="010202"/>
          <w:spacing w:val="-3"/>
        </w:rPr>
        <w:t> </w:t>
      </w:r>
      <w:r>
        <w:rPr>
          <w:color w:val="010202"/>
        </w:rPr>
        <w:t>and</w:t>
      </w:r>
      <w:r>
        <w:rPr>
          <w:color w:val="010202"/>
          <w:spacing w:val="-2"/>
        </w:rPr>
        <w:t> </w:t>
      </w:r>
      <w:r>
        <w:rPr>
          <w:color w:val="010202"/>
        </w:rPr>
        <w:t>include</w:t>
      </w:r>
    </w:p>
    <w:p>
      <w:pPr>
        <w:pStyle w:val="BodyText"/>
        <w:spacing w:before="27"/>
        <w:ind w:left="839"/>
      </w:pPr>
      <w:r>
        <w:rPr>
          <w:color w:val="010202"/>
        </w:rPr>
        <w:t>information about the following:</w:t>
      </w:r>
    </w:p>
    <w:p>
      <w:pPr>
        <w:pStyle w:val="ListParagraph"/>
        <w:numPr>
          <w:ilvl w:val="2"/>
          <w:numId w:val="5"/>
        </w:numPr>
        <w:tabs>
          <w:tab w:pos="1199" w:val="left" w:leader="none"/>
          <w:tab w:pos="1200" w:val="left" w:leader="none"/>
        </w:tabs>
        <w:spacing w:line="249" w:lineRule="auto" w:before="43" w:after="0"/>
        <w:ind w:left="1199" w:right="38" w:hanging="360"/>
        <w:jc w:val="left"/>
        <w:rPr>
          <w:sz w:val="22"/>
        </w:rPr>
      </w:pPr>
      <w:r>
        <w:rPr>
          <w:color w:val="010202"/>
          <w:sz w:val="22"/>
        </w:rPr>
        <w:t>Changing workflows (e.g., processes for</w:t>
      </w:r>
      <w:r>
        <w:rPr>
          <w:color w:val="010202"/>
          <w:spacing w:val="1"/>
          <w:sz w:val="22"/>
        </w:rPr>
        <w:t> </w:t>
      </w:r>
      <w:r>
        <w:rPr>
          <w:color w:val="010202"/>
          <w:sz w:val="22"/>
        </w:rPr>
        <w:t>intake, scheduling, and documenting visits)</w:t>
      </w:r>
      <w:r>
        <w:rPr>
          <w:color w:val="010202"/>
          <w:spacing w:val="1"/>
          <w:sz w:val="22"/>
        </w:rPr>
        <w:t> </w:t>
      </w:r>
      <w:r>
        <w:rPr>
          <w:color w:val="010202"/>
          <w:spacing w:val="-1"/>
          <w:sz w:val="22"/>
        </w:rPr>
        <w:t>and the HIPAA (Health Insurance Portability</w:t>
      </w:r>
      <w:r>
        <w:rPr>
          <w:color w:val="010202"/>
          <w:spacing w:val="-52"/>
          <w:sz w:val="22"/>
        </w:rPr>
        <w:t> </w:t>
      </w:r>
      <w:r>
        <w:rPr>
          <w:color w:val="010202"/>
          <w:sz w:val="22"/>
        </w:rPr>
        <w:t>and Accountability Act)-approved</w:t>
      </w:r>
      <w:r>
        <w:rPr>
          <w:color w:val="010202"/>
          <w:spacing w:val="1"/>
          <w:sz w:val="22"/>
        </w:rPr>
        <w:t> </w:t>
      </w:r>
      <w:r>
        <w:rPr>
          <w:color w:val="010202"/>
          <w:sz w:val="22"/>
        </w:rPr>
        <w:t>technology used.</w:t>
      </w:r>
    </w:p>
    <w:p>
      <w:pPr>
        <w:pStyle w:val="ListParagraph"/>
        <w:numPr>
          <w:ilvl w:val="2"/>
          <w:numId w:val="5"/>
        </w:numPr>
        <w:tabs>
          <w:tab w:pos="1199" w:val="left" w:leader="none"/>
          <w:tab w:pos="1200" w:val="left" w:leader="none"/>
        </w:tabs>
        <w:spacing w:line="249" w:lineRule="auto" w:before="0" w:after="0"/>
        <w:ind w:left="1199" w:right="443" w:hanging="360"/>
        <w:jc w:val="left"/>
        <w:rPr>
          <w:sz w:val="22"/>
        </w:rPr>
      </w:pPr>
      <w:r>
        <w:rPr>
          <w:color w:val="010202"/>
          <w:sz w:val="22"/>
        </w:rPr>
        <w:t>Educating providers on the evidence-</w:t>
      </w:r>
      <w:r>
        <w:rPr>
          <w:color w:val="010202"/>
          <w:spacing w:val="1"/>
          <w:sz w:val="22"/>
        </w:rPr>
        <w:t> </w:t>
      </w:r>
      <w:r>
        <w:rPr>
          <w:color w:val="010202"/>
          <w:sz w:val="22"/>
        </w:rPr>
        <w:t>base for telehealth to increase provider</w:t>
      </w:r>
      <w:r>
        <w:rPr>
          <w:color w:val="010202"/>
          <w:spacing w:val="1"/>
          <w:sz w:val="22"/>
        </w:rPr>
        <w:t> </w:t>
      </w:r>
      <w:r>
        <w:rPr>
          <w:color w:val="010202"/>
          <w:sz w:val="22"/>
        </w:rPr>
        <w:t>and</w:t>
      </w:r>
      <w:r>
        <w:rPr>
          <w:color w:val="010202"/>
          <w:spacing w:val="-5"/>
          <w:sz w:val="22"/>
        </w:rPr>
        <w:t> </w:t>
      </w:r>
      <w:r>
        <w:rPr>
          <w:color w:val="010202"/>
          <w:sz w:val="22"/>
        </w:rPr>
        <w:t>organizational</w:t>
      </w:r>
      <w:r>
        <w:rPr>
          <w:color w:val="010202"/>
          <w:spacing w:val="-5"/>
          <w:sz w:val="22"/>
        </w:rPr>
        <w:t> </w:t>
      </w:r>
      <w:r>
        <w:rPr>
          <w:color w:val="010202"/>
          <w:sz w:val="22"/>
        </w:rPr>
        <w:t>buy-in</w:t>
      </w:r>
      <w:r>
        <w:rPr>
          <w:color w:val="010202"/>
          <w:spacing w:val="-5"/>
          <w:sz w:val="22"/>
        </w:rPr>
        <w:t> </w:t>
      </w:r>
      <w:r>
        <w:rPr>
          <w:color w:val="010202"/>
          <w:sz w:val="22"/>
        </w:rPr>
        <w:t>for</w:t>
      </w:r>
      <w:r>
        <w:rPr>
          <w:color w:val="010202"/>
          <w:spacing w:val="-4"/>
          <w:sz w:val="22"/>
        </w:rPr>
        <w:t> </w:t>
      </w:r>
      <w:r>
        <w:rPr>
          <w:color w:val="010202"/>
          <w:sz w:val="22"/>
        </w:rPr>
        <w:t>promoting</w:t>
      </w:r>
      <w:r>
        <w:rPr>
          <w:color w:val="010202"/>
          <w:spacing w:val="-52"/>
          <w:sz w:val="22"/>
        </w:rPr>
        <w:t> </w:t>
      </w:r>
      <w:r>
        <w:rPr>
          <w:color w:val="010202"/>
          <w:sz w:val="22"/>
        </w:rPr>
        <w:t>telehealth for clients.</w:t>
      </w:r>
    </w:p>
    <w:p>
      <w:pPr>
        <w:pStyle w:val="ListParagraph"/>
        <w:numPr>
          <w:ilvl w:val="2"/>
          <w:numId w:val="5"/>
        </w:numPr>
        <w:tabs>
          <w:tab w:pos="1199" w:val="left" w:leader="none"/>
          <w:tab w:pos="1200" w:val="left" w:leader="none"/>
        </w:tabs>
        <w:spacing w:line="249" w:lineRule="auto" w:before="0" w:after="0"/>
        <w:ind w:left="1199" w:right="434" w:hanging="360"/>
        <w:jc w:val="left"/>
        <w:rPr>
          <w:sz w:val="22"/>
        </w:rPr>
      </w:pPr>
      <w:r>
        <w:rPr>
          <w:color w:val="010202"/>
          <w:sz w:val="22"/>
        </w:rPr>
        <w:t>Messaging about the service and to set</w:t>
      </w:r>
      <w:r>
        <w:rPr>
          <w:color w:val="010202"/>
          <w:spacing w:val="1"/>
          <w:sz w:val="22"/>
        </w:rPr>
        <w:t> </w:t>
      </w:r>
      <w:r>
        <w:rPr>
          <w:color w:val="010202"/>
          <w:sz w:val="22"/>
        </w:rPr>
        <w:t>expectations</w:t>
      </w:r>
      <w:r>
        <w:rPr>
          <w:color w:val="010202"/>
          <w:spacing w:val="-6"/>
          <w:sz w:val="22"/>
        </w:rPr>
        <w:t> </w:t>
      </w:r>
      <w:r>
        <w:rPr>
          <w:color w:val="010202"/>
          <w:sz w:val="22"/>
        </w:rPr>
        <w:t>that</w:t>
      </w:r>
      <w:r>
        <w:rPr>
          <w:color w:val="010202"/>
          <w:spacing w:val="-6"/>
          <w:sz w:val="22"/>
        </w:rPr>
        <w:t> </w:t>
      </w:r>
      <w:r>
        <w:rPr>
          <w:color w:val="010202"/>
          <w:sz w:val="22"/>
        </w:rPr>
        <w:t>all</w:t>
      </w:r>
      <w:r>
        <w:rPr>
          <w:color w:val="010202"/>
          <w:spacing w:val="-5"/>
          <w:sz w:val="22"/>
        </w:rPr>
        <w:t> </w:t>
      </w:r>
      <w:r>
        <w:rPr>
          <w:color w:val="010202"/>
          <w:sz w:val="22"/>
        </w:rPr>
        <w:t>staff</w:t>
      </w:r>
      <w:r>
        <w:rPr>
          <w:color w:val="010202"/>
          <w:spacing w:val="-7"/>
          <w:sz w:val="22"/>
        </w:rPr>
        <w:t> </w:t>
      </w:r>
      <w:r>
        <w:rPr>
          <w:color w:val="010202"/>
          <w:sz w:val="22"/>
        </w:rPr>
        <w:t>should</w:t>
      </w:r>
      <w:r>
        <w:rPr>
          <w:color w:val="010202"/>
          <w:spacing w:val="-6"/>
          <w:sz w:val="22"/>
        </w:rPr>
        <w:t> </w:t>
      </w:r>
      <w:r>
        <w:rPr>
          <w:color w:val="010202"/>
          <w:sz w:val="22"/>
        </w:rPr>
        <w:t>support</w:t>
      </w:r>
      <w:r>
        <w:rPr>
          <w:color w:val="010202"/>
          <w:spacing w:val="-52"/>
          <w:sz w:val="22"/>
        </w:rPr>
        <w:t> </w:t>
      </w:r>
      <w:r>
        <w:rPr>
          <w:color w:val="010202"/>
          <w:sz w:val="22"/>
        </w:rPr>
        <w:t>telehealth.</w:t>
      </w:r>
      <w:r>
        <w:rPr>
          <w:color w:val="010202"/>
          <w:sz w:val="22"/>
          <w:vertAlign w:val="superscript"/>
        </w:rPr>
        <w:t>3</w:t>
      </w:r>
    </w:p>
    <w:p>
      <w:pPr>
        <w:pStyle w:val="ListParagraph"/>
        <w:numPr>
          <w:ilvl w:val="1"/>
          <w:numId w:val="5"/>
        </w:numPr>
        <w:tabs>
          <w:tab w:pos="839" w:val="left" w:leader="none"/>
          <w:tab w:pos="840" w:val="left" w:leader="none"/>
        </w:tabs>
        <w:spacing w:line="264" w:lineRule="auto" w:before="65" w:after="0"/>
        <w:ind w:left="839" w:right="230" w:hanging="360"/>
        <w:jc w:val="left"/>
        <w:rPr>
          <w:rFonts w:ascii="Symbol" w:hAnsi="Symbol"/>
          <w:color w:val="010202"/>
          <w:sz w:val="22"/>
        </w:rPr>
      </w:pPr>
      <w:r>
        <w:rPr>
          <w:b/>
          <w:color w:val="010202"/>
          <w:sz w:val="22"/>
        </w:rPr>
        <w:t>Create a pilot program </w:t>
      </w:r>
      <w:r>
        <w:rPr>
          <w:color w:val="010202"/>
          <w:sz w:val="22"/>
        </w:rPr>
        <w:t>– Motivated and</w:t>
      </w:r>
      <w:r>
        <w:rPr>
          <w:color w:val="010202"/>
          <w:spacing w:val="1"/>
          <w:sz w:val="22"/>
        </w:rPr>
        <w:t> </w:t>
      </w:r>
      <w:r>
        <w:rPr>
          <w:color w:val="010202"/>
          <w:sz w:val="22"/>
        </w:rPr>
        <w:t>engaged providers can test out implementation</w:t>
      </w:r>
      <w:r>
        <w:rPr>
          <w:color w:val="010202"/>
          <w:spacing w:val="-52"/>
          <w:sz w:val="22"/>
        </w:rPr>
        <w:t> </w:t>
      </w:r>
      <w:r>
        <w:rPr>
          <w:color w:val="010202"/>
          <w:sz w:val="22"/>
        </w:rPr>
        <w:t>tools and then share their lessons back with</w:t>
      </w:r>
      <w:r>
        <w:rPr>
          <w:color w:val="010202"/>
          <w:spacing w:val="1"/>
          <w:sz w:val="22"/>
        </w:rPr>
        <w:t> </w:t>
      </w:r>
      <w:r>
        <w:rPr>
          <w:color w:val="010202"/>
          <w:sz w:val="22"/>
        </w:rPr>
        <w:t>fellow providers.</w:t>
      </w:r>
      <w:r>
        <w:rPr>
          <w:color w:val="010202"/>
          <w:sz w:val="22"/>
          <w:vertAlign w:val="superscript"/>
        </w:rPr>
        <w:t>36</w:t>
      </w:r>
      <w:r>
        <w:rPr>
          <w:color w:val="010202"/>
          <w:sz w:val="22"/>
          <w:vertAlign w:val="baseline"/>
        </w:rPr>
        <w:t> Providers can also engage</w:t>
      </w:r>
      <w:r>
        <w:rPr>
          <w:color w:val="010202"/>
          <w:spacing w:val="1"/>
          <w:sz w:val="22"/>
          <w:vertAlign w:val="baseline"/>
        </w:rPr>
        <w:t> </w:t>
      </w:r>
      <w:r>
        <w:rPr>
          <w:color w:val="010202"/>
          <w:sz w:val="22"/>
          <w:vertAlign w:val="baseline"/>
        </w:rPr>
        <w:t>in</w:t>
      </w:r>
      <w:r>
        <w:rPr>
          <w:color w:val="010202"/>
          <w:spacing w:val="-1"/>
          <w:sz w:val="22"/>
          <w:vertAlign w:val="baseline"/>
        </w:rPr>
        <w:t> </w:t>
      </w:r>
      <w:r>
        <w:rPr>
          <w:color w:val="010202"/>
          <w:sz w:val="22"/>
          <w:vertAlign w:val="baseline"/>
        </w:rPr>
        <w:t>peer learning consultations to share lessons</w:t>
      </w:r>
    </w:p>
    <w:p>
      <w:pPr>
        <w:pStyle w:val="BodyText"/>
        <w:spacing w:line="266" w:lineRule="auto" w:before="91"/>
        <w:ind w:left="479" w:right="1020"/>
      </w:pPr>
      <w:r>
        <w:rPr/>
        <w:br w:type="column"/>
      </w:r>
      <w:r>
        <w:rPr>
          <w:color w:val="010202"/>
        </w:rPr>
        <w:t>learned and implementation strategies.</w:t>
      </w:r>
      <w:r>
        <w:rPr>
          <w:color w:val="010202"/>
          <w:spacing w:val="1"/>
        </w:rPr>
        <w:t> </w:t>
      </w:r>
      <w:r>
        <w:rPr>
          <w:color w:val="010202"/>
        </w:rPr>
        <w:t>According to the Diffusion of Innovation</w:t>
      </w:r>
      <w:r>
        <w:rPr>
          <w:color w:val="010202"/>
          <w:spacing w:val="1"/>
        </w:rPr>
        <w:t> </w:t>
      </w:r>
      <w:r>
        <w:rPr>
          <w:color w:val="010202"/>
        </w:rPr>
        <w:t>Theory,</w:t>
      </w:r>
      <w:r>
        <w:rPr>
          <w:color w:val="010202"/>
          <w:vertAlign w:val="superscript"/>
        </w:rPr>
        <w:t>37</w:t>
      </w:r>
      <w:r>
        <w:rPr>
          <w:color w:val="010202"/>
          <w:spacing w:val="-10"/>
          <w:vertAlign w:val="baseline"/>
        </w:rPr>
        <w:t> </w:t>
      </w:r>
      <w:r>
        <w:rPr>
          <w:color w:val="010202"/>
          <w:vertAlign w:val="baseline"/>
        </w:rPr>
        <w:t>these</w:t>
      </w:r>
      <w:r>
        <w:rPr>
          <w:color w:val="010202"/>
          <w:spacing w:val="-10"/>
          <w:vertAlign w:val="baseline"/>
        </w:rPr>
        <w:t> </w:t>
      </w:r>
      <w:r>
        <w:rPr>
          <w:color w:val="010202"/>
          <w:vertAlign w:val="baseline"/>
        </w:rPr>
        <w:t>innovators</w:t>
      </w:r>
      <w:r>
        <w:rPr>
          <w:color w:val="010202"/>
          <w:spacing w:val="-10"/>
          <w:vertAlign w:val="baseline"/>
        </w:rPr>
        <w:t> </w:t>
      </w:r>
      <w:r>
        <w:rPr>
          <w:color w:val="010202"/>
          <w:vertAlign w:val="baseline"/>
        </w:rPr>
        <w:t>can</w:t>
      </w:r>
      <w:r>
        <w:rPr>
          <w:color w:val="010202"/>
          <w:spacing w:val="-10"/>
          <w:vertAlign w:val="baseline"/>
        </w:rPr>
        <w:t> </w:t>
      </w:r>
      <w:r>
        <w:rPr>
          <w:color w:val="010202"/>
          <w:vertAlign w:val="baseline"/>
        </w:rPr>
        <w:t>influence</w:t>
      </w:r>
      <w:r>
        <w:rPr>
          <w:color w:val="010202"/>
          <w:spacing w:val="-9"/>
          <w:vertAlign w:val="baseline"/>
        </w:rPr>
        <w:t> </w:t>
      </w:r>
      <w:r>
        <w:rPr>
          <w:color w:val="010202"/>
          <w:vertAlign w:val="baseline"/>
        </w:rPr>
        <w:t>early</w:t>
      </w:r>
      <w:r>
        <w:rPr>
          <w:color w:val="010202"/>
          <w:spacing w:val="-52"/>
          <w:vertAlign w:val="baseline"/>
        </w:rPr>
        <w:t> </w:t>
      </w:r>
      <w:r>
        <w:rPr>
          <w:color w:val="010202"/>
          <w:vertAlign w:val="baseline"/>
        </w:rPr>
        <w:t>adopters who can influence the majority of</w:t>
      </w:r>
      <w:r>
        <w:rPr>
          <w:color w:val="010202"/>
          <w:spacing w:val="1"/>
          <w:vertAlign w:val="baseline"/>
        </w:rPr>
        <w:t> </w:t>
      </w:r>
      <w:r>
        <w:rPr>
          <w:color w:val="010202"/>
          <w:vertAlign w:val="baseline"/>
        </w:rPr>
        <w:t>providers.</w:t>
      </w:r>
    </w:p>
    <w:p>
      <w:pPr>
        <w:pStyle w:val="ListParagraph"/>
        <w:numPr>
          <w:ilvl w:val="0"/>
          <w:numId w:val="5"/>
        </w:numPr>
        <w:tabs>
          <w:tab w:pos="479" w:val="left" w:leader="none"/>
          <w:tab w:pos="480" w:val="left" w:leader="none"/>
        </w:tabs>
        <w:spacing w:line="266" w:lineRule="auto" w:before="27" w:after="0"/>
        <w:ind w:left="479" w:right="980" w:hanging="360"/>
        <w:jc w:val="left"/>
        <w:rPr>
          <w:sz w:val="22"/>
        </w:rPr>
      </w:pPr>
      <w:r>
        <w:rPr>
          <w:b/>
          <w:color w:val="010202"/>
          <w:sz w:val="22"/>
        </w:rPr>
        <w:t>Engage clinical staff to support telehealth </w:t>
      </w:r>
      <w:r>
        <w:rPr>
          <w:color w:val="010202"/>
          <w:sz w:val="22"/>
        </w:rPr>
        <w:t>–</w:t>
      </w:r>
      <w:r>
        <w:rPr>
          <w:color w:val="010202"/>
          <w:spacing w:val="-52"/>
          <w:sz w:val="22"/>
        </w:rPr>
        <w:t> </w:t>
      </w:r>
      <w:r>
        <w:rPr>
          <w:color w:val="010202"/>
          <w:sz w:val="22"/>
        </w:rPr>
        <w:t>Staff at all levels will need to be engaged to</w:t>
      </w:r>
      <w:r>
        <w:rPr>
          <w:color w:val="010202"/>
          <w:spacing w:val="1"/>
          <w:sz w:val="22"/>
        </w:rPr>
        <w:t> </w:t>
      </w:r>
      <w:r>
        <w:rPr>
          <w:color w:val="010202"/>
          <w:sz w:val="22"/>
        </w:rPr>
        <w:t>effectively</w:t>
      </w:r>
      <w:r>
        <w:rPr>
          <w:color w:val="010202"/>
          <w:spacing w:val="-9"/>
          <w:sz w:val="22"/>
        </w:rPr>
        <w:t> </w:t>
      </w:r>
      <w:r>
        <w:rPr>
          <w:color w:val="010202"/>
          <w:sz w:val="22"/>
        </w:rPr>
        <w:t>implement</w:t>
      </w:r>
      <w:r>
        <w:rPr>
          <w:color w:val="010202"/>
          <w:spacing w:val="-8"/>
          <w:sz w:val="22"/>
        </w:rPr>
        <w:t> </w:t>
      </w:r>
      <w:r>
        <w:rPr>
          <w:color w:val="010202"/>
          <w:sz w:val="22"/>
        </w:rPr>
        <w:t>telehealth</w:t>
      </w:r>
      <w:r>
        <w:rPr>
          <w:color w:val="010202"/>
          <w:spacing w:val="-8"/>
          <w:sz w:val="22"/>
        </w:rPr>
        <w:t> </w:t>
      </w:r>
      <w:r>
        <w:rPr>
          <w:color w:val="010202"/>
          <w:sz w:val="22"/>
        </w:rPr>
        <w:t>technologies.</w:t>
      </w:r>
      <w:r>
        <w:rPr>
          <w:color w:val="010202"/>
          <w:spacing w:val="-52"/>
          <w:sz w:val="22"/>
        </w:rPr>
        <w:t> </w:t>
      </w:r>
      <w:r>
        <w:rPr>
          <w:color w:val="010202"/>
          <w:sz w:val="22"/>
        </w:rPr>
        <w:t>When a broad range of team members are</w:t>
      </w:r>
      <w:r>
        <w:rPr>
          <w:color w:val="010202"/>
          <w:spacing w:val="1"/>
          <w:sz w:val="22"/>
        </w:rPr>
        <w:t> </w:t>
      </w:r>
      <w:r>
        <w:rPr>
          <w:color w:val="010202"/>
          <w:sz w:val="22"/>
        </w:rPr>
        <w:t>trained, teams can maintain continuity when a</w:t>
      </w:r>
      <w:r>
        <w:rPr>
          <w:color w:val="010202"/>
          <w:spacing w:val="-52"/>
          <w:sz w:val="22"/>
        </w:rPr>
        <w:t> </w:t>
      </w:r>
      <w:r>
        <w:rPr>
          <w:color w:val="010202"/>
          <w:sz w:val="22"/>
        </w:rPr>
        <w:t>team</w:t>
      </w:r>
      <w:r>
        <w:rPr>
          <w:color w:val="010202"/>
          <w:spacing w:val="-1"/>
          <w:sz w:val="22"/>
        </w:rPr>
        <w:t> </w:t>
      </w:r>
      <w:r>
        <w:rPr>
          <w:color w:val="010202"/>
          <w:sz w:val="22"/>
        </w:rPr>
        <w:t>member</w:t>
      </w:r>
      <w:r>
        <w:rPr>
          <w:color w:val="010202"/>
          <w:spacing w:val="-1"/>
          <w:sz w:val="22"/>
        </w:rPr>
        <w:t> </w:t>
      </w:r>
      <w:r>
        <w:rPr>
          <w:color w:val="010202"/>
          <w:sz w:val="22"/>
        </w:rPr>
        <w:t>is</w:t>
      </w:r>
      <w:r>
        <w:rPr>
          <w:color w:val="010202"/>
          <w:spacing w:val="-1"/>
          <w:sz w:val="22"/>
        </w:rPr>
        <w:t> </w:t>
      </w:r>
      <w:r>
        <w:rPr>
          <w:color w:val="010202"/>
          <w:sz w:val="22"/>
        </w:rPr>
        <w:t>on leave</w:t>
      </w:r>
      <w:r>
        <w:rPr>
          <w:color w:val="010202"/>
          <w:spacing w:val="-1"/>
          <w:sz w:val="22"/>
        </w:rPr>
        <w:t> </w:t>
      </w:r>
      <w:r>
        <w:rPr>
          <w:color w:val="010202"/>
          <w:sz w:val="22"/>
        </w:rPr>
        <w:t>or</w:t>
      </w:r>
      <w:r>
        <w:rPr>
          <w:color w:val="010202"/>
          <w:spacing w:val="-1"/>
          <w:sz w:val="22"/>
        </w:rPr>
        <w:t> </w:t>
      </w:r>
      <w:r>
        <w:rPr>
          <w:color w:val="010202"/>
          <w:sz w:val="22"/>
        </w:rPr>
        <w:t>absent.</w:t>
      </w:r>
      <w:r>
        <w:rPr>
          <w:color w:val="010202"/>
          <w:sz w:val="22"/>
          <w:vertAlign w:val="superscript"/>
        </w:rPr>
        <w:t>38</w:t>
      </w:r>
    </w:p>
    <w:p>
      <w:pPr>
        <w:pStyle w:val="ListParagraph"/>
        <w:numPr>
          <w:ilvl w:val="0"/>
          <w:numId w:val="60"/>
        </w:numPr>
        <w:tabs>
          <w:tab w:pos="839" w:val="left" w:leader="none"/>
          <w:tab w:pos="840" w:val="left" w:leader="none"/>
        </w:tabs>
        <w:spacing w:line="249" w:lineRule="auto" w:before="7" w:after="0"/>
        <w:ind w:left="839" w:right="768" w:hanging="360"/>
        <w:jc w:val="left"/>
        <w:rPr>
          <w:sz w:val="22"/>
        </w:rPr>
      </w:pPr>
      <w:r>
        <w:rPr>
          <w:color w:val="010202"/>
          <w:sz w:val="22"/>
        </w:rPr>
        <w:t>Telehealth coordinators or trained medical</w:t>
      </w:r>
      <w:r>
        <w:rPr>
          <w:color w:val="010202"/>
          <w:spacing w:val="1"/>
          <w:sz w:val="22"/>
        </w:rPr>
        <w:t> </w:t>
      </w:r>
      <w:r>
        <w:rPr>
          <w:color w:val="010202"/>
          <w:sz w:val="22"/>
        </w:rPr>
        <w:t>assistants can schedule and provide</w:t>
      </w:r>
      <w:r>
        <w:rPr>
          <w:color w:val="010202"/>
          <w:spacing w:val="1"/>
          <w:sz w:val="22"/>
        </w:rPr>
        <w:t> </w:t>
      </w:r>
      <w:r>
        <w:rPr>
          <w:color w:val="010202"/>
          <w:sz w:val="22"/>
        </w:rPr>
        <w:t>reminders for telehealth visits, improving</w:t>
      </w:r>
      <w:r>
        <w:rPr>
          <w:color w:val="010202"/>
          <w:spacing w:val="1"/>
          <w:sz w:val="22"/>
        </w:rPr>
        <w:t> </w:t>
      </w:r>
      <w:r>
        <w:rPr>
          <w:color w:val="010202"/>
          <w:sz w:val="22"/>
        </w:rPr>
        <w:t>no-show rates, and provide needed technical</w:t>
      </w:r>
      <w:r>
        <w:rPr>
          <w:color w:val="010202"/>
          <w:spacing w:val="-52"/>
          <w:sz w:val="22"/>
        </w:rPr>
        <w:t> </w:t>
      </w:r>
      <w:r>
        <w:rPr>
          <w:color w:val="010202"/>
          <w:sz w:val="22"/>
        </w:rPr>
        <w:t>assistance</w:t>
      </w:r>
      <w:r>
        <w:rPr>
          <w:color w:val="010202"/>
          <w:spacing w:val="-1"/>
          <w:sz w:val="22"/>
        </w:rPr>
        <w:t> </w:t>
      </w:r>
      <w:r>
        <w:rPr>
          <w:color w:val="010202"/>
          <w:sz w:val="22"/>
        </w:rPr>
        <w:t>to clients.</w:t>
      </w:r>
      <w:r>
        <w:rPr>
          <w:color w:val="010202"/>
          <w:sz w:val="22"/>
          <w:vertAlign w:val="superscript"/>
        </w:rPr>
        <w:t>38</w:t>
      </w:r>
    </w:p>
    <w:p>
      <w:pPr>
        <w:pStyle w:val="ListParagraph"/>
        <w:numPr>
          <w:ilvl w:val="0"/>
          <w:numId w:val="60"/>
        </w:numPr>
        <w:tabs>
          <w:tab w:pos="839" w:val="left" w:leader="none"/>
          <w:tab w:pos="840" w:val="left" w:leader="none"/>
        </w:tabs>
        <w:spacing w:line="249" w:lineRule="auto" w:before="0" w:after="0"/>
        <w:ind w:left="839" w:right="1125" w:hanging="360"/>
        <w:jc w:val="left"/>
        <w:rPr>
          <w:sz w:val="22"/>
        </w:rPr>
      </w:pPr>
      <w:r>
        <w:rPr>
          <w:color w:val="010202"/>
          <w:spacing w:val="-1"/>
          <w:sz w:val="22"/>
        </w:rPr>
        <w:t>Engaging clinical staff in ongoing</w:t>
      </w:r>
      <w:r>
        <w:rPr>
          <w:color w:val="010202"/>
          <w:sz w:val="22"/>
        </w:rPr>
        <w:t> </w:t>
      </w:r>
      <w:r>
        <w:rPr>
          <w:color w:val="010202"/>
          <w:spacing w:val="-4"/>
          <w:sz w:val="22"/>
        </w:rPr>
        <w:t>communication provides a mechanism </w:t>
      </w:r>
      <w:r>
        <w:rPr>
          <w:color w:val="010202"/>
          <w:spacing w:val="-3"/>
          <w:sz w:val="22"/>
        </w:rPr>
        <w:t>for</w:t>
      </w:r>
      <w:r>
        <w:rPr>
          <w:color w:val="010202"/>
          <w:spacing w:val="-53"/>
          <w:sz w:val="22"/>
        </w:rPr>
        <w:t> </w:t>
      </w:r>
      <w:r>
        <w:rPr>
          <w:color w:val="010202"/>
          <w:spacing w:val="-4"/>
          <w:sz w:val="22"/>
        </w:rPr>
        <w:t>leadership to understand </w:t>
      </w:r>
      <w:r>
        <w:rPr>
          <w:color w:val="010202"/>
          <w:spacing w:val="-3"/>
          <w:sz w:val="22"/>
        </w:rPr>
        <w:t>implementation</w:t>
      </w:r>
      <w:r>
        <w:rPr>
          <w:color w:val="010202"/>
          <w:spacing w:val="-2"/>
          <w:sz w:val="22"/>
        </w:rPr>
        <w:t> </w:t>
      </w:r>
      <w:r>
        <w:rPr>
          <w:color w:val="010202"/>
          <w:sz w:val="22"/>
        </w:rPr>
        <w:t>challenges</w:t>
      </w:r>
      <w:r>
        <w:rPr>
          <w:color w:val="010202"/>
          <w:spacing w:val="-12"/>
          <w:sz w:val="22"/>
        </w:rPr>
        <w:t> </w:t>
      </w:r>
      <w:r>
        <w:rPr>
          <w:color w:val="010202"/>
          <w:sz w:val="22"/>
        </w:rPr>
        <w:t>and</w:t>
      </w:r>
      <w:r>
        <w:rPr>
          <w:color w:val="010202"/>
          <w:spacing w:val="-12"/>
          <w:sz w:val="22"/>
        </w:rPr>
        <w:t> </w:t>
      </w:r>
      <w:r>
        <w:rPr>
          <w:color w:val="010202"/>
          <w:sz w:val="22"/>
        </w:rPr>
        <w:t>successes.</w:t>
      </w:r>
      <w:r>
        <w:rPr>
          <w:color w:val="010202"/>
          <w:sz w:val="22"/>
          <w:vertAlign w:val="superscript"/>
        </w:rPr>
        <w:t>36</w:t>
      </w:r>
    </w:p>
    <w:p>
      <w:pPr>
        <w:pStyle w:val="ListParagraph"/>
        <w:numPr>
          <w:ilvl w:val="0"/>
          <w:numId w:val="5"/>
        </w:numPr>
        <w:tabs>
          <w:tab w:pos="479" w:val="left" w:leader="none"/>
          <w:tab w:pos="480" w:val="left" w:leader="none"/>
        </w:tabs>
        <w:spacing w:line="264" w:lineRule="auto" w:before="80" w:after="0"/>
        <w:ind w:left="479" w:right="1025" w:hanging="360"/>
        <w:jc w:val="left"/>
        <w:rPr>
          <w:sz w:val="22"/>
        </w:rPr>
      </w:pPr>
      <w:r>
        <w:rPr>
          <w:b/>
          <w:color w:val="010202"/>
          <w:sz w:val="22"/>
        </w:rPr>
        <w:t>Obtain</w:t>
      </w:r>
      <w:r>
        <w:rPr>
          <w:b/>
          <w:color w:val="010202"/>
          <w:spacing w:val="-5"/>
          <w:sz w:val="22"/>
        </w:rPr>
        <w:t> </w:t>
      </w:r>
      <w:r>
        <w:rPr>
          <w:b/>
          <w:color w:val="010202"/>
          <w:sz w:val="22"/>
        </w:rPr>
        <w:t>secure</w:t>
      </w:r>
      <w:r>
        <w:rPr>
          <w:b/>
          <w:color w:val="010202"/>
          <w:spacing w:val="-5"/>
          <w:sz w:val="22"/>
        </w:rPr>
        <w:t> </w:t>
      </w:r>
      <w:r>
        <w:rPr>
          <w:b/>
          <w:color w:val="010202"/>
          <w:sz w:val="22"/>
        </w:rPr>
        <w:t>devices</w:t>
      </w:r>
      <w:r>
        <w:rPr>
          <w:b/>
          <w:color w:val="010202"/>
          <w:spacing w:val="-5"/>
          <w:sz w:val="22"/>
        </w:rPr>
        <w:t> </w:t>
      </w:r>
      <w:r>
        <w:rPr>
          <w:b/>
          <w:color w:val="010202"/>
          <w:sz w:val="22"/>
        </w:rPr>
        <w:t>and</w:t>
      </w:r>
      <w:r>
        <w:rPr>
          <w:b/>
          <w:color w:val="010202"/>
          <w:spacing w:val="-5"/>
          <w:sz w:val="22"/>
        </w:rPr>
        <w:t> </w:t>
      </w:r>
      <w:r>
        <w:rPr>
          <w:b/>
          <w:color w:val="010202"/>
          <w:sz w:val="22"/>
        </w:rPr>
        <w:t>videoconference</w:t>
      </w:r>
      <w:r>
        <w:rPr>
          <w:b/>
          <w:color w:val="010202"/>
          <w:spacing w:val="-52"/>
          <w:sz w:val="22"/>
        </w:rPr>
        <w:t> </w:t>
      </w:r>
      <w:r>
        <w:rPr>
          <w:b/>
          <w:color w:val="010202"/>
          <w:sz w:val="22"/>
        </w:rPr>
        <w:t>platforms </w:t>
      </w:r>
      <w:r>
        <w:rPr>
          <w:color w:val="010202"/>
          <w:sz w:val="22"/>
        </w:rPr>
        <w:t>– Agencies that want to expand</w:t>
      </w:r>
      <w:r>
        <w:rPr>
          <w:color w:val="010202"/>
          <w:spacing w:val="1"/>
          <w:sz w:val="22"/>
        </w:rPr>
        <w:t> </w:t>
      </w:r>
      <w:r>
        <w:rPr>
          <w:color w:val="010202"/>
          <w:sz w:val="22"/>
        </w:rPr>
        <w:t>telehealth options must have reliable and</w:t>
      </w:r>
      <w:r>
        <w:rPr>
          <w:color w:val="010202"/>
          <w:spacing w:val="1"/>
          <w:sz w:val="22"/>
        </w:rPr>
        <w:t> </w:t>
      </w:r>
      <w:r>
        <w:rPr>
          <w:color w:val="010202"/>
          <w:w w:val="95"/>
          <w:sz w:val="22"/>
        </w:rPr>
        <w:t>sustainable</w:t>
      </w:r>
      <w:r>
        <w:rPr>
          <w:color w:val="010202"/>
          <w:spacing w:val="17"/>
          <w:w w:val="95"/>
          <w:sz w:val="22"/>
        </w:rPr>
        <w:t> </w:t>
      </w:r>
      <w:r>
        <w:rPr>
          <w:color w:val="010202"/>
          <w:w w:val="95"/>
          <w:sz w:val="22"/>
        </w:rPr>
        <w:t>technology</w:t>
      </w:r>
      <w:r>
        <w:rPr>
          <w:color w:val="010202"/>
          <w:spacing w:val="18"/>
          <w:w w:val="95"/>
          <w:sz w:val="22"/>
        </w:rPr>
        <w:t> </w:t>
      </w:r>
      <w:r>
        <w:rPr>
          <w:color w:val="010202"/>
          <w:w w:val="95"/>
          <w:sz w:val="22"/>
        </w:rPr>
        <w:t>and</w:t>
      </w:r>
      <w:r>
        <w:rPr>
          <w:color w:val="010202"/>
          <w:spacing w:val="17"/>
          <w:w w:val="95"/>
          <w:sz w:val="22"/>
        </w:rPr>
        <w:t> </w:t>
      </w:r>
      <w:r>
        <w:rPr>
          <w:color w:val="010202"/>
          <w:w w:val="95"/>
          <w:sz w:val="22"/>
        </w:rPr>
        <w:t>IT</w:t>
      </w:r>
      <w:r>
        <w:rPr>
          <w:color w:val="010202"/>
          <w:spacing w:val="12"/>
          <w:w w:val="95"/>
          <w:sz w:val="22"/>
        </w:rPr>
        <w:t> </w:t>
      </w:r>
      <w:r>
        <w:rPr>
          <w:color w:val="010202"/>
          <w:w w:val="95"/>
          <w:sz w:val="22"/>
        </w:rPr>
        <w:t>support.</w:t>
      </w:r>
      <w:r>
        <w:rPr>
          <w:color w:val="010202"/>
          <w:w w:val="95"/>
          <w:sz w:val="22"/>
          <w:vertAlign w:val="superscript"/>
        </w:rPr>
        <w:t>13,</w:t>
      </w:r>
      <w:r>
        <w:rPr>
          <w:color w:val="010202"/>
          <w:spacing w:val="-12"/>
          <w:w w:val="95"/>
          <w:sz w:val="22"/>
          <w:vertAlign w:val="baseline"/>
        </w:rPr>
        <w:t> </w:t>
      </w:r>
      <w:r>
        <w:rPr>
          <w:color w:val="010202"/>
          <w:w w:val="95"/>
          <w:sz w:val="22"/>
          <w:vertAlign w:val="superscript"/>
        </w:rPr>
        <w:t>39</w:t>
      </w:r>
    </w:p>
    <w:p>
      <w:pPr>
        <w:pStyle w:val="ListParagraph"/>
        <w:numPr>
          <w:ilvl w:val="0"/>
          <w:numId w:val="61"/>
        </w:numPr>
        <w:tabs>
          <w:tab w:pos="839" w:val="left" w:leader="none"/>
          <w:tab w:pos="840" w:val="left" w:leader="none"/>
        </w:tabs>
        <w:spacing w:line="249" w:lineRule="auto" w:before="20" w:after="0"/>
        <w:ind w:left="839" w:right="908" w:hanging="360"/>
        <w:jc w:val="left"/>
        <w:rPr>
          <w:sz w:val="22"/>
        </w:rPr>
      </w:pPr>
      <w:r>
        <w:rPr>
          <w:color w:val="010202"/>
          <w:sz w:val="22"/>
        </w:rPr>
        <w:t>Providers and agencies may need to</w:t>
      </w:r>
      <w:r>
        <w:rPr>
          <w:color w:val="010202"/>
          <w:spacing w:val="1"/>
          <w:sz w:val="22"/>
        </w:rPr>
        <w:t> </w:t>
      </w:r>
      <w:r>
        <w:rPr>
          <w:color w:val="010202"/>
          <w:sz w:val="22"/>
        </w:rPr>
        <w:t>purchase, upgrade, or maintain equipment</w:t>
      </w:r>
      <w:r>
        <w:rPr>
          <w:color w:val="010202"/>
          <w:spacing w:val="1"/>
          <w:sz w:val="22"/>
        </w:rPr>
        <w:t> </w:t>
      </w:r>
      <w:r>
        <w:rPr>
          <w:color w:val="010202"/>
          <w:sz w:val="22"/>
        </w:rPr>
        <w:t>to conduct telehealth sessions and securely</w:t>
      </w:r>
      <w:r>
        <w:rPr>
          <w:color w:val="010202"/>
          <w:spacing w:val="-52"/>
          <w:sz w:val="22"/>
        </w:rPr>
        <w:t> </w:t>
      </w:r>
      <w:r>
        <w:rPr>
          <w:color w:val="010202"/>
          <w:sz w:val="22"/>
        </w:rPr>
        <w:t>send information</w:t>
      </w:r>
      <w:r>
        <w:rPr>
          <w:color w:val="010202"/>
          <w:spacing w:val="1"/>
          <w:sz w:val="22"/>
        </w:rPr>
        <w:t> </w:t>
      </w:r>
      <w:r>
        <w:rPr>
          <w:color w:val="010202"/>
          <w:sz w:val="22"/>
        </w:rPr>
        <w:t>both inside</w:t>
      </w:r>
      <w:r>
        <w:rPr>
          <w:color w:val="010202"/>
          <w:spacing w:val="1"/>
          <w:sz w:val="22"/>
        </w:rPr>
        <w:t> </w:t>
      </w:r>
      <w:r>
        <w:rPr>
          <w:color w:val="010202"/>
          <w:sz w:val="22"/>
        </w:rPr>
        <w:t>and</w:t>
      </w:r>
      <w:r>
        <w:rPr>
          <w:color w:val="010202"/>
          <w:spacing w:val="1"/>
          <w:sz w:val="22"/>
        </w:rPr>
        <w:t> </w:t>
      </w:r>
      <w:r>
        <w:rPr>
          <w:color w:val="010202"/>
          <w:sz w:val="22"/>
        </w:rPr>
        <w:t>outside</w:t>
      </w:r>
      <w:r>
        <w:rPr>
          <w:color w:val="010202"/>
          <w:spacing w:val="1"/>
          <w:sz w:val="22"/>
        </w:rPr>
        <w:t> </w:t>
      </w:r>
      <w:r>
        <w:rPr>
          <w:color w:val="010202"/>
          <w:sz w:val="22"/>
        </w:rPr>
        <w:t>of the clinic. Equipment that can be used</w:t>
      </w:r>
      <w:r>
        <w:rPr>
          <w:color w:val="010202"/>
          <w:spacing w:val="1"/>
          <w:sz w:val="22"/>
        </w:rPr>
        <w:t> </w:t>
      </w:r>
      <w:r>
        <w:rPr>
          <w:color w:val="010202"/>
          <w:sz w:val="22"/>
        </w:rPr>
        <w:t>outside the clinic is useful</w:t>
      </w:r>
      <w:r>
        <w:rPr>
          <w:color w:val="010202"/>
          <w:spacing w:val="-1"/>
          <w:sz w:val="22"/>
        </w:rPr>
        <w:t> </w:t>
      </w:r>
      <w:r>
        <w:rPr>
          <w:color w:val="010202"/>
          <w:sz w:val="22"/>
        </w:rPr>
        <w:t>for when</w:t>
      </w:r>
    </w:p>
    <w:p>
      <w:pPr>
        <w:pStyle w:val="BodyText"/>
        <w:spacing w:line="249" w:lineRule="auto" w:before="4"/>
        <w:ind w:left="839" w:right="726"/>
      </w:pPr>
      <w:r>
        <w:rPr>
          <w:color w:val="010202"/>
        </w:rPr>
        <w:t>providers are not able to come into the clinic</w:t>
      </w:r>
      <w:r>
        <w:rPr>
          <w:color w:val="010202"/>
          <w:spacing w:val="-52"/>
        </w:rPr>
        <w:t> </w:t>
      </w:r>
      <w:r>
        <w:rPr>
          <w:color w:val="010202"/>
        </w:rPr>
        <w:t>due to public health emergencies or natural</w:t>
      </w:r>
      <w:r>
        <w:rPr>
          <w:color w:val="010202"/>
          <w:spacing w:val="1"/>
        </w:rPr>
        <w:t> </w:t>
      </w:r>
      <w:r>
        <w:rPr>
          <w:color w:val="010202"/>
        </w:rPr>
        <w:t>disasters, and for the ability to flex their</w:t>
      </w:r>
      <w:r>
        <w:rPr>
          <w:color w:val="010202"/>
          <w:spacing w:val="1"/>
        </w:rPr>
        <w:t> </w:t>
      </w:r>
      <w:r>
        <w:rPr>
          <w:color w:val="010202"/>
        </w:rPr>
        <w:t>clinical schedules and work from home.</w:t>
      </w:r>
    </w:p>
    <w:p>
      <w:pPr>
        <w:pStyle w:val="ListParagraph"/>
        <w:numPr>
          <w:ilvl w:val="0"/>
          <w:numId w:val="61"/>
        </w:numPr>
        <w:tabs>
          <w:tab w:pos="839" w:val="left" w:leader="none"/>
          <w:tab w:pos="840" w:val="left" w:leader="none"/>
        </w:tabs>
        <w:spacing w:line="249" w:lineRule="auto" w:before="0" w:after="0"/>
        <w:ind w:left="839" w:right="916" w:hanging="360"/>
        <w:jc w:val="left"/>
        <w:rPr>
          <w:sz w:val="22"/>
        </w:rPr>
      </w:pPr>
      <w:r>
        <w:rPr>
          <w:color w:val="010202"/>
          <w:sz w:val="22"/>
        </w:rPr>
        <w:t>Clinics will need to provide a sufficient</w:t>
      </w:r>
      <w:r>
        <w:rPr>
          <w:color w:val="010202"/>
          <w:spacing w:val="1"/>
          <w:sz w:val="22"/>
        </w:rPr>
        <w:t> </w:t>
      </w:r>
      <w:r>
        <w:rPr>
          <w:color w:val="010202"/>
          <w:sz w:val="22"/>
        </w:rPr>
        <w:t>number</w:t>
      </w:r>
      <w:r>
        <w:rPr>
          <w:color w:val="010202"/>
          <w:spacing w:val="-5"/>
          <w:sz w:val="22"/>
        </w:rPr>
        <w:t> </w:t>
      </w:r>
      <w:r>
        <w:rPr>
          <w:color w:val="010202"/>
          <w:sz w:val="22"/>
        </w:rPr>
        <w:t>of</w:t>
      </w:r>
      <w:r>
        <w:rPr>
          <w:color w:val="010202"/>
          <w:spacing w:val="-5"/>
          <w:sz w:val="22"/>
        </w:rPr>
        <w:t> </w:t>
      </w:r>
      <w:r>
        <w:rPr>
          <w:color w:val="010202"/>
          <w:sz w:val="22"/>
        </w:rPr>
        <w:t>laptops</w:t>
      </w:r>
      <w:r>
        <w:rPr>
          <w:color w:val="010202"/>
          <w:spacing w:val="-5"/>
          <w:sz w:val="22"/>
        </w:rPr>
        <w:t> </w:t>
      </w:r>
      <w:r>
        <w:rPr>
          <w:color w:val="010202"/>
          <w:sz w:val="22"/>
        </w:rPr>
        <w:t>to</w:t>
      </w:r>
      <w:r>
        <w:rPr>
          <w:color w:val="010202"/>
          <w:spacing w:val="-5"/>
          <w:sz w:val="22"/>
        </w:rPr>
        <w:t> </w:t>
      </w:r>
      <w:r>
        <w:rPr>
          <w:color w:val="010202"/>
          <w:sz w:val="22"/>
        </w:rPr>
        <w:t>support</w:t>
      </w:r>
      <w:r>
        <w:rPr>
          <w:color w:val="010202"/>
          <w:spacing w:val="-6"/>
          <w:sz w:val="22"/>
        </w:rPr>
        <w:t> </w:t>
      </w:r>
      <w:r>
        <w:rPr>
          <w:color w:val="010202"/>
          <w:sz w:val="22"/>
        </w:rPr>
        <w:t>staff</w:t>
      </w:r>
      <w:r>
        <w:rPr>
          <w:color w:val="010202"/>
          <w:spacing w:val="-5"/>
          <w:sz w:val="22"/>
        </w:rPr>
        <w:t> </w:t>
      </w:r>
      <w:r>
        <w:rPr>
          <w:color w:val="010202"/>
          <w:sz w:val="22"/>
        </w:rPr>
        <w:t>working</w:t>
      </w:r>
      <w:r>
        <w:rPr>
          <w:color w:val="010202"/>
          <w:spacing w:val="-52"/>
          <w:sz w:val="22"/>
        </w:rPr>
        <w:t> </w:t>
      </w:r>
      <w:r>
        <w:rPr>
          <w:color w:val="010202"/>
          <w:sz w:val="22"/>
        </w:rPr>
        <w:t>from home or outside of typical shared</w:t>
      </w:r>
      <w:r>
        <w:rPr>
          <w:color w:val="010202"/>
          <w:spacing w:val="1"/>
          <w:sz w:val="22"/>
        </w:rPr>
        <w:t> </w:t>
      </w:r>
      <w:r>
        <w:rPr>
          <w:color w:val="010202"/>
          <w:sz w:val="22"/>
        </w:rPr>
        <w:t>office</w:t>
      </w:r>
      <w:r>
        <w:rPr>
          <w:color w:val="010202"/>
          <w:spacing w:val="-1"/>
          <w:sz w:val="22"/>
        </w:rPr>
        <w:t> </w:t>
      </w:r>
      <w:r>
        <w:rPr>
          <w:color w:val="010202"/>
          <w:sz w:val="22"/>
        </w:rPr>
        <w:t>space.</w:t>
      </w:r>
      <w:r>
        <w:rPr>
          <w:color w:val="010202"/>
          <w:sz w:val="22"/>
          <w:vertAlign w:val="superscript"/>
        </w:rPr>
        <w:t>40</w:t>
      </w:r>
    </w:p>
    <w:p>
      <w:pPr>
        <w:pStyle w:val="ListParagraph"/>
        <w:numPr>
          <w:ilvl w:val="0"/>
          <w:numId w:val="61"/>
        </w:numPr>
        <w:tabs>
          <w:tab w:pos="839" w:val="left" w:leader="none"/>
          <w:tab w:pos="840" w:val="left" w:leader="none"/>
        </w:tabs>
        <w:spacing w:line="256" w:lineRule="exact" w:before="0" w:after="0"/>
        <w:ind w:left="839" w:right="0" w:hanging="361"/>
        <w:jc w:val="left"/>
        <w:rPr>
          <w:sz w:val="22"/>
        </w:rPr>
      </w:pPr>
      <w:r>
        <w:rPr>
          <w:color w:val="010202"/>
          <w:spacing w:val="-5"/>
          <w:sz w:val="22"/>
        </w:rPr>
        <w:t>Typically,</w:t>
      </w:r>
      <w:r>
        <w:rPr>
          <w:color w:val="010202"/>
          <w:spacing w:val="-8"/>
          <w:sz w:val="22"/>
        </w:rPr>
        <w:t> </w:t>
      </w:r>
      <w:r>
        <w:rPr>
          <w:color w:val="010202"/>
          <w:spacing w:val="-5"/>
          <w:sz w:val="22"/>
        </w:rPr>
        <w:t>telehealth</w:t>
      </w:r>
      <w:r>
        <w:rPr>
          <w:color w:val="010202"/>
          <w:spacing w:val="-8"/>
          <w:sz w:val="22"/>
        </w:rPr>
        <w:t> </w:t>
      </w:r>
      <w:r>
        <w:rPr>
          <w:color w:val="010202"/>
          <w:spacing w:val="-4"/>
          <w:sz w:val="22"/>
        </w:rPr>
        <w:t>services</w:t>
      </w:r>
      <w:r>
        <w:rPr>
          <w:color w:val="010202"/>
          <w:spacing w:val="-8"/>
          <w:sz w:val="22"/>
        </w:rPr>
        <w:t> </w:t>
      </w:r>
      <w:r>
        <w:rPr>
          <w:color w:val="010202"/>
          <w:spacing w:val="-4"/>
          <w:sz w:val="22"/>
        </w:rPr>
        <w:t>must</w:t>
      </w:r>
    </w:p>
    <w:p>
      <w:pPr>
        <w:pStyle w:val="BodyText"/>
        <w:spacing w:line="249" w:lineRule="auto"/>
        <w:ind w:left="839" w:right="743"/>
      </w:pPr>
      <w:r>
        <w:rPr>
          <w:color w:val="010202"/>
        </w:rPr>
        <w:t>be delivered via a HIPAA-compliant</w:t>
      </w:r>
      <w:r>
        <w:rPr>
          <w:color w:val="010202"/>
          <w:spacing w:val="1"/>
        </w:rPr>
        <w:t> </w:t>
      </w:r>
      <w:r>
        <w:rPr>
          <w:color w:val="010202"/>
          <w:spacing w:val="-4"/>
        </w:rPr>
        <w:t>platform;</w:t>
      </w:r>
      <w:r>
        <w:rPr>
          <w:color w:val="010202"/>
          <w:spacing w:val="-4"/>
          <w:vertAlign w:val="superscript"/>
        </w:rPr>
        <w:t>41</w:t>
      </w:r>
      <w:r>
        <w:rPr>
          <w:color w:val="010202"/>
          <w:spacing w:val="-4"/>
          <w:vertAlign w:val="baseline"/>
        </w:rPr>
        <w:t> </w:t>
      </w:r>
      <w:r>
        <w:rPr>
          <w:color w:val="010202"/>
          <w:spacing w:val="-3"/>
          <w:vertAlign w:val="baseline"/>
        </w:rPr>
        <w:t>however, during public health</w:t>
      </w:r>
      <w:r>
        <w:rPr>
          <w:color w:val="010202"/>
          <w:spacing w:val="-2"/>
          <w:vertAlign w:val="baseline"/>
        </w:rPr>
        <w:t> </w:t>
      </w:r>
      <w:r>
        <w:rPr>
          <w:color w:val="010202"/>
          <w:spacing w:val="-3"/>
          <w:vertAlign w:val="baseline"/>
        </w:rPr>
        <w:t>emergencies,</w:t>
      </w:r>
      <w:r>
        <w:rPr>
          <w:color w:val="010202"/>
          <w:spacing w:val="-11"/>
          <w:vertAlign w:val="baseline"/>
        </w:rPr>
        <w:t> </w:t>
      </w:r>
      <w:r>
        <w:rPr>
          <w:color w:val="010202"/>
          <w:spacing w:val="-3"/>
          <w:vertAlign w:val="baseline"/>
        </w:rPr>
        <w:t>regulations</w:t>
      </w:r>
      <w:r>
        <w:rPr>
          <w:color w:val="010202"/>
          <w:spacing w:val="-11"/>
          <w:vertAlign w:val="baseline"/>
        </w:rPr>
        <w:t> </w:t>
      </w:r>
      <w:r>
        <w:rPr>
          <w:color w:val="010202"/>
          <w:spacing w:val="-3"/>
          <w:vertAlign w:val="baseline"/>
        </w:rPr>
        <w:t>may</w:t>
      </w:r>
      <w:r>
        <w:rPr>
          <w:color w:val="010202"/>
          <w:spacing w:val="-11"/>
          <w:vertAlign w:val="baseline"/>
        </w:rPr>
        <w:t> </w:t>
      </w:r>
      <w:r>
        <w:rPr>
          <w:color w:val="010202"/>
          <w:spacing w:val="-3"/>
          <w:vertAlign w:val="baseline"/>
        </w:rPr>
        <w:t>allow</w:t>
      </w:r>
      <w:r>
        <w:rPr>
          <w:color w:val="010202"/>
          <w:spacing w:val="-10"/>
          <w:vertAlign w:val="baseline"/>
        </w:rPr>
        <w:t> </w:t>
      </w:r>
      <w:r>
        <w:rPr>
          <w:color w:val="010202"/>
          <w:spacing w:val="-3"/>
          <w:vertAlign w:val="baseline"/>
        </w:rPr>
        <w:t>the</w:t>
      </w:r>
      <w:r>
        <w:rPr>
          <w:color w:val="010202"/>
          <w:spacing w:val="-11"/>
          <w:vertAlign w:val="baseline"/>
        </w:rPr>
        <w:t> </w:t>
      </w:r>
      <w:r>
        <w:rPr>
          <w:color w:val="010202"/>
          <w:spacing w:val="-3"/>
          <w:vertAlign w:val="baseline"/>
        </w:rPr>
        <w:t>use</w:t>
      </w:r>
      <w:r>
        <w:rPr>
          <w:color w:val="010202"/>
          <w:spacing w:val="-11"/>
          <w:vertAlign w:val="baseline"/>
        </w:rPr>
        <w:t> </w:t>
      </w:r>
      <w:r>
        <w:rPr>
          <w:color w:val="010202"/>
          <w:spacing w:val="-3"/>
          <w:vertAlign w:val="baseline"/>
        </w:rPr>
        <w:t>of</w:t>
      </w:r>
      <w:r>
        <w:rPr>
          <w:color w:val="010202"/>
          <w:spacing w:val="-52"/>
          <w:vertAlign w:val="baseline"/>
        </w:rPr>
        <w:t> </w:t>
      </w:r>
      <w:r>
        <w:rPr>
          <w:color w:val="010202"/>
          <w:spacing w:val="-4"/>
          <w:vertAlign w:val="baseline"/>
        </w:rPr>
        <w:t>videoconferencing</w:t>
      </w:r>
      <w:r>
        <w:rPr>
          <w:color w:val="010202"/>
          <w:spacing w:val="-10"/>
          <w:vertAlign w:val="baseline"/>
        </w:rPr>
        <w:t> </w:t>
      </w:r>
      <w:r>
        <w:rPr>
          <w:color w:val="010202"/>
          <w:spacing w:val="-4"/>
          <w:vertAlign w:val="baseline"/>
        </w:rPr>
        <w:t>applications,</w:t>
      </w:r>
      <w:r>
        <w:rPr>
          <w:color w:val="010202"/>
          <w:spacing w:val="-9"/>
          <w:vertAlign w:val="baseline"/>
        </w:rPr>
        <w:t> </w:t>
      </w:r>
      <w:r>
        <w:rPr>
          <w:color w:val="010202"/>
          <w:spacing w:val="-4"/>
          <w:vertAlign w:val="baseline"/>
        </w:rPr>
        <w:t>such</w:t>
      </w:r>
      <w:r>
        <w:rPr>
          <w:color w:val="010202"/>
          <w:spacing w:val="-9"/>
          <w:vertAlign w:val="baseline"/>
        </w:rPr>
        <w:t> </w:t>
      </w:r>
      <w:r>
        <w:rPr>
          <w:color w:val="010202"/>
          <w:spacing w:val="-3"/>
          <w:vertAlign w:val="baseline"/>
        </w:rPr>
        <w:t>as</w:t>
      </w:r>
      <w:r>
        <w:rPr>
          <w:color w:val="010202"/>
          <w:spacing w:val="-9"/>
          <w:vertAlign w:val="baseline"/>
        </w:rPr>
        <w:t> </w:t>
      </w:r>
      <w:r>
        <w:rPr>
          <w:color w:val="010202"/>
          <w:spacing w:val="-3"/>
          <w:vertAlign w:val="baseline"/>
        </w:rPr>
        <w:t>Skype</w:t>
      </w:r>
      <w:r>
        <w:rPr>
          <w:color w:val="010202"/>
          <w:spacing w:val="-52"/>
          <w:vertAlign w:val="baseline"/>
        </w:rPr>
        <w:t> </w:t>
      </w:r>
      <w:r>
        <w:rPr>
          <w:color w:val="010202"/>
          <w:spacing w:val="-2"/>
          <w:vertAlign w:val="baseline"/>
        </w:rPr>
        <w:t>or</w:t>
      </w:r>
      <w:r>
        <w:rPr>
          <w:color w:val="010202"/>
          <w:spacing w:val="-12"/>
          <w:vertAlign w:val="baseline"/>
        </w:rPr>
        <w:t> </w:t>
      </w:r>
      <w:r>
        <w:rPr>
          <w:color w:val="010202"/>
          <w:spacing w:val="-2"/>
          <w:vertAlign w:val="baseline"/>
        </w:rPr>
        <w:t>FaceTime.</w:t>
      </w:r>
      <w:r>
        <w:rPr>
          <w:color w:val="010202"/>
          <w:spacing w:val="-12"/>
          <w:vertAlign w:val="baseline"/>
        </w:rPr>
        <w:t> </w:t>
      </w:r>
      <w:r>
        <w:rPr>
          <w:color w:val="010202"/>
          <w:spacing w:val="-2"/>
          <w:vertAlign w:val="baseline"/>
        </w:rPr>
        <w:t>State</w:t>
      </w:r>
      <w:r>
        <w:rPr>
          <w:color w:val="010202"/>
          <w:spacing w:val="-11"/>
          <w:vertAlign w:val="baseline"/>
        </w:rPr>
        <w:t> </w:t>
      </w:r>
      <w:r>
        <w:rPr>
          <w:color w:val="010202"/>
          <w:spacing w:val="-2"/>
          <w:vertAlign w:val="baseline"/>
        </w:rPr>
        <w:t>medical</w:t>
      </w:r>
      <w:r>
        <w:rPr>
          <w:color w:val="010202"/>
          <w:spacing w:val="-12"/>
          <w:vertAlign w:val="baseline"/>
        </w:rPr>
        <w:t> </w:t>
      </w:r>
      <w:r>
        <w:rPr>
          <w:color w:val="010202"/>
          <w:spacing w:val="-2"/>
          <w:vertAlign w:val="baseline"/>
        </w:rPr>
        <w:t>privacy</w:t>
      </w:r>
      <w:r>
        <w:rPr>
          <w:color w:val="010202"/>
          <w:spacing w:val="-11"/>
          <w:vertAlign w:val="baseline"/>
        </w:rPr>
        <w:t> </w:t>
      </w:r>
      <w:r>
        <w:rPr>
          <w:color w:val="010202"/>
          <w:spacing w:val="-2"/>
          <w:vertAlign w:val="baseline"/>
        </w:rPr>
        <w:t>laws</w:t>
      </w:r>
    </w:p>
    <w:p>
      <w:pPr>
        <w:pStyle w:val="BodyText"/>
        <w:spacing w:line="249" w:lineRule="auto" w:before="2"/>
        <w:ind w:left="840" w:right="1106"/>
      </w:pPr>
      <w:r>
        <w:rPr>
          <w:color w:val="010202"/>
          <w:spacing w:val="-4"/>
        </w:rPr>
        <w:t>may still apply. The American Psychiatric</w:t>
      </w:r>
      <w:r>
        <w:rPr>
          <w:color w:val="010202"/>
          <w:spacing w:val="-52"/>
        </w:rPr>
        <w:t> </w:t>
      </w:r>
      <w:r>
        <w:rPr>
          <w:color w:val="010202"/>
          <w:spacing w:val="-3"/>
        </w:rPr>
        <w:t>Association has an overview of </w:t>
      </w:r>
      <w:hyperlink r:id="rId237">
        <w:r>
          <w:rPr>
            <w:color w:val="3953A4"/>
            <w:spacing w:val="-2"/>
            <w:u w:val="single" w:color="3953A4"/>
          </w:rPr>
          <w:t>platform</w:t>
        </w:r>
      </w:hyperlink>
      <w:r>
        <w:rPr>
          <w:color w:val="3953A4"/>
          <w:spacing w:val="-1"/>
        </w:rPr>
        <w:t> </w:t>
      </w:r>
      <w:hyperlink r:id="rId237">
        <w:r>
          <w:rPr>
            <w:color w:val="3953A4"/>
            <w:spacing w:val="-4"/>
            <w:u w:val="single" w:color="3953A4"/>
          </w:rPr>
          <w:t>and</w:t>
        </w:r>
        <w:r>
          <w:rPr>
            <w:color w:val="3953A4"/>
            <w:spacing w:val="-10"/>
            <w:u w:val="single" w:color="3953A4"/>
          </w:rPr>
          <w:t> </w:t>
        </w:r>
        <w:r>
          <w:rPr>
            <w:color w:val="3953A4"/>
            <w:spacing w:val="-4"/>
            <w:u w:val="single" w:color="3953A4"/>
          </w:rPr>
          <w:t>software</w:t>
        </w:r>
        <w:r>
          <w:rPr>
            <w:color w:val="3953A4"/>
            <w:spacing w:val="-10"/>
            <w:u w:val="single" w:color="3953A4"/>
          </w:rPr>
          <w:t> </w:t>
        </w:r>
        <w:r>
          <w:rPr>
            <w:color w:val="3953A4"/>
            <w:spacing w:val="-4"/>
            <w:u w:val="single" w:color="3953A4"/>
          </w:rPr>
          <w:t>requirements</w:t>
        </w:r>
        <w:r>
          <w:rPr>
            <w:color w:val="3953A4"/>
            <w:spacing w:val="-6"/>
          </w:rPr>
          <w:t> </w:t>
        </w:r>
      </w:hyperlink>
      <w:r>
        <w:rPr>
          <w:color w:val="010202"/>
          <w:spacing w:val="-4"/>
        </w:rPr>
        <w:t>for</w:t>
      </w:r>
      <w:r>
        <w:rPr>
          <w:color w:val="010202"/>
          <w:spacing w:val="-10"/>
        </w:rPr>
        <w:t> </w:t>
      </w:r>
      <w:r>
        <w:rPr>
          <w:color w:val="010202"/>
          <w:spacing w:val="-3"/>
        </w:rPr>
        <w:t>engaging</w:t>
      </w:r>
      <w:r>
        <w:rPr>
          <w:color w:val="010202"/>
          <w:spacing w:val="-9"/>
        </w:rPr>
        <w:t> </w:t>
      </w:r>
      <w:r>
        <w:rPr>
          <w:color w:val="010202"/>
          <w:spacing w:val="-3"/>
        </w:rPr>
        <w:t>in</w:t>
      </w:r>
      <w:r>
        <w:rPr>
          <w:color w:val="010202"/>
          <w:spacing w:val="-52"/>
        </w:rPr>
        <w:t> </w:t>
      </w:r>
      <w:r>
        <w:rPr>
          <w:color w:val="010202"/>
        </w:rPr>
        <w:t>telepsychiatry.</w:t>
      </w:r>
    </w:p>
    <w:p>
      <w:pPr>
        <w:spacing w:after="0" w:line="249" w:lineRule="auto"/>
        <w:sectPr>
          <w:type w:val="continuous"/>
          <w:pgSz w:w="12240" w:h="15840"/>
          <w:pgMar w:header="0" w:footer="666" w:top="1500" w:bottom="0" w:left="600" w:right="0"/>
          <w:cols w:num="2" w:equalWidth="0">
            <w:col w:w="5185" w:space="935"/>
            <w:col w:w="5520"/>
          </w:cols>
        </w:sectPr>
      </w:pPr>
    </w:p>
    <w:p>
      <w:pPr>
        <w:pStyle w:val="BodyText"/>
        <w:rPr>
          <w:sz w:val="20"/>
        </w:rPr>
      </w:pPr>
    </w:p>
    <w:p>
      <w:pPr>
        <w:pStyle w:val="BodyText"/>
        <w:spacing w:before="8"/>
        <w:rPr>
          <w:sz w:val="24"/>
        </w:rPr>
      </w:pPr>
    </w:p>
    <w:p>
      <w:pPr>
        <w:spacing w:after="0"/>
        <w:rPr>
          <w:sz w:val="24"/>
        </w:rPr>
        <w:sectPr>
          <w:pgSz w:w="12240" w:h="15840"/>
          <w:pgMar w:header="0" w:footer="666" w:top="380" w:bottom="860" w:left="600" w:right="0"/>
        </w:sectPr>
      </w:pPr>
    </w:p>
    <w:p>
      <w:pPr>
        <w:pStyle w:val="ListParagraph"/>
        <w:numPr>
          <w:ilvl w:val="1"/>
          <w:numId w:val="5"/>
        </w:numPr>
        <w:tabs>
          <w:tab w:pos="839" w:val="left" w:leader="none"/>
          <w:tab w:pos="840" w:val="left" w:leader="none"/>
        </w:tabs>
        <w:spacing w:line="264" w:lineRule="auto" w:before="100" w:after="0"/>
        <w:ind w:left="839" w:right="38" w:hanging="360"/>
        <w:jc w:val="left"/>
        <w:rPr>
          <w:rFonts w:ascii="Symbol" w:hAnsi="Symbol"/>
          <w:color w:val="010202"/>
          <w:sz w:val="22"/>
        </w:rPr>
      </w:pPr>
      <w:r>
        <w:rPr>
          <w:b/>
          <w:color w:val="010202"/>
          <w:sz w:val="22"/>
        </w:rPr>
        <w:t>Ensure high quality Internet connection </w:t>
      </w:r>
      <w:r>
        <w:rPr>
          <w:color w:val="010202"/>
          <w:sz w:val="22"/>
        </w:rPr>
        <w:t>–</w:t>
      </w:r>
      <w:r>
        <w:rPr>
          <w:color w:val="010202"/>
          <w:spacing w:val="1"/>
          <w:sz w:val="22"/>
        </w:rPr>
        <w:t> </w:t>
      </w:r>
      <w:r>
        <w:rPr>
          <w:color w:val="010202"/>
          <w:sz w:val="22"/>
        </w:rPr>
        <w:t>Invest in high quality broadband Internet to</w:t>
      </w:r>
      <w:r>
        <w:rPr>
          <w:color w:val="010202"/>
          <w:spacing w:val="1"/>
          <w:sz w:val="22"/>
        </w:rPr>
        <w:t> </w:t>
      </w:r>
      <w:r>
        <w:rPr>
          <w:color w:val="010202"/>
          <w:sz w:val="22"/>
        </w:rPr>
        <w:t>overcome challenges related to image resolution,</w:t>
      </w:r>
      <w:r>
        <w:rPr>
          <w:color w:val="010202"/>
          <w:spacing w:val="-52"/>
          <w:sz w:val="22"/>
        </w:rPr>
        <w:t> </w:t>
      </w:r>
      <w:r>
        <w:rPr>
          <w:color w:val="010202"/>
          <w:sz w:val="22"/>
        </w:rPr>
        <w:t>audio delays, or service disruption.</w:t>
      </w:r>
    </w:p>
    <w:p>
      <w:pPr>
        <w:pStyle w:val="ListParagraph"/>
        <w:numPr>
          <w:ilvl w:val="2"/>
          <w:numId w:val="5"/>
        </w:numPr>
        <w:tabs>
          <w:tab w:pos="1199" w:val="left" w:leader="none"/>
          <w:tab w:pos="1200" w:val="left" w:leader="none"/>
        </w:tabs>
        <w:spacing w:line="249" w:lineRule="auto" w:before="20" w:after="0"/>
        <w:ind w:left="1199" w:right="221" w:hanging="360"/>
        <w:jc w:val="left"/>
        <w:rPr>
          <w:sz w:val="22"/>
        </w:rPr>
      </w:pPr>
      <w:r>
        <w:rPr>
          <w:color w:val="010202"/>
          <w:sz w:val="22"/>
        </w:rPr>
        <w:t>While disruptions can originate with either</w:t>
      </w:r>
      <w:r>
        <w:rPr>
          <w:color w:val="010202"/>
          <w:spacing w:val="-52"/>
          <w:sz w:val="22"/>
        </w:rPr>
        <w:t> </w:t>
      </w:r>
      <w:r>
        <w:rPr>
          <w:color w:val="010202"/>
          <w:sz w:val="22"/>
        </w:rPr>
        <w:t>the client or the provider, it is critical the</w:t>
      </w:r>
      <w:r>
        <w:rPr>
          <w:color w:val="010202"/>
          <w:spacing w:val="1"/>
          <w:sz w:val="22"/>
        </w:rPr>
        <w:t> </w:t>
      </w:r>
      <w:r>
        <w:rPr>
          <w:color w:val="010202"/>
          <w:sz w:val="22"/>
        </w:rPr>
        <w:t>provider has stable Internet to reduce</w:t>
      </w:r>
      <w:r>
        <w:rPr>
          <w:color w:val="010202"/>
          <w:spacing w:val="1"/>
          <w:sz w:val="22"/>
        </w:rPr>
        <w:t> </w:t>
      </w:r>
      <w:r>
        <w:rPr>
          <w:color w:val="010202"/>
          <w:sz w:val="22"/>
        </w:rPr>
        <w:t>interruptions.</w:t>
      </w:r>
    </w:p>
    <w:p>
      <w:pPr>
        <w:pStyle w:val="ListParagraph"/>
        <w:numPr>
          <w:ilvl w:val="2"/>
          <w:numId w:val="5"/>
        </w:numPr>
        <w:tabs>
          <w:tab w:pos="1199" w:val="left" w:leader="none"/>
          <w:tab w:pos="1200" w:val="left" w:leader="none"/>
        </w:tabs>
        <w:spacing w:line="249" w:lineRule="auto" w:before="0" w:after="0"/>
        <w:ind w:left="1199" w:right="64" w:hanging="360"/>
        <w:jc w:val="left"/>
        <w:rPr>
          <w:sz w:val="22"/>
        </w:rPr>
      </w:pPr>
      <w:r>
        <w:rPr>
          <w:color w:val="010202"/>
          <w:sz w:val="22"/>
        </w:rPr>
        <w:t>Agencies should consider providing signal</w:t>
      </w:r>
      <w:r>
        <w:rPr>
          <w:color w:val="010202"/>
          <w:spacing w:val="1"/>
          <w:sz w:val="22"/>
        </w:rPr>
        <w:t> </w:t>
      </w:r>
      <w:r>
        <w:rPr>
          <w:color w:val="010202"/>
          <w:sz w:val="22"/>
        </w:rPr>
        <w:t>boosters</w:t>
      </w:r>
      <w:r>
        <w:rPr>
          <w:color w:val="010202"/>
          <w:spacing w:val="2"/>
          <w:sz w:val="22"/>
        </w:rPr>
        <w:t> </w:t>
      </w:r>
      <w:r>
        <w:rPr>
          <w:color w:val="010202"/>
          <w:sz w:val="22"/>
        </w:rPr>
        <w:t>for</w:t>
      </w:r>
      <w:r>
        <w:rPr>
          <w:color w:val="010202"/>
          <w:spacing w:val="3"/>
          <w:sz w:val="22"/>
        </w:rPr>
        <w:t> </w:t>
      </w:r>
      <w:r>
        <w:rPr>
          <w:color w:val="010202"/>
          <w:sz w:val="22"/>
        </w:rPr>
        <w:t>clinicians</w:t>
      </w:r>
      <w:r>
        <w:rPr>
          <w:color w:val="010202"/>
          <w:spacing w:val="3"/>
          <w:sz w:val="22"/>
        </w:rPr>
        <w:t> </w:t>
      </w:r>
      <w:r>
        <w:rPr>
          <w:color w:val="010202"/>
          <w:sz w:val="22"/>
        </w:rPr>
        <w:t>who</w:t>
      </w:r>
      <w:r>
        <w:rPr>
          <w:color w:val="010202"/>
          <w:spacing w:val="3"/>
          <w:sz w:val="22"/>
        </w:rPr>
        <w:t> </w:t>
      </w:r>
      <w:r>
        <w:rPr>
          <w:color w:val="010202"/>
          <w:sz w:val="22"/>
        </w:rPr>
        <w:t>are</w:t>
      </w:r>
      <w:r>
        <w:rPr>
          <w:color w:val="010202"/>
          <w:spacing w:val="3"/>
          <w:sz w:val="22"/>
        </w:rPr>
        <w:t> </w:t>
      </w:r>
      <w:r>
        <w:rPr>
          <w:color w:val="010202"/>
          <w:sz w:val="22"/>
        </w:rPr>
        <w:t>working</w:t>
      </w:r>
      <w:r>
        <w:rPr>
          <w:color w:val="010202"/>
          <w:spacing w:val="1"/>
          <w:sz w:val="22"/>
        </w:rPr>
        <w:t> </w:t>
      </w:r>
      <w:r>
        <w:rPr>
          <w:color w:val="010202"/>
          <w:sz w:val="22"/>
        </w:rPr>
        <w:t>from home and providing telehealth services</w:t>
      </w:r>
      <w:r>
        <w:rPr>
          <w:color w:val="010202"/>
          <w:spacing w:val="-53"/>
          <w:sz w:val="22"/>
        </w:rPr>
        <w:t> </w:t>
      </w:r>
      <w:r>
        <w:rPr>
          <w:color w:val="010202"/>
          <w:sz w:val="22"/>
        </w:rPr>
        <w:t>without stable high speed, broadband</w:t>
      </w:r>
      <w:r>
        <w:rPr>
          <w:color w:val="010202"/>
          <w:spacing w:val="1"/>
          <w:sz w:val="22"/>
        </w:rPr>
        <w:t> </w:t>
      </w:r>
      <w:r>
        <w:rPr>
          <w:color w:val="010202"/>
          <w:sz w:val="22"/>
        </w:rPr>
        <w:t>Internet.</w:t>
      </w:r>
      <w:r>
        <w:rPr>
          <w:color w:val="010202"/>
          <w:sz w:val="22"/>
          <w:vertAlign w:val="superscript"/>
        </w:rPr>
        <w:t>40</w:t>
      </w:r>
    </w:p>
    <w:p>
      <w:pPr>
        <w:pStyle w:val="ListParagraph"/>
        <w:numPr>
          <w:ilvl w:val="2"/>
          <w:numId w:val="5"/>
        </w:numPr>
        <w:tabs>
          <w:tab w:pos="1199" w:val="left" w:leader="none"/>
          <w:tab w:pos="1200" w:val="left" w:leader="none"/>
        </w:tabs>
        <w:spacing w:line="249" w:lineRule="auto" w:before="0" w:after="0"/>
        <w:ind w:left="1199" w:right="487" w:hanging="360"/>
        <w:jc w:val="left"/>
        <w:rPr>
          <w:sz w:val="22"/>
        </w:rPr>
      </w:pPr>
      <w:r>
        <w:rPr>
          <w:color w:val="010202"/>
          <w:sz w:val="22"/>
        </w:rPr>
        <w:t>Ensure provider devices are capable of</w:t>
      </w:r>
      <w:r>
        <w:rPr>
          <w:color w:val="010202"/>
          <w:spacing w:val="1"/>
          <w:sz w:val="22"/>
        </w:rPr>
        <w:t> </w:t>
      </w:r>
      <w:r>
        <w:rPr>
          <w:color w:val="010202"/>
          <w:sz w:val="22"/>
        </w:rPr>
        <w:t>videoconferencing and accessing the</w:t>
      </w:r>
      <w:r>
        <w:rPr>
          <w:color w:val="010202"/>
          <w:spacing w:val="1"/>
          <w:sz w:val="22"/>
        </w:rPr>
        <w:t> </w:t>
      </w:r>
      <w:r>
        <w:rPr>
          <w:color w:val="010202"/>
          <w:sz w:val="22"/>
        </w:rPr>
        <w:t>electronic</w:t>
      </w:r>
      <w:r>
        <w:rPr>
          <w:color w:val="010202"/>
          <w:spacing w:val="-10"/>
          <w:sz w:val="22"/>
        </w:rPr>
        <w:t> </w:t>
      </w:r>
      <w:r>
        <w:rPr>
          <w:color w:val="010202"/>
          <w:sz w:val="22"/>
        </w:rPr>
        <w:t>health</w:t>
      </w:r>
      <w:r>
        <w:rPr>
          <w:color w:val="010202"/>
          <w:spacing w:val="-9"/>
          <w:sz w:val="22"/>
        </w:rPr>
        <w:t> </w:t>
      </w:r>
      <w:r>
        <w:rPr>
          <w:color w:val="010202"/>
          <w:sz w:val="22"/>
        </w:rPr>
        <w:t>record</w:t>
      </w:r>
      <w:r>
        <w:rPr>
          <w:color w:val="010202"/>
          <w:spacing w:val="-9"/>
          <w:sz w:val="22"/>
        </w:rPr>
        <w:t> </w:t>
      </w:r>
      <w:r>
        <w:rPr>
          <w:color w:val="010202"/>
          <w:sz w:val="22"/>
        </w:rPr>
        <w:t>simultaneously.</w:t>
      </w:r>
    </w:p>
    <w:p>
      <w:pPr>
        <w:pStyle w:val="ListParagraph"/>
        <w:numPr>
          <w:ilvl w:val="1"/>
          <w:numId w:val="5"/>
        </w:numPr>
        <w:tabs>
          <w:tab w:pos="839" w:val="left" w:leader="none"/>
          <w:tab w:pos="840" w:val="left" w:leader="none"/>
        </w:tabs>
        <w:spacing w:line="266" w:lineRule="auto" w:before="65" w:after="0"/>
        <w:ind w:left="839" w:right="120" w:hanging="360"/>
        <w:jc w:val="left"/>
        <w:rPr>
          <w:rFonts w:ascii="Symbol" w:hAnsi="Symbol"/>
          <w:color w:val="010202"/>
          <w:sz w:val="22"/>
        </w:rPr>
      </w:pPr>
      <w:r>
        <w:rPr>
          <w:b/>
          <w:color w:val="010202"/>
          <w:sz w:val="22"/>
        </w:rPr>
        <w:t>Provide ongoing technical support </w:t>
      </w:r>
      <w:r>
        <w:rPr>
          <w:color w:val="010202"/>
          <w:sz w:val="22"/>
        </w:rPr>
        <w:t>– Provide</w:t>
      </w:r>
      <w:r>
        <w:rPr>
          <w:color w:val="010202"/>
          <w:spacing w:val="1"/>
          <w:sz w:val="22"/>
        </w:rPr>
        <w:t> </w:t>
      </w:r>
      <w:r>
        <w:rPr>
          <w:color w:val="010202"/>
          <w:sz w:val="22"/>
        </w:rPr>
        <w:t>technology resources to maintain equipment,</w:t>
      </w:r>
      <w:r>
        <w:rPr>
          <w:color w:val="010202"/>
          <w:spacing w:val="1"/>
          <w:sz w:val="22"/>
        </w:rPr>
        <w:t> </w:t>
      </w:r>
      <w:r>
        <w:rPr>
          <w:color w:val="010202"/>
          <w:sz w:val="22"/>
        </w:rPr>
        <w:t>support changes in technology, and provide</w:t>
      </w:r>
      <w:r>
        <w:rPr>
          <w:color w:val="010202"/>
          <w:spacing w:val="1"/>
          <w:sz w:val="22"/>
        </w:rPr>
        <w:t> </w:t>
      </w:r>
      <w:r>
        <w:rPr>
          <w:color w:val="010202"/>
          <w:sz w:val="22"/>
        </w:rPr>
        <w:t>training and assistance as issues arise.</w:t>
      </w:r>
      <w:r>
        <w:rPr>
          <w:color w:val="010202"/>
          <w:sz w:val="22"/>
          <w:vertAlign w:val="superscript"/>
        </w:rPr>
        <w:t>13</w:t>
      </w:r>
      <w:r>
        <w:rPr>
          <w:color w:val="010202"/>
          <w:spacing w:val="1"/>
          <w:sz w:val="22"/>
          <w:vertAlign w:val="baseline"/>
        </w:rPr>
        <w:t> </w:t>
      </w:r>
      <w:r>
        <w:rPr>
          <w:color w:val="010202"/>
          <w:sz w:val="22"/>
          <w:vertAlign w:val="baseline"/>
        </w:rPr>
        <w:t>Ensuring staff are available to troubleshoot</w:t>
      </w:r>
      <w:r>
        <w:rPr>
          <w:color w:val="010202"/>
          <w:spacing w:val="1"/>
          <w:sz w:val="22"/>
          <w:vertAlign w:val="baseline"/>
        </w:rPr>
        <w:t> </w:t>
      </w:r>
      <w:r>
        <w:rPr>
          <w:color w:val="010202"/>
          <w:sz w:val="22"/>
          <w:vertAlign w:val="baseline"/>
        </w:rPr>
        <w:t>emergent</w:t>
      </w:r>
      <w:r>
        <w:rPr>
          <w:color w:val="010202"/>
          <w:spacing w:val="-4"/>
          <w:sz w:val="22"/>
          <w:vertAlign w:val="baseline"/>
        </w:rPr>
        <w:t> </w:t>
      </w:r>
      <w:r>
        <w:rPr>
          <w:color w:val="010202"/>
          <w:sz w:val="22"/>
          <w:vertAlign w:val="baseline"/>
        </w:rPr>
        <w:t>technology</w:t>
      </w:r>
      <w:r>
        <w:rPr>
          <w:color w:val="010202"/>
          <w:spacing w:val="-4"/>
          <w:sz w:val="22"/>
          <w:vertAlign w:val="baseline"/>
        </w:rPr>
        <w:t> </w:t>
      </w:r>
      <w:r>
        <w:rPr>
          <w:color w:val="010202"/>
          <w:sz w:val="22"/>
          <w:vertAlign w:val="baseline"/>
        </w:rPr>
        <w:t>issues</w:t>
      </w:r>
      <w:r>
        <w:rPr>
          <w:color w:val="010202"/>
          <w:spacing w:val="-3"/>
          <w:sz w:val="22"/>
          <w:vertAlign w:val="baseline"/>
        </w:rPr>
        <w:t> </w:t>
      </w:r>
      <w:r>
        <w:rPr>
          <w:color w:val="010202"/>
          <w:sz w:val="22"/>
          <w:vertAlign w:val="baseline"/>
        </w:rPr>
        <w:t>can</w:t>
      </w:r>
      <w:r>
        <w:rPr>
          <w:color w:val="010202"/>
          <w:spacing w:val="-4"/>
          <w:sz w:val="22"/>
          <w:vertAlign w:val="baseline"/>
        </w:rPr>
        <w:t> </w:t>
      </w:r>
      <w:r>
        <w:rPr>
          <w:color w:val="010202"/>
          <w:sz w:val="22"/>
          <w:vertAlign w:val="baseline"/>
        </w:rPr>
        <w:t>make</w:t>
      </w:r>
      <w:r>
        <w:rPr>
          <w:color w:val="010202"/>
          <w:spacing w:val="-3"/>
          <w:sz w:val="22"/>
          <w:vertAlign w:val="baseline"/>
        </w:rPr>
        <w:t> </w:t>
      </w:r>
      <w:r>
        <w:rPr>
          <w:color w:val="010202"/>
          <w:sz w:val="22"/>
          <w:vertAlign w:val="baseline"/>
        </w:rPr>
        <w:t>telehealth</w:t>
      </w:r>
      <w:r>
        <w:rPr>
          <w:color w:val="010202"/>
          <w:spacing w:val="-52"/>
          <w:sz w:val="22"/>
          <w:vertAlign w:val="baseline"/>
        </w:rPr>
        <w:t> </w:t>
      </w:r>
      <w:r>
        <w:rPr>
          <w:color w:val="010202"/>
          <w:sz w:val="22"/>
          <w:vertAlign w:val="baseline"/>
        </w:rPr>
        <w:t>implementation</w:t>
      </w:r>
      <w:r>
        <w:rPr>
          <w:color w:val="010202"/>
          <w:spacing w:val="-1"/>
          <w:sz w:val="22"/>
          <w:vertAlign w:val="baseline"/>
        </w:rPr>
        <w:t> </w:t>
      </w:r>
      <w:r>
        <w:rPr>
          <w:color w:val="010202"/>
          <w:sz w:val="22"/>
          <w:vertAlign w:val="baseline"/>
        </w:rPr>
        <w:t>easier.</w:t>
      </w:r>
    </w:p>
    <w:p>
      <w:pPr>
        <w:spacing w:before="149"/>
        <w:ind w:left="120" w:right="0" w:firstLine="0"/>
        <w:jc w:val="left"/>
        <w:rPr>
          <w:rFonts w:ascii="Arial"/>
          <w:b/>
          <w:sz w:val="20"/>
        </w:rPr>
      </w:pPr>
      <w:r>
        <w:rPr>
          <w:rFonts w:ascii="Arial"/>
          <w:b/>
          <w:color w:val="010202"/>
          <w:sz w:val="20"/>
        </w:rPr>
        <w:t>Strategies</w:t>
      </w:r>
      <w:r>
        <w:rPr>
          <w:rFonts w:ascii="Arial"/>
          <w:b/>
          <w:color w:val="010202"/>
          <w:spacing w:val="-6"/>
          <w:sz w:val="20"/>
        </w:rPr>
        <w:t> </w:t>
      </w:r>
      <w:r>
        <w:rPr>
          <w:rFonts w:ascii="Arial"/>
          <w:b/>
          <w:color w:val="010202"/>
          <w:sz w:val="20"/>
        </w:rPr>
        <w:t>for</w:t>
      </w:r>
      <w:r>
        <w:rPr>
          <w:rFonts w:ascii="Arial"/>
          <w:b/>
          <w:color w:val="010202"/>
          <w:spacing w:val="-5"/>
          <w:sz w:val="20"/>
        </w:rPr>
        <w:t> </w:t>
      </w:r>
      <w:r>
        <w:rPr>
          <w:rFonts w:ascii="Arial"/>
          <w:b/>
          <w:color w:val="010202"/>
          <w:sz w:val="20"/>
        </w:rPr>
        <w:t>ensuring</w:t>
      </w:r>
      <w:r>
        <w:rPr>
          <w:rFonts w:ascii="Arial"/>
          <w:b/>
          <w:color w:val="010202"/>
          <w:spacing w:val="-6"/>
          <w:sz w:val="20"/>
        </w:rPr>
        <w:t> </w:t>
      </w:r>
      <w:r>
        <w:rPr>
          <w:rFonts w:ascii="Arial"/>
          <w:b/>
          <w:color w:val="010202"/>
          <w:sz w:val="20"/>
        </w:rPr>
        <w:t>security</w:t>
      </w:r>
      <w:r>
        <w:rPr>
          <w:rFonts w:ascii="Arial"/>
          <w:b/>
          <w:color w:val="010202"/>
          <w:spacing w:val="-5"/>
          <w:sz w:val="20"/>
        </w:rPr>
        <w:t> </w:t>
      </w:r>
      <w:r>
        <w:rPr>
          <w:rFonts w:ascii="Arial"/>
          <w:b/>
          <w:color w:val="010202"/>
          <w:sz w:val="20"/>
        </w:rPr>
        <w:t>and</w:t>
      </w:r>
      <w:r>
        <w:rPr>
          <w:rFonts w:ascii="Arial"/>
          <w:b/>
          <w:color w:val="010202"/>
          <w:spacing w:val="-6"/>
          <w:sz w:val="20"/>
        </w:rPr>
        <w:t> </w:t>
      </w:r>
      <w:r>
        <w:rPr>
          <w:rFonts w:ascii="Arial"/>
          <w:b/>
          <w:color w:val="010202"/>
          <w:sz w:val="20"/>
        </w:rPr>
        <w:t>confidentiality</w:t>
      </w:r>
    </w:p>
    <w:p>
      <w:pPr>
        <w:pStyle w:val="BodyText"/>
        <w:spacing w:line="266" w:lineRule="auto" w:before="192"/>
        <w:ind w:left="119" w:right="267"/>
      </w:pPr>
      <w:r>
        <w:rPr/>
        <w:pict>
          <v:group style="position:absolute;margin-left:36pt;margin-top:150.179840pt;width:252pt;height:151.2pt;mso-position-horizontal-relative:page;mso-position-vertical-relative:paragraph;z-index:15748608" id="docshapegroup121" coordorigin="720,3004" coordsize="5040,3024">
            <v:shape style="position:absolute;left:720;top:3003;width:5040;height:3024" id="docshape122" coordorigin="720,3004" coordsize="5040,3024" path="m5670,3004l810,3004,775,3011,746,3030,727,3059,720,3094,720,5938,727,5973,746,6001,775,6021,810,6028,5670,6028,5705,6021,5734,6001,5753,5973,5760,5938,5760,3094,5753,3059,5734,3030,5705,3011,5670,3004xe" filled="true" fillcolor="#f7e0e0" stroked="false">
              <v:path arrowok="t"/>
              <v:fill type="solid"/>
            </v:shape>
            <v:shape style="position:absolute;left:720;top:3003;width:5040;height:3024" type="#_x0000_t202" id="docshape123" filled="false" stroked="false">
              <v:textbox inset="0,0,0,0">
                <w:txbxContent>
                  <w:p>
                    <w:pPr>
                      <w:spacing w:line="259" w:lineRule="auto" w:before="136"/>
                      <w:ind w:left="180" w:right="317" w:firstLine="0"/>
                      <w:jc w:val="left"/>
                      <w:rPr>
                        <w:rFonts w:ascii="Arial" w:hAnsi="Arial"/>
                        <w:sz w:val="21"/>
                      </w:rPr>
                    </w:pPr>
                    <w:hyperlink r:id="rId238">
                      <w:r>
                        <w:rPr>
                          <w:rFonts w:ascii="Arial" w:hAnsi="Arial"/>
                          <w:color w:val="3953A4"/>
                          <w:sz w:val="21"/>
                          <w:u w:val="single" w:color="3953A4"/>
                        </w:rPr>
                        <w:t>SAMHSA issued guidance on 42 CFR Part 2</w:t>
                      </w:r>
                    </w:hyperlink>
                    <w:r>
                      <w:rPr>
                        <w:rFonts w:ascii="Arial" w:hAnsi="Arial"/>
                        <w:color w:val="010202"/>
                        <w:sz w:val="21"/>
                      </w:rPr>
                      <w:t>,</w:t>
                    </w:r>
                    <w:r>
                      <w:rPr>
                        <w:rFonts w:ascii="Arial" w:hAnsi="Arial"/>
                        <w:color w:val="010202"/>
                        <w:spacing w:val="1"/>
                        <w:sz w:val="21"/>
                      </w:rPr>
                      <w:t> </w:t>
                    </w:r>
                    <w:r>
                      <w:rPr>
                        <w:rFonts w:ascii="Arial" w:hAnsi="Arial"/>
                        <w:color w:val="010202"/>
                        <w:sz w:val="21"/>
                      </w:rPr>
                      <w:t>emphasizing that providers are permitted to</w:t>
                    </w:r>
                    <w:r>
                      <w:rPr>
                        <w:rFonts w:ascii="Arial" w:hAnsi="Arial"/>
                        <w:color w:val="010202"/>
                        <w:spacing w:val="1"/>
                        <w:sz w:val="21"/>
                      </w:rPr>
                      <w:t> </w:t>
                    </w:r>
                    <w:r>
                      <w:rPr>
                        <w:rFonts w:ascii="Arial" w:hAnsi="Arial"/>
                        <w:color w:val="010202"/>
                        <w:sz w:val="21"/>
                      </w:rPr>
                      <w:t>disclose patient information to medical personnel</w:t>
                    </w:r>
                    <w:r>
                      <w:rPr>
                        <w:rFonts w:ascii="Arial" w:hAnsi="Arial"/>
                        <w:color w:val="010202"/>
                        <w:spacing w:val="-57"/>
                        <w:sz w:val="21"/>
                      </w:rPr>
                      <w:t> </w:t>
                    </w:r>
                    <w:r>
                      <w:rPr>
                        <w:rFonts w:ascii="Arial" w:hAnsi="Arial"/>
                        <w:color w:val="010202"/>
                        <w:sz w:val="21"/>
                      </w:rPr>
                      <w:t>without the client’s written</w:t>
                    </w:r>
                    <w:r>
                      <w:rPr>
                        <w:rFonts w:ascii="Arial" w:hAnsi="Arial"/>
                        <w:color w:val="010202"/>
                        <w:spacing w:val="1"/>
                        <w:sz w:val="21"/>
                      </w:rPr>
                      <w:t> </w:t>
                    </w:r>
                    <w:r>
                      <w:rPr>
                        <w:rFonts w:ascii="Arial" w:hAnsi="Arial"/>
                        <w:color w:val="010202"/>
                        <w:sz w:val="21"/>
                      </w:rPr>
                      <w:t>consent to treat</w:t>
                    </w:r>
                    <w:r>
                      <w:rPr>
                        <w:rFonts w:ascii="Arial" w:hAnsi="Arial"/>
                        <w:color w:val="010202"/>
                        <w:spacing w:val="1"/>
                        <w:sz w:val="21"/>
                      </w:rPr>
                      <w:t> </w:t>
                    </w:r>
                    <w:r>
                      <w:rPr>
                        <w:rFonts w:ascii="Arial" w:hAnsi="Arial"/>
                        <w:color w:val="010202"/>
                        <w:sz w:val="21"/>
                      </w:rPr>
                      <w:t>a</w:t>
                    </w:r>
                    <w:r>
                      <w:rPr>
                        <w:rFonts w:ascii="Arial" w:hAnsi="Arial"/>
                        <w:color w:val="010202"/>
                        <w:spacing w:val="1"/>
                        <w:sz w:val="21"/>
                      </w:rPr>
                      <w:t> </w:t>
                    </w:r>
                    <w:r>
                      <w:rPr>
                        <w:rFonts w:ascii="Arial" w:hAnsi="Arial"/>
                        <w:color w:val="010202"/>
                        <w:sz w:val="21"/>
                      </w:rPr>
                      <w:t>bona fide medical emergency. In the context of</w:t>
                    </w:r>
                    <w:r>
                      <w:rPr>
                        <w:rFonts w:ascii="Arial" w:hAnsi="Arial"/>
                        <w:color w:val="010202"/>
                        <w:spacing w:val="1"/>
                        <w:sz w:val="21"/>
                      </w:rPr>
                      <w:t> </w:t>
                    </w:r>
                    <w:r>
                      <w:rPr>
                        <w:rFonts w:ascii="Arial" w:hAnsi="Arial"/>
                        <w:color w:val="010202"/>
                        <w:sz w:val="21"/>
                      </w:rPr>
                      <w:t>telehealth,</w:t>
                    </w:r>
                    <w:r>
                      <w:rPr>
                        <w:rFonts w:ascii="Arial" w:hAnsi="Arial"/>
                        <w:color w:val="010202"/>
                        <w:spacing w:val="-1"/>
                        <w:sz w:val="21"/>
                      </w:rPr>
                      <w:t> </w:t>
                    </w:r>
                    <w:r>
                      <w:rPr>
                        <w:rFonts w:ascii="Arial" w:hAnsi="Arial"/>
                        <w:color w:val="010202"/>
                        <w:sz w:val="21"/>
                      </w:rPr>
                      <w:t>this guidance is intended to ensure</w:t>
                    </w:r>
                  </w:p>
                  <w:p>
                    <w:pPr>
                      <w:spacing w:line="259" w:lineRule="auto" w:before="0"/>
                      <w:ind w:left="180" w:right="241" w:firstLine="0"/>
                      <w:jc w:val="left"/>
                      <w:rPr>
                        <w:rFonts w:ascii="Arial"/>
                        <w:sz w:val="12"/>
                      </w:rPr>
                    </w:pPr>
                    <w:r>
                      <w:rPr>
                        <w:rFonts w:ascii="Arial"/>
                        <w:color w:val="010202"/>
                        <w:sz w:val="21"/>
                      </w:rPr>
                      <w:t>clinically appropriate communications and access</w:t>
                    </w:r>
                    <w:r>
                      <w:rPr>
                        <w:rFonts w:ascii="Arial"/>
                        <w:color w:val="010202"/>
                        <w:spacing w:val="-57"/>
                        <w:sz w:val="21"/>
                      </w:rPr>
                      <w:t> </w:t>
                    </w:r>
                    <w:r>
                      <w:rPr>
                        <w:rFonts w:ascii="Arial"/>
                        <w:color w:val="010202"/>
                        <w:sz w:val="21"/>
                      </w:rPr>
                      <w:t>to SUD care in instances where a client may not</w:t>
                    </w:r>
                    <w:r>
                      <w:rPr>
                        <w:rFonts w:ascii="Arial"/>
                        <w:color w:val="010202"/>
                        <w:spacing w:val="1"/>
                        <w:sz w:val="21"/>
                      </w:rPr>
                      <w:t> </w:t>
                    </w:r>
                    <w:r>
                      <w:rPr>
                        <w:rFonts w:ascii="Arial"/>
                        <w:color w:val="010202"/>
                        <w:sz w:val="21"/>
                      </w:rPr>
                      <w:t>be able to access normal care due to a public</w:t>
                    </w:r>
                    <w:r>
                      <w:rPr>
                        <w:rFonts w:ascii="Arial"/>
                        <w:color w:val="010202"/>
                        <w:spacing w:val="1"/>
                        <w:sz w:val="21"/>
                      </w:rPr>
                      <w:t> </w:t>
                    </w:r>
                    <w:r>
                      <w:rPr>
                        <w:rFonts w:ascii="Arial"/>
                        <w:color w:val="010202"/>
                        <w:sz w:val="21"/>
                      </w:rPr>
                      <w:t>health</w:t>
                    </w:r>
                    <w:r>
                      <w:rPr>
                        <w:rFonts w:ascii="Arial"/>
                        <w:color w:val="010202"/>
                        <w:spacing w:val="-1"/>
                        <w:sz w:val="21"/>
                      </w:rPr>
                      <w:t> </w:t>
                    </w:r>
                    <w:r>
                      <w:rPr>
                        <w:rFonts w:ascii="Arial"/>
                        <w:color w:val="010202"/>
                        <w:sz w:val="21"/>
                      </w:rPr>
                      <w:t>emergency.</w:t>
                    </w:r>
                    <w:r>
                      <w:rPr>
                        <w:rFonts w:ascii="Arial"/>
                        <w:color w:val="010202"/>
                        <w:position w:val="7"/>
                        <w:sz w:val="12"/>
                      </w:rPr>
                      <w:t>42</w:t>
                    </w:r>
                  </w:p>
                </w:txbxContent>
              </v:textbox>
              <w10:wrap type="none"/>
            </v:shape>
            <w10:wrap type="none"/>
          </v:group>
        </w:pict>
      </w:r>
      <w:r>
        <w:rPr>
          <w:color w:val="231F20"/>
        </w:rPr>
        <w:t>Clients and providers must trust that their personal</w:t>
      </w:r>
      <w:r>
        <w:rPr>
          <w:color w:val="231F20"/>
          <w:spacing w:val="1"/>
        </w:rPr>
        <w:t> </w:t>
      </w:r>
      <w:r>
        <w:rPr>
          <w:color w:val="231F20"/>
        </w:rPr>
        <w:t>information will remain secure when using telehealth</w:t>
      </w:r>
      <w:r>
        <w:rPr>
          <w:color w:val="231F20"/>
          <w:spacing w:val="1"/>
        </w:rPr>
        <w:t> </w:t>
      </w:r>
      <w:r>
        <w:rPr>
          <w:color w:val="231F20"/>
        </w:rPr>
        <w:t>and online systems.</w:t>
      </w:r>
      <w:r>
        <w:rPr>
          <w:color w:val="231F20"/>
          <w:vertAlign w:val="superscript"/>
        </w:rPr>
        <w:t>43</w:t>
      </w:r>
      <w:r>
        <w:rPr>
          <w:color w:val="231F20"/>
          <w:vertAlign w:val="baseline"/>
        </w:rPr>
        <w:t> Similarly, privacy and</w:t>
      </w:r>
      <w:r>
        <w:rPr>
          <w:color w:val="231F20"/>
          <w:spacing w:val="1"/>
          <w:vertAlign w:val="baseline"/>
        </w:rPr>
        <w:t> </w:t>
      </w:r>
      <w:r>
        <w:rPr>
          <w:color w:val="231F20"/>
          <w:vertAlign w:val="baseline"/>
        </w:rPr>
        <w:t>confidentiality concerns could deter clients from</w:t>
      </w:r>
      <w:r>
        <w:rPr>
          <w:color w:val="231F20"/>
          <w:spacing w:val="1"/>
          <w:vertAlign w:val="baseline"/>
        </w:rPr>
        <w:t> </w:t>
      </w:r>
      <w:r>
        <w:rPr>
          <w:color w:val="231F20"/>
          <w:vertAlign w:val="baseline"/>
        </w:rPr>
        <w:t>talking about sensitive health issues through telehealth</w:t>
      </w:r>
      <w:r>
        <w:rPr>
          <w:color w:val="231F20"/>
          <w:spacing w:val="-52"/>
          <w:vertAlign w:val="baseline"/>
        </w:rPr>
        <w:t> </w:t>
      </w:r>
      <w:r>
        <w:rPr>
          <w:color w:val="231F20"/>
          <w:vertAlign w:val="baseline"/>
        </w:rPr>
        <w:t>modalities.</w:t>
      </w:r>
      <w:r>
        <w:rPr>
          <w:color w:val="231F20"/>
          <w:vertAlign w:val="superscript"/>
        </w:rPr>
        <w:t>5</w:t>
      </w:r>
      <w:r>
        <w:rPr>
          <w:color w:val="231F20"/>
          <w:vertAlign w:val="baseline"/>
        </w:rPr>
        <w:t> When clients experience a loss of</w:t>
      </w:r>
      <w:r>
        <w:rPr>
          <w:color w:val="231F20"/>
          <w:spacing w:val="1"/>
          <w:vertAlign w:val="baseline"/>
        </w:rPr>
        <w:t> </w:t>
      </w:r>
      <w:r>
        <w:rPr>
          <w:color w:val="231F20"/>
          <w:vertAlign w:val="baseline"/>
        </w:rPr>
        <w:t>confidentiality or privacy, it can negatively impact the</w:t>
      </w:r>
      <w:r>
        <w:rPr>
          <w:color w:val="231F20"/>
          <w:spacing w:val="-52"/>
          <w:vertAlign w:val="baseline"/>
        </w:rPr>
        <w:t> </w:t>
      </w:r>
      <w:r>
        <w:rPr>
          <w:color w:val="231F20"/>
          <w:vertAlign w:val="baseline"/>
        </w:rPr>
        <w:t>client-provider relationship, treatment adherence, and</w:t>
      </w:r>
      <w:r>
        <w:rPr>
          <w:color w:val="231F20"/>
          <w:spacing w:val="1"/>
          <w:vertAlign w:val="baseline"/>
        </w:rPr>
        <w:t> </w:t>
      </w:r>
      <w:r>
        <w:rPr>
          <w:color w:val="231F20"/>
          <w:vertAlign w:val="baseline"/>
        </w:rPr>
        <w:t>compliance,</w:t>
      </w:r>
      <w:r>
        <w:rPr>
          <w:color w:val="231F20"/>
          <w:spacing w:val="-5"/>
          <w:vertAlign w:val="baseline"/>
        </w:rPr>
        <w:t> </w:t>
      </w:r>
      <w:r>
        <w:rPr>
          <w:color w:val="231F20"/>
          <w:vertAlign w:val="baseline"/>
        </w:rPr>
        <w:t>and,</w:t>
      </w:r>
      <w:r>
        <w:rPr>
          <w:color w:val="231F20"/>
          <w:spacing w:val="-4"/>
          <w:vertAlign w:val="baseline"/>
        </w:rPr>
        <w:t> </w:t>
      </w:r>
      <w:r>
        <w:rPr>
          <w:color w:val="231F20"/>
          <w:vertAlign w:val="baseline"/>
        </w:rPr>
        <w:t>therefore,</w:t>
      </w:r>
      <w:r>
        <w:rPr>
          <w:color w:val="231F20"/>
          <w:spacing w:val="-5"/>
          <w:vertAlign w:val="baseline"/>
        </w:rPr>
        <w:t> </w:t>
      </w:r>
      <w:r>
        <w:rPr>
          <w:color w:val="231F20"/>
          <w:vertAlign w:val="baseline"/>
        </w:rPr>
        <w:t>treatment</w:t>
      </w:r>
      <w:r>
        <w:rPr>
          <w:color w:val="231F20"/>
          <w:spacing w:val="-4"/>
          <w:vertAlign w:val="baseline"/>
        </w:rPr>
        <w:t> </w:t>
      </w:r>
      <w:r>
        <w:rPr>
          <w:color w:val="231F20"/>
          <w:vertAlign w:val="baseline"/>
        </w:rPr>
        <w:t>effectiveness.</w:t>
      </w:r>
      <w:r>
        <w:rPr>
          <w:color w:val="231F20"/>
          <w:vertAlign w:val="superscript"/>
        </w:rPr>
        <w:t>44</w:t>
      </w:r>
    </w:p>
    <w:p>
      <w:pPr>
        <w:pStyle w:val="BodyText"/>
        <w:spacing w:line="266" w:lineRule="auto" w:before="119"/>
        <w:ind w:left="119" w:right="764"/>
        <w:jc w:val="both"/>
      </w:pPr>
      <w:r>
        <w:rPr/>
        <w:br w:type="column"/>
      </w:r>
      <w:r>
        <w:rPr>
          <w:color w:val="231F20"/>
          <w:spacing w:val="-4"/>
        </w:rPr>
        <w:t>Telehealth</w:t>
      </w:r>
      <w:r>
        <w:rPr>
          <w:color w:val="231F20"/>
          <w:spacing w:val="-10"/>
        </w:rPr>
        <w:t> </w:t>
      </w:r>
      <w:r>
        <w:rPr>
          <w:color w:val="231F20"/>
          <w:spacing w:val="-4"/>
        </w:rPr>
        <w:t>providers</w:t>
      </w:r>
      <w:r>
        <w:rPr>
          <w:color w:val="231F20"/>
          <w:spacing w:val="-9"/>
        </w:rPr>
        <w:t> </w:t>
      </w:r>
      <w:r>
        <w:rPr>
          <w:color w:val="231F20"/>
          <w:spacing w:val="-3"/>
        </w:rPr>
        <w:t>must</w:t>
      </w:r>
      <w:r>
        <w:rPr>
          <w:color w:val="231F20"/>
          <w:spacing w:val="-10"/>
        </w:rPr>
        <w:t> </w:t>
      </w:r>
      <w:r>
        <w:rPr>
          <w:color w:val="231F20"/>
          <w:spacing w:val="-3"/>
        </w:rPr>
        <w:t>use</w:t>
      </w:r>
      <w:r>
        <w:rPr>
          <w:color w:val="231F20"/>
          <w:spacing w:val="-9"/>
        </w:rPr>
        <w:t> </w:t>
      </w:r>
      <w:r>
        <w:rPr>
          <w:color w:val="231F20"/>
          <w:spacing w:val="-3"/>
        </w:rPr>
        <w:t>secure</w:t>
      </w:r>
      <w:r>
        <w:rPr>
          <w:color w:val="231F20"/>
          <w:spacing w:val="-10"/>
        </w:rPr>
        <w:t> </w:t>
      </w:r>
      <w:r>
        <w:rPr>
          <w:color w:val="231F20"/>
          <w:spacing w:val="-3"/>
        </w:rPr>
        <w:t>and</w:t>
      </w:r>
      <w:r>
        <w:rPr>
          <w:color w:val="231F20"/>
          <w:spacing w:val="-9"/>
        </w:rPr>
        <w:t> </w:t>
      </w:r>
      <w:r>
        <w:rPr>
          <w:color w:val="231F20"/>
          <w:spacing w:val="-3"/>
        </w:rPr>
        <w:t>private</w:t>
      </w:r>
      <w:r>
        <w:rPr>
          <w:color w:val="231F20"/>
          <w:spacing w:val="-10"/>
        </w:rPr>
        <w:t> </w:t>
      </w:r>
      <w:r>
        <w:rPr>
          <w:color w:val="231F20"/>
          <w:spacing w:val="-3"/>
        </w:rPr>
        <w:t>platforms</w:t>
      </w:r>
      <w:r>
        <w:rPr>
          <w:color w:val="231F20"/>
          <w:spacing w:val="-52"/>
        </w:rPr>
        <w:t> </w:t>
      </w:r>
      <w:r>
        <w:rPr>
          <w:color w:val="231F20"/>
          <w:spacing w:val="-3"/>
        </w:rPr>
        <w:t>to</w:t>
      </w:r>
      <w:r>
        <w:rPr>
          <w:color w:val="231F20"/>
          <w:spacing w:val="-11"/>
        </w:rPr>
        <w:t> </w:t>
      </w:r>
      <w:r>
        <w:rPr>
          <w:color w:val="231F20"/>
          <w:spacing w:val="-3"/>
        </w:rPr>
        <w:t>engage</w:t>
      </w:r>
      <w:r>
        <w:rPr>
          <w:color w:val="231F20"/>
          <w:spacing w:val="-11"/>
        </w:rPr>
        <w:t> </w:t>
      </w:r>
      <w:r>
        <w:rPr>
          <w:color w:val="231F20"/>
          <w:spacing w:val="-3"/>
        </w:rPr>
        <w:t>in</w:t>
      </w:r>
      <w:r>
        <w:rPr>
          <w:color w:val="231F20"/>
          <w:spacing w:val="-10"/>
        </w:rPr>
        <w:t> </w:t>
      </w:r>
      <w:r>
        <w:rPr>
          <w:color w:val="231F20"/>
          <w:spacing w:val="-3"/>
        </w:rPr>
        <w:t>telehealth</w:t>
      </w:r>
      <w:r>
        <w:rPr>
          <w:color w:val="231F20"/>
          <w:spacing w:val="-11"/>
        </w:rPr>
        <w:t> </w:t>
      </w:r>
      <w:r>
        <w:rPr>
          <w:color w:val="231F20"/>
          <w:spacing w:val="-3"/>
        </w:rPr>
        <w:t>with</w:t>
      </w:r>
      <w:r>
        <w:rPr>
          <w:color w:val="231F20"/>
          <w:spacing w:val="-11"/>
        </w:rPr>
        <w:t> </w:t>
      </w:r>
      <w:r>
        <w:rPr>
          <w:color w:val="231F20"/>
          <w:spacing w:val="-3"/>
        </w:rPr>
        <w:t>clients.</w:t>
      </w:r>
      <w:r>
        <w:rPr>
          <w:color w:val="231F20"/>
          <w:spacing w:val="-10"/>
        </w:rPr>
        <w:t> </w:t>
      </w:r>
      <w:r>
        <w:rPr>
          <w:color w:val="231F20"/>
          <w:spacing w:val="-3"/>
        </w:rPr>
        <w:t>Common</w:t>
      </w:r>
      <w:r>
        <w:rPr>
          <w:color w:val="231F20"/>
          <w:spacing w:val="-11"/>
        </w:rPr>
        <w:t> </w:t>
      </w:r>
      <w:r>
        <w:rPr>
          <w:color w:val="231F20"/>
          <w:spacing w:val="-2"/>
        </w:rPr>
        <w:t>strategies</w:t>
      </w:r>
      <w:r>
        <w:rPr>
          <w:color w:val="231F20"/>
          <w:spacing w:val="-11"/>
        </w:rPr>
        <w:t> </w:t>
      </w:r>
      <w:r>
        <w:rPr>
          <w:color w:val="231F20"/>
          <w:spacing w:val="-2"/>
        </w:rPr>
        <w:t>for</w:t>
      </w:r>
      <w:r>
        <w:rPr>
          <w:color w:val="231F20"/>
          <w:spacing w:val="-52"/>
        </w:rPr>
        <w:t> </w:t>
      </w:r>
      <w:r>
        <w:rPr>
          <w:color w:val="231F20"/>
          <w:spacing w:val="-1"/>
        </w:rPr>
        <w:t>addressing</w:t>
      </w:r>
      <w:r>
        <w:rPr>
          <w:color w:val="231F20"/>
          <w:spacing w:val="-13"/>
        </w:rPr>
        <w:t> </w:t>
      </w:r>
      <w:r>
        <w:rPr>
          <w:color w:val="231F20"/>
          <w:spacing w:val="-1"/>
        </w:rPr>
        <w:t>client</w:t>
      </w:r>
      <w:r>
        <w:rPr>
          <w:color w:val="231F20"/>
          <w:spacing w:val="-13"/>
        </w:rPr>
        <w:t> </w:t>
      </w:r>
      <w:r>
        <w:rPr>
          <w:color w:val="231F20"/>
          <w:spacing w:val="-1"/>
        </w:rPr>
        <w:t>concerns</w:t>
      </w:r>
      <w:r>
        <w:rPr>
          <w:color w:val="231F20"/>
          <w:spacing w:val="-12"/>
        </w:rPr>
        <w:t> </w:t>
      </w:r>
      <w:r>
        <w:rPr>
          <w:color w:val="231F20"/>
          <w:spacing w:val="-1"/>
        </w:rPr>
        <w:t>about</w:t>
      </w:r>
      <w:r>
        <w:rPr>
          <w:color w:val="231F20"/>
          <w:spacing w:val="-13"/>
        </w:rPr>
        <w:t> </w:t>
      </w:r>
      <w:r>
        <w:rPr>
          <w:color w:val="231F20"/>
        </w:rPr>
        <w:t>privacy</w:t>
      </w:r>
      <w:r>
        <w:rPr>
          <w:color w:val="231F20"/>
          <w:spacing w:val="-13"/>
        </w:rPr>
        <w:t> </w:t>
      </w:r>
      <w:r>
        <w:rPr>
          <w:color w:val="231F20"/>
        </w:rPr>
        <w:t>include:</w:t>
      </w:r>
    </w:p>
    <w:p>
      <w:pPr>
        <w:pStyle w:val="ListParagraph"/>
        <w:numPr>
          <w:ilvl w:val="1"/>
          <w:numId w:val="5"/>
        </w:numPr>
        <w:tabs>
          <w:tab w:pos="839" w:val="left" w:leader="none"/>
          <w:tab w:pos="840" w:val="left" w:leader="none"/>
        </w:tabs>
        <w:spacing w:line="264" w:lineRule="auto" w:before="162" w:after="0"/>
        <w:ind w:left="839" w:right="776" w:hanging="360"/>
        <w:jc w:val="left"/>
        <w:rPr>
          <w:rFonts w:ascii="Symbol" w:hAnsi="Symbol"/>
          <w:color w:val="010202"/>
          <w:sz w:val="22"/>
        </w:rPr>
      </w:pPr>
      <w:r>
        <w:rPr>
          <w:b/>
          <w:color w:val="010202"/>
          <w:spacing w:val="-2"/>
          <w:sz w:val="22"/>
        </w:rPr>
        <w:t>Identify</w:t>
      </w:r>
      <w:r>
        <w:rPr>
          <w:b/>
          <w:color w:val="010202"/>
          <w:spacing w:val="-12"/>
          <w:sz w:val="22"/>
        </w:rPr>
        <w:t> </w:t>
      </w:r>
      <w:r>
        <w:rPr>
          <w:b/>
          <w:color w:val="010202"/>
          <w:spacing w:val="-2"/>
          <w:sz w:val="22"/>
        </w:rPr>
        <w:t>secure</w:t>
      </w:r>
      <w:r>
        <w:rPr>
          <w:b/>
          <w:color w:val="010202"/>
          <w:spacing w:val="-11"/>
          <w:sz w:val="22"/>
        </w:rPr>
        <w:t> </w:t>
      </w:r>
      <w:r>
        <w:rPr>
          <w:b/>
          <w:color w:val="010202"/>
          <w:spacing w:val="-1"/>
          <w:sz w:val="22"/>
        </w:rPr>
        <w:t>spaces</w:t>
      </w:r>
      <w:r>
        <w:rPr>
          <w:b/>
          <w:color w:val="010202"/>
          <w:spacing w:val="-11"/>
          <w:sz w:val="22"/>
        </w:rPr>
        <w:t> </w:t>
      </w:r>
      <w:r>
        <w:rPr>
          <w:b/>
          <w:color w:val="010202"/>
          <w:spacing w:val="-1"/>
          <w:sz w:val="22"/>
        </w:rPr>
        <w:t>to</w:t>
      </w:r>
      <w:r>
        <w:rPr>
          <w:b/>
          <w:color w:val="010202"/>
          <w:spacing w:val="-11"/>
          <w:sz w:val="22"/>
        </w:rPr>
        <w:t> </w:t>
      </w:r>
      <w:r>
        <w:rPr>
          <w:b/>
          <w:color w:val="010202"/>
          <w:spacing w:val="-1"/>
          <w:sz w:val="22"/>
        </w:rPr>
        <w:t>engage</w:t>
      </w:r>
      <w:r>
        <w:rPr>
          <w:b/>
          <w:color w:val="010202"/>
          <w:spacing w:val="-12"/>
          <w:sz w:val="22"/>
        </w:rPr>
        <w:t> </w:t>
      </w:r>
      <w:r>
        <w:rPr>
          <w:b/>
          <w:color w:val="010202"/>
          <w:spacing w:val="-1"/>
          <w:sz w:val="22"/>
        </w:rPr>
        <w:t>in</w:t>
      </w:r>
      <w:r>
        <w:rPr>
          <w:b/>
          <w:color w:val="010202"/>
          <w:spacing w:val="-11"/>
          <w:sz w:val="22"/>
        </w:rPr>
        <w:t> </w:t>
      </w:r>
      <w:r>
        <w:rPr>
          <w:b/>
          <w:color w:val="010202"/>
          <w:spacing w:val="-1"/>
          <w:sz w:val="22"/>
        </w:rPr>
        <w:t>telehealth</w:t>
      </w:r>
      <w:r>
        <w:rPr>
          <w:b/>
          <w:color w:val="010202"/>
          <w:spacing w:val="-10"/>
          <w:sz w:val="22"/>
        </w:rPr>
        <w:t> </w:t>
      </w:r>
      <w:r>
        <w:rPr>
          <w:color w:val="010202"/>
          <w:spacing w:val="-1"/>
          <w:sz w:val="22"/>
        </w:rPr>
        <w:t>–</w:t>
      </w:r>
      <w:r>
        <w:rPr>
          <w:color w:val="010202"/>
          <w:spacing w:val="-52"/>
          <w:sz w:val="22"/>
        </w:rPr>
        <w:t> </w:t>
      </w:r>
      <w:r>
        <w:rPr>
          <w:color w:val="010202"/>
          <w:sz w:val="22"/>
        </w:rPr>
        <w:t>Providers may face concerns with lack of space</w:t>
      </w:r>
      <w:r>
        <w:rPr>
          <w:color w:val="010202"/>
          <w:spacing w:val="1"/>
          <w:sz w:val="22"/>
        </w:rPr>
        <w:t> </w:t>
      </w:r>
      <w:r>
        <w:rPr>
          <w:color w:val="010202"/>
          <w:sz w:val="22"/>
        </w:rPr>
        <w:t>and privacy, but having the appropriate space to</w:t>
      </w:r>
      <w:r>
        <w:rPr>
          <w:color w:val="010202"/>
          <w:spacing w:val="-52"/>
          <w:sz w:val="22"/>
        </w:rPr>
        <w:t> </w:t>
      </w:r>
      <w:r>
        <w:rPr>
          <w:color w:val="010202"/>
          <w:w w:val="95"/>
          <w:sz w:val="22"/>
        </w:rPr>
        <w:t>engage</w:t>
      </w:r>
      <w:r>
        <w:rPr>
          <w:color w:val="010202"/>
          <w:spacing w:val="7"/>
          <w:w w:val="95"/>
          <w:sz w:val="22"/>
        </w:rPr>
        <w:t> </w:t>
      </w:r>
      <w:r>
        <w:rPr>
          <w:color w:val="010202"/>
          <w:w w:val="95"/>
          <w:sz w:val="22"/>
        </w:rPr>
        <w:t>in</w:t>
      </w:r>
      <w:r>
        <w:rPr>
          <w:color w:val="010202"/>
          <w:spacing w:val="7"/>
          <w:w w:val="95"/>
          <w:sz w:val="22"/>
        </w:rPr>
        <w:t> </w:t>
      </w:r>
      <w:r>
        <w:rPr>
          <w:color w:val="010202"/>
          <w:w w:val="95"/>
          <w:sz w:val="22"/>
        </w:rPr>
        <w:t>telehealth</w:t>
      </w:r>
      <w:r>
        <w:rPr>
          <w:color w:val="010202"/>
          <w:spacing w:val="8"/>
          <w:w w:val="95"/>
          <w:sz w:val="22"/>
        </w:rPr>
        <w:t> </w:t>
      </w:r>
      <w:r>
        <w:rPr>
          <w:color w:val="010202"/>
          <w:w w:val="95"/>
          <w:sz w:val="22"/>
        </w:rPr>
        <w:t>is</w:t>
      </w:r>
      <w:r>
        <w:rPr>
          <w:color w:val="010202"/>
          <w:spacing w:val="7"/>
          <w:w w:val="95"/>
          <w:sz w:val="22"/>
        </w:rPr>
        <w:t> </w:t>
      </w:r>
      <w:r>
        <w:rPr>
          <w:color w:val="010202"/>
          <w:w w:val="95"/>
          <w:sz w:val="22"/>
        </w:rPr>
        <w:t>essential.</w:t>
      </w:r>
      <w:r>
        <w:rPr>
          <w:color w:val="010202"/>
          <w:w w:val="95"/>
          <w:sz w:val="22"/>
          <w:vertAlign w:val="superscript"/>
        </w:rPr>
        <w:t>38,</w:t>
      </w:r>
      <w:r>
        <w:rPr>
          <w:color w:val="010202"/>
          <w:spacing w:val="-18"/>
          <w:w w:val="95"/>
          <w:sz w:val="22"/>
          <w:vertAlign w:val="baseline"/>
        </w:rPr>
        <w:t> </w:t>
      </w:r>
      <w:r>
        <w:rPr>
          <w:color w:val="010202"/>
          <w:w w:val="95"/>
          <w:sz w:val="22"/>
          <w:vertAlign w:val="superscript"/>
        </w:rPr>
        <w:t>40</w:t>
      </w:r>
    </w:p>
    <w:p>
      <w:pPr>
        <w:pStyle w:val="ListParagraph"/>
        <w:numPr>
          <w:ilvl w:val="2"/>
          <w:numId w:val="5"/>
        </w:numPr>
        <w:tabs>
          <w:tab w:pos="1199" w:val="left" w:leader="none"/>
          <w:tab w:pos="1200" w:val="left" w:leader="none"/>
        </w:tabs>
        <w:spacing w:line="249" w:lineRule="auto" w:before="63" w:after="0"/>
        <w:ind w:left="1199" w:right="993" w:hanging="360"/>
        <w:jc w:val="left"/>
        <w:rPr>
          <w:sz w:val="22"/>
        </w:rPr>
      </w:pPr>
      <w:r>
        <w:rPr>
          <w:color w:val="010202"/>
          <w:sz w:val="22"/>
        </w:rPr>
        <w:t>Identify private offices and meeting</w:t>
      </w:r>
      <w:r>
        <w:rPr>
          <w:color w:val="010202"/>
          <w:spacing w:val="1"/>
          <w:sz w:val="22"/>
        </w:rPr>
        <w:t> </w:t>
      </w:r>
      <w:r>
        <w:rPr>
          <w:color w:val="010202"/>
          <w:sz w:val="22"/>
        </w:rPr>
        <w:t>rooms (with doors that close to minimize</w:t>
      </w:r>
      <w:r>
        <w:rPr>
          <w:color w:val="010202"/>
          <w:spacing w:val="1"/>
          <w:sz w:val="22"/>
        </w:rPr>
        <w:t> </w:t>
      </w:r>
      <w:r>
        <w:rPr>
          <w:color w:val="010202"/>
          <w:sz w:val="22"/>
        </w:rPr>
        <w:t>interruptions and no windows to hallways</w:t>
      </w:r>
      <w:r>
        <w:rPr>
          <w:color w:val="010202"/>
          <w:spacing w:val="-52"/>
          <w:sz w:val="22"/>
        </w:rPr>
        <w:t> </w:t>
      </w:r>
      <w:r>
        <w:rPr>
          <w:color w:val="010202"/>
          <w:sz w:val="22"/>
        </w:rPr>
        <w:t>where</w:t>
      </w:r>
      <w:r>
        <w:rPr>
          <w:color w:val="010202"/>
          <w:spacing w:val="-1"/>
          <w:sz w:val="22"/>
        </w:rPr>
        <w:t> </w:t>
      </w:r>
      <w:r>
        <w:rPr>
          <w:color w:val="010202"/>
          <w:sz w:val="22"/>
        </w:rPr>
        <w:t>others can look in on sessions)</w:t>
      </w:r>
    </w:p>
    <w:p>
      <w:pPr>
        <w:pStyle w:val="BodyText"/>
        <w:spacing w:before="2"/>
        <w:ind w:left="1199"/>
      </w:pPr>
      <w:r>
        <w:rPr>
          <w:color w:val="010202"/>
        </w:rPr>
        <w:t>that</w:t>
      </w:r>
      <w:r>
        <w:rPr>
          <w:color w:val="010202"/>
          <w:spacing w:val="-3"/>
        </w:rPr>
        <w:t> </w:t>
      </w:r>
      <w:r>
        <w:rPr>
          <w:color w:val="010202"/>
        </w:rPr>
        <w:t>can</w:t>
      </w:r>
      <w:r>
        <w:rPr>
          <w:color w:val="010202"/>
          <w:spacing w:val="-2"/>
        </w:rPr>
        <w:t> </w:t>
      </w:r>
      <w:r>
        <w:rPr>
          <w:color w:val="010202"/>
        </w:rPr>
        <w:t>be</w:t>
      </w:r>
      <w:r>
        <w:rPr>
          <w:color w:val="010202"/>
          <w:spacing w:val="-2"/>
        </w:rPr>
        <w:t> </w:t>
      </w:r>
      <w:r>
        <w:rPr>
          <w:color w:val="010202"/>
        </w:rPr>
        <w:t>outfitted</w:t>
      </w:r>
      <w:r>
        <w:rPr>
          <w:color w:val="010202"/>
          <w:spacing w:val="-2"/>
        </w:rPr>
        <w:t> </w:t>
      </w:r>
      <w:r>
        <w:rPr>
          <w:color w:val="010202"/>
        </w:rPr>
        <w:t>with</w:t>
      </w:r>
      <w:r>
        <w:rPr>
          <w:color w:val="010202"/>
          <w:spacing w:val="-3"/>
        </w:rPr>
        <w:t> </w:t>
      </w:r>
      <w:r>
        <w:rPr>
          <w:color w:val="010202"/>
        </w:rPr>
        <w:t>the</w:t>
      </w:r>
      <w:r>
        <w:rPr>
          <w:color w:val="010202"/>
          <w:spacing w:val="-2"/>
        </w:rPr>
        <w:t> </w:t>
      </w:r>
      <w:r>
        <w:rPr>
          <w:color w:val="010202"/>
        </w:rPr>
        <w:t>appropriate</w:t>
      </w:r>
    </w:p>
    <w:p>
      <w:pPr>
        <w:pStyle w:val="BodyText"/>
        <w:spacing w:line="251" w:lineRule="exact" w:before="11"/>
        <w:ind w:left="1199"/>
      </w:pPr>
      <w:r>
        <w:rPr>
          <w:color w:val="010202"/>
        </w:rPr>
        <w:t>technology</w:t>
      </w:r>
      <w:r>
        <w:rPr>
          <w:color w:val="010202"/>
          <w:spacing w:val="-1"/>
        </w:rPr>
        <w:t> </w:t>
      </w:r>
      <w:r>
        <w:rPr>
          <w:color w:val="010202"/>
        </w:rPr>
        <w:t>for telehealth visits.</w:t>
      </w:r>
    </w:p>
    <w:p>
      <w:pPr>
        <w:pStyle w:val="ListParagraph"/>
        <w:numPr>
          <w:ilvl w:val="2"/>
          <w:numId w:val="5"/>
        </w:numPr>
        <w:tabs>
          <w:tab w:pos="1199" w:val="left" w:leader="none"/>
          <w:tab w:pos="1200" w:val="left" w:leader="none"/>
        </w:tabs>
        <w:spacing w:line="249" w:lineRule="auto" w:before="0" w:after="0"/>
        <w:ind w:left="1199" w:right="817" w:hanging="360"/>
        <w:jc w:val="left"/>
        <w:rPr>
          <w:sz w:val="22"/>
        </w:rPr>
      </w:pPr>
      <w:r>
        <w:rPr>
          <w:color w:val="010202"/>
          <w:sz w:val="22"/>
        </w:rPr>
        <w:t>The impact of breaches in client</w:t>
      </w:r>
      <w:r>
        <w:rPr>
          <w:color w:val="010202"/>
          <w:spacing w:val="1"/>
          <w:sz w:val="22"/>
        </w:rPr>
        <w:t> </w:t>
      </w:r>
      <w:r>
        <w:rPr>
          <w:color w:val="010202"/>
          <w:sz w:val="22"/>
        </w:rPr>
        <w:t>confidentiality is exacerbated in clinically</w:t>
      </w:r>
      <w:r>
        <w:rPr>
          <w:color w:val="010202"/>
          <w:spacing w:val="1"/>
          <w:sz w:val="22"/>
        </w:rPr>
        <w:t> </w:t>
      </w:r>
      <w:r>
        <w:rPr>
          <w:color w:val="010202"/>
          <w:sz w:val="22"/>
        </w:rPr>
        <w:t>unsupervised settings, like personal</w:t>
      </w:r>
      <w:r>
        <w:rPr>
          <w:color w:val="010202"/>
          <w:spacing w:val="1"/>
          <w:sz w:val="22"/>
        </w:rPr>
        <w:t> </w:t>
      </w:r>
      <w:r>
        <w:rPr>
          <w:color w:val="010202"/>
          <w:sz w:val="22"/>
        </w:rPr>
        <w:t>residences, because conversations may be</w:t>
      </w:r>
      <w:r>
        <w:rPr>
          <w:color w:val="010202"/>
          <w:spacing w:val="1"/>
          <w:sz w:val="22"/>
        </w:rPr>
        <w:t> </w:t>
      </w:r>
      <w:r>
        <w:rPr>
          <w:color w:val="010202"/>
          <w:sz w:val="22"/>
        </w:rPr>
        <w:t>overheard. Work with clients to identify</w:t>
      </w:r>
      <w:r>
        <w:rPr>
          <w:color w:val="010202"/>
          <w:spacing w:val="1"/>
          <w:sz w:val="22"/>
        </w:rPr>
        <w:t> </w:t>
      </w:r>
      <w:r>
        <w:rPr>
          <w:color w:val="010202"/>
          <w:sz w:val="22"/>
        </w:rPr>
        <w:t>secure spaces to engage in telehealth during</w:t>
      </w:r>
      <w:r>
        <w:rPr>
          <w:color w:val="010202"/>
          <w:spacing w:val="-52"/>
          <w:sz w:val="22"/>
        </w:rPr>
        <w:t> </w:t>
      </w:r>
      <w:r>
        <w:rPr>
          <w:color w:val="010202"/>
          <w:sz w:val="22"/>
        </w:rPr>
        <w:t>the client pre-work.</w:t>
      </w:r>
    </w:p>
    <w:p>
      <w:pPr>
        <w:pStyle w:val="ListParagraph"/>
        <w:numPr>
          <w:ilvl w:val="1"/>
          <w:numId w:val="5"/>
        </w:numPr>
        <w:tabs>
          <w:tab w:pos="839" w:val="left" w:leader="none"/>
          <w:tab w:pos="840" w:val="left" w:leader="none"/>
        </w:tabs>
        <w:spacing w:line="266" w:lineRule="auto" w:before="93" w:after="0"/>
        <w:ind w:left="839" w:right="773" w:hanging="360"/>
        <w:jc w:val="left"/>
        <w:rPr>
          <w:rFonts w:ascii="Symbol" w:hAnsi="Symbol"/>
          <w:color w:val="010202"/>
          <w:sz w:val="22"/>
        </w:rPr>
      </w:pPr>
      <w:r>
        <w:rPr>
          <w:b/>
          <w:color w:val="010202"/>
          <w:sz w:val="22"/>
        </w:rPr>
        <w:t>Secure data on devices </w:t>
      </w:r>
      <w:r>
        <w:rPr>
          <w:color w:val="010202"/>
          <w:sz w:val="22"/>
        </w:rPr>
        <w:t>– Use encryption and</w:t>
      </w:r>
      <w:r>
        <w:rPr>
          <w:color w:val="010202"/>
          <w:spacing w:val="1"/>
          <w:sz w:val="22"/>
        </w:rPr>
        <w:t> </w:t>
      </w:r>
      <w:r>
        <w:rPr>
          <w:color w:val="010202"/>
          <w:sz w:val="22"/>
        </w:rPr>
        <w:t>two-factor authentication on communication</w:t>
      </w:r>
      <w:r>
        <w:rPr>
          <w:color w:val="010202"/>
          <w:spacing w:val="1"/>
          <w:sz w:val="22"/>
        </w:rPr>
        <w:t> </w:t>
      </w:r>
      <w:r>
        <w:rPr>
          <w:color w:val="010202"/>
          <w:sz w:val="22"/>
        </w:rPr>
        <w:t>devices.</w:t>
      </w:r>
      <w:r>
        <w:rPr>
          <w:color w:val="010202"/>
          <w:sz w:val="22"/>
          <w:vertAlign w:val="superscript"/>
        </w:rPr>
        <w:t>23</w:t>
      </w:r>
      <w:r>
        <w:rPr>
          <w:color w:val="010202"/>
          <w:sz w:val="22"/>
          <w:vertAlign w:val="baseline"/>
        </w:rPr>
        <w:t> Ensure that any time personal or</w:t>
      </w:r>
      <w:r>
        <w:rPr>
          <w:color w:val="010202"/>
          <w:spacing w:val="1"/>
          <w:sz w:val="22"/>
          <w:vertAlign w:val="baseline"/>
        </w:rPr>
        <w:t> </w:t>
      </w:r>
      <w:r>
        <w:rPr>
          <w:color w:val="010202"/>
          <w:sz w:val="22"/>
          <w:vertAlign w:val="baseline"/>
        </w:rPr>
        <w:t>health information is shared, such as signed</w:t>
      </w:r>
      <w:r>
        <w:rPr>
          <w:color w:val="010202"/>
          <w:spacing w:val="1"/>
          <w:sz w:val="22"/>
          <w:vertAlign w:val="baseline"/>
        </w:rPr>
        <w:t> </w:t>
      </w:r>
      <w:r>
        <w:rPr>
          <w:color w:val="010202"/>
          <w:sz w:val="22"/>
          <w:vertAlign w:val="baseline"/>
        </w:rPr>
        <w:t>assessment forms or treatment documentation, it</w:t>
      </w:r>
      <w:r>
        <w:rPr>
          <w:color w:val="010202"/>
          <w:spacing w:val="-52"/>
          <w:sz w:val="22"/>
          <w:vertAlign w:val="baseline"/>
        </w:rPr>
        <w:t> </w:t>
      </w:r>
      <w:r>
        <w:rPr>
          <w:color w:val="010202"/>
          <w:sz w:val="22"/>
          <w:vertAlign w:val="baseline"/>
        </w:rPr>
        <w:t>is encrypted and securely sent.</w:t>
      </w:r>
    </w:p>
    <w:p>
      <w:pPr>
        <w:pStyle w:val="ListParagraph"/>
        <w:numPr>
          <w:ilvl w:val="1"/>
          <w:numId w:val="5"/>
        </w:numPr>
        <w:tabs>
          <w:tab w:pos="839" w:val="left" w:leader="none"/>
          <w:tab w:pos="840" w:val="left" w:leader="none"/>
        </w:tabs>
        <w:spacing w:line="266" w:lineRule="auto" w:before="23" w:after="0"/>
        <w:ind w:left="839" w:right="859" w:hanging="360"/>
        <w:jc w:val="left"/>
        <w:rPr>
          <w:rFonts w:ascii="Symbol" w:hAnsi="Symbol"/>
          <w:color w:val="010202"/>
          <w:sz w:val="22"/>
        </w:rPr>
      </w:pPr>
      <w:r>
        <w:rPr>
          <w:b/>
          <w:color w:val="010202"/>
          <w:sz w:val="22"/>
        </w:rPr>
        <w:t>Provide education and technical assistance</w:t>
      </w:r>
      <w:r>
        <w:rPr>
          <w:b/>
          <w:color w:val="010202"/>
          <w:spacing w:val="1"/>
          <w:sz w:val="22"/>
        </w:rPr>
        <w:t> </w:t>
      </w:r>
      <w:r>
        <w:rPr>
          <w:b/>
          <w:color w:val="010202"/>
          <w:sz w:val="22"/>
        </w:rPr>
        <w:t>for providers on privacy, security, and</w:t>
      </w:r>
      <w:r>
        <w:rPr>
          <w:b/>
          <w:color w:val="010202"/>
          <w:spacing w:val="1"/>
          <w:sz w:val="22"/>
        </w:rPr>
        <w:t> </w:t>
      </w:r>
      <w:r>
        <w:rPr>
          <w:b/>
          <w:color w:val="010202"/>
          <w:sz w:val="22"/>
        </w:rPr>
        <w:t>confidentiality </w:t>
      </w:r>
      <w:r>
        <w:rPr>
          <w:color w:val="010202"/>
          <w:sz w:val="22"/>
        </w:rPr>
        <w:t>– Telehealth carries risks for</w:t>
      </w:r>
      <w:r>
        <w:rPr>
          <w:color w:val="010202"/>
          <w:spacing w:val="1"/>
          <w:sz w:val="22"/>
        </w:rPr>
        <w:t> </w:t>
      </w:r>
      <w:r>
        <w:rPr>
          <w:color w:val="010202"/>
          <w:sz w:val="22"/>
        </w:rPr>
        <w:t>breaches of protected health information (PHI),</w:t>
      </w:r>
      <w:r>
        <w:rPr>
          <w:color w:val="010202"/>
          <w:spacing w:val="-52"/>
          <w:sz w:val="22"/>
        </w:rPr>
        <w:t> </w:t>
      </w:r>
      <w:r>
        <w:rPr>
          <w:color w:val="010202"/>
          <w:sz w:val="22"/>
        </w:rPr>
        <w:t>and yet most providers are not adequately</w:t>
      </w:r>
      <w:r>
        <w:rPr>
          <w:color w:val="010202"/>
          <w:spacing w:val="1"/>
          <w:sz w:val="22"/>
        </w:rPr>
        <w:t> </w:t>
      </w:r>
      <w:r>
        <w:rPr>
          <w:color w:val="010202"/>
          <w:sz w:val="22"/>
        </w:rPr>
        <w:t>trained in protecting client privacy while using</w:t>
      </w:r>
      <w:r>
        <w:rPr>
          <w:color w:val="010202"/>
          <w:spacing w:val="1"/>
          <w:sz w:val="22"/>
        </w:rPr>
        <w:t> </w:t>
      </w:r>
      <w:r>
        <w:rPr>
          <w:color w:val="010202"/>
          <w:sz w:val="22"/>
        </w:rPr>
        <w:t>telehealth. Providing training and support for</w:t>
      </w:r>
      <w:r>
        <w:rPr>
          <w:color w:val="010202"/>
          <w:spacing w:val="1"/>
          <w:sz w:val="22"/>
        </w:rPr>
        <w:t> </w:t>
      </w:r>
      <w:r>
        <w:rPr>
          <w:color w:val="010202"/>
          <w:sz w:val="22"/>
        </w:rPr>
        <w:t>providers can decrease discomfort around</w:t>
      </w:r>
      <w:r>
        <w:rPr>
          <w:color w:val="010202"/>
          <w:spacing w:val="1"/>
          <w:sz w:val="22"/>
        </w:rPr>
        <w:t> </w:t>
      </w:r>
      <w:r>
        <w:rPr>
          <w:color w:val="010202"/>
          <w:sz w:val="22"/>
        </w:rPr>
        <w:t>privacy</w:t>
      </w:r>
      <w:r>
        <w:rPr>
          <w:color w:val="010202"/>
          <w:spacing w:val="-1"/>
          <w:sz w:val="22"/>
        </w:rPr>
        <w:t> </w:t>
      </w:r>
      <w:r>
        <w:rPr>
          <w:color w:val="010202"/>
          <w:sz w:val="22"/>
        </w:rPr>
        <w:t>and</w:t>
      </w:r>
      <w:r>
        <w:rPr>
          <w:color w:val="010202"/>
          <w:spacing w:val="-1"/>
          <w:sz w:val="22"/>
        </w:rPr>
        <w:t> </w:t>
      </w:r>
      <w:r>
        <w:rPr>
          <w:color w:val="010202"/>
          <w:sz w:val="22"/>
        </w:rPr>
        <w:t>technological issues.</w:t>
      </w:r>
      <w:r>
        <w:rPr>
          <w:color w:val="010202"/>
          <w:sz w:val="22"/>
          <w:vertAlign w:val="superscript"/>
        </w:rPr>
        <w:t>13</w:t>
      </w:r>
    </w:p>
    <w:p>
      <w:pPr>
        <w:pStyle w:val="ListParagraph"/>
        <w:numPr>
          <w:ilvl w:val="2"/>
          <w:numId w:val="5"/>
        </w:numPr>
        <w:tabs>
          <w:tab w:pos="1199" w:val="left" w:leader="none"/>
          <w:tab w:pos="1200" w:val="left" w:leader="none"/>
        </w:tabs>
        <w:spacing w:line="249" w:lineRule="auto" w:before="6" w:after="0"/>
        <w:ind w:left="1199" w:right="896" w:hanging="360"/>
        <w:jc w:val="left"/>
        <w:rPr>
          <w:sz w:val="22"/>
        </w:rPr>
      </w:pPr>
      <w:r>
        <w:rPr>
          <w:color w:val="010202"/>
          <w:sz w:val="22"/>
        </w:rPr>
        <w:t>Training</w:t>
      </w:r>
      <w:r>
        <w:rPr>
          <w:color w:val="010202"/>
          <w:spacing w:val="-9"/>
          <w:sz w:val="22"/>
        </w:rPr>
        <w:t> </w:t>
      </w:r>
      <w:r>
        <w:rPr>
          <w:color w:val="010202"/>
          <w:sz w:val="22"/>
        </w:rPr>
        <w:t>topics</w:t>
      </w:r>
      <w:r>
        <w:rPr>
          <w:color w:val="010202"/>
          <w:spacing w:val="-8"/>
          <w:sz w:val="22"/>
        </w:rPr>
        <w:t> </w:t>
      </w:r>
      <w:r>
        <w:rPr>
          <w:color w:val="010202"/>
          <w:sz w:val="22"/>
        </w:rPr>
        <w:t>include:</w:t>
      </w:r>
      <w:r>
        <w:rPr>
          <w:color w:val="010202"/>
          <w:spacing w:val="-8"/>
          <w:sz w:val="22"/>
        </w:rPr>
        <w:t> </w:t>
      </w:r>
      <w:r>
        <w:rPr>
          <w:color w:val="010202"/>
          <w:sz w:val="22"/>
        </w:rPr>
        <w:t>defining</w:t>
      </w:r>
      <w:r>
        <w:rPr>
          <w:color w:val="010202"/>
          <w:spacing w:val="-8"/>
          <w:sz w:val="22"/>
        </w:rPr>
        <w:t> </w:t>
      </w:r>
      <w:r>
        <w:rPr>
          <w:color w:val="010202"/>
          <w:sz w:val="22"/>
        </w:rPr>
        <w:t>telehealth</w:t>
      </w:r>
      <w:r>
        <w:rPr>
          <w:color w:val="010202"/>
          <w:spacing w:val="-52"/>
          <w:sz w:val="22"/>
        </w:rPr>
        <w:t> </w:t>
      </w:r>
      <w:r>
        <w:rPr>
          <w:color w:val="010202"/>
          <w:sz w:val="22"/>
        </w:rPr>
        <w:t>and telehealth etiquette, regulations and</w:t>
      </w:r>
      <w:r>
        <w:rPr>
          <w:color w:val="010202"/>
          <w:spacing w:val="1"/>
          <w:sz w:val="22"/>
        </w:rPr>
        <w:t> </w:t>
      </w:r>
      <w:r>
        <w:rPr>
          <w:color w:val="010202"/>
          <w:spacing w:val="-1"/>
          <w:sz w:val="22"/>
        </w:rPr>
        <w:t>reimbursement, </w:t>
      </w:r>
      <w:r>
        <w:rPr>
          <w:color w:val="010202"/>
          <w:sz w:val="22"/>
        </w:rPr>
        <w:t>HIPAA and privacy</w:t>
      </w:r>
      <w:r>
        <w:rPr>
          <w:color w:val="010202"/>
          <w:spacing w:val="1"/>
          <w:sz w:val="22"/>
        </w:rPr>
        <w:t> </w:t>
      </w:r>
      <w:r>
        <w:rPr>
          <w:color w:val="010202"/>
          <w:sz w:val="22"/>
        </w:rPr>
        <w:t>concerns, ethical practice, and efficacy of</w:t>
      </w:r>
      <w:r>
        <w:rPr>
          <w:color w:val="010202"/>
          <w:spacing w:val="1"/>
          <w:sz w:val="22"/>
        </w:rPr>
        <w:t> </w:t>
      </w:r>
      <w:r>
        <w:rPr>
          <w:color w:val="010202"/>
          <w:sz w:val="22"/>
        </w:rPr>
        <w:t>telehealth.</w:t>
      </w:r>
      <w:r>
        <w:rPr>
          <w:color w:val="010202"/>
          <w:sz w:val="22"/>
          <w:vertAlign w:val="superscript"/>
        </w:rPr>
        <w:t>45</w:t>
      </w:r>
    </w:p>
    <w:p>
      <w:pPr>
        <w:pStyle w:val="ListParagraph"/>
        <w:numPr>
          <w:ilvl w:val="2"/>
          <w:numId w:val="5"/>
        </w:numPr>
        <w:tabs>
          <w:tab w:pos="1199" w:val="left" w:leader="none"/>
          <w:tab w:pos="1200" w:val="left" w:leader="none"/>
        </w:tabs>
        <w:spacing w:line="249" w:lineRule="auto" w:before="0" w:after="0"/>
        <w:ind w:left="1199" w:right="852" w:hanging="360"/>
        <w:jc w:val="left"/>
        <w:rPr>
          <w:sz w:val="22"/>
        </w:rPr>
      </w:pPr>
      <w:r>
        <w:rPr>
          <w:color w:val="010202"/>
          <w:sz w:val="22"/>
        </w:rPr>
        <w:t>Bolstering education and training programs</w:t>
      </w:r>
      <w:r>
        <w:rPr>
          <w:color w:val="010202"/>
          <w:spacing w:val="-52"/>
          <w:sz w:val="22"/>
        </w:rPr>
        <w:t> </w:t>
      </w:r>
      <w:r>
        <w:rPr>
          <w:color w:val="010202"/>
          <w:sz w:val="22"/>
        </w:rPr>
        <w:t>and providing technical assistance support</w:t>
      </w:r>
      <w:r>
        <w:rPr>
          <w:color w:val="010202"/>
          <w:spacing w:val="1"/>
          <w:sz w:val="22"/>
        </w:rPr>
        <w:t> </w:t>
      </w:r>
      <w:r>
        <w:rPr>
          <w:color w:val="010202"/>
          <w:sz w:val="22"/>
        </w:rPr>
        <w:t>is key to mitigating the risk for breaches of</w:t>
      </w:r>
      <w:r>
        <w:rPr>
          <w:color w:val="010202"/>
          <w:spacing w:val="-52"/>
          <w:sz w:val="22"/>
        </w:rPr>
        <w:t> </w:t>
      </w:r>
      <w:r>
        <w:rPr>
          <w:color w:val="010202"/>
          <w:sz w:val="22"/>
        </w:rPr>
        <w:t>PHI</w:t>
      </w:r>
      <w:r>
        <w:rPr>
          <w:color w:val="010202"/>
          <w:spacing w:val="-1"/>
          <w:sz w:val="22"/>
        </w:rPr>
        <w:t> </w:t>
      </w:r>
      <w:r>
        <w:rPr>
          <w:color w:val="010202"/>
          <w:sz w:val="22"/>
        </w:rPr>
        <w:t>when using</w:t>
      </w:r>
      <w:r>
        <w:rPr>
          <w:color w:val="010202"/>
          <w:spacing w:val="-1"/>
          <w:sz w:val="22"/>
        </w:rPr>
        <w:t> </w:t>
      </w:r>
      <w:r>
        <w:rPr>
          <w:color w:val="010202"/>
          <w:sz w:val="22"/>
        </w:rPr>
        <w:t>telehealth.</w:t>
      </w:r>
      <w:r>
        <w:rPr>
          <w:color w:val="010202"/>
          <w:sz w:val="22"/>
          <w:vertAlign w:val="superscript"/>
        </w:rPr>
        <w:t>23</w:t>
      </w:r>
    </w:p>
    <w:p>
      <w:pPr>
        <w:spacing w:after="0" w:line="249" w:lineRule="auto"/>
        <w:jc w:val="left"/>
        <w:rPr>
          <w:sz w:val="22"/>
        </w:rPr>
        <w:sectPr>
          <w:type w:val="continuous"/>
          <w:pgSz w:w="12240" w:h="15840"/>
          <w:pgMar w:header="0" w:footer="666" w:top="1500" w:bottom="0" w:left="600" w:right="0"/>
          <w:cols w:num="2" w:equalWidth="0">
            <w:col w:w="5194" w:space="566"/>
            <w:col w:w="5880"/>
          </w:cols>
        </w:sectPr>
      </w:pPr>
    </w:p>
    <w:p>
      <w:pPr>
        <w:pStyle w:val="BodyText"/>
        <w:rPr>
          <w:sz w:val="20"/>
        </w:rPr>
      </w:pPr>
    </w:p>
    <w:p>
      <w:pPr>
        <w:pStyle w:val="BodyText"/>
        <w:spacing w:before="6"/>
        <w:rPr>
          <w:sz w:val="27"/>
        </w:rPr>
      </w:pPr>
    </w:p>
    <w:p>
      <w:pPr>
        <w:pStyle w:val="Heading5"/>
      </w:pPr>
      <w:r>
        <w:rPr/>
        <w:pict>
          <v:group style="position:absolute;margin-left:324pt;margin-top:6.95957pt;width:252pt;height:533.550pt;mso-position-horizontal-relative:page;mso-position-vertical-relative:paragraph;z-index:15749632" id="docshapegroup124" coordorigin="6480,139" coordsize="5040,10671">
            <v:shape style="position:absolute;left:6480;top:139;width:5040;height:10671" id="docshape125" coordorigin="6480,139" coordsize="5040,10671" path="m11430,139l6570,139,6535,146,6506,166,6487,194,6480,229,6480,10720,6487,10755,6506,10783,6535,10803,6570,10810,11430,10810,11465,10803,11494,10783,11513,10755,11520,10720,11520,229,11513,194,11494,166,11465,146,11430,139xe" filled="true" fillcolor="#f7e0e0" stroked="false">
              <v:path arrowok="t"/>
              <v:fill type="solid"/>
            </v:shape>
            <v:shape style="position:absolute;left:6480;top:139;width:5040;height:10671" type="#_x0000_t202" id="docshape126" filled="false" stroked="false">
              <v:textbox inset="0,0,0,0">
                <w:txbxContent>
                  <w:p>
                    <w:pPr>
                      <w:spacing w:line="184" w:lineRule="auto" w:before="148"/>
                      <w:ind w:left="953" w:right="453" w:hanging="486"/>
                      <w:jc w:val="left"/>
                      <w:rPr>
                        <w:rFonts w:ascii="Arial Black"/>
                        <w:sz w:val="24"/>
                      </w:rPr>
                    </w:pPr>
                    <w:r>
                      <w:rPr>
                        <w:rFonts w:ascii="Arial Black"/>
                        <w:color w:val="CE384B"/>
                        <w:spacing w:val="-1"/>
                        <w:sz w:val="24"/>
                      </w:rPr>
                      <w:t>Medication-Assisted </w:t>
                    </w:r>
                    <w:r>
                      <w:rPr>
                        <w:rFonts w:ascii="Arial Black"/>
                        <w:color w:val="CE384B"/>
                        <w:sz w:val="24"/>
                      </w:rPr>
                      <w:t>Treatment</w:t>
                    </w:r>
                    <w:r>
                      <w:rPr>
                        <w:rFonts w:ascii="Arial Black"/>
                        <w:color w:val="CE384B"/>
                        <w:spacing w:val="-78"/>
                        <w:sz w:val="24"/>
                      </w:rPr>
                      <w:t> </w:t>
                    </w:r>
                    <w:r>
                      <w:rPr>
                        <w:rFonts w:ascii="Arial Black"/>
                        <w:color w:val="CE384B"/>
                        <w:sz w:val="24"/>
                      </w:rPr>
                      <w:t>Prescribing</w:t>
                    </w:r>
                    <w:r>
                      <w:rPr>
                        <w:rFonts w:ascii="Arial Black"/>
                        <w:color w:val="CE384B"/>
                        <w:spacing w:val="-2"/>
                        <w:sz w:val="24"/>
                      </w:rPr>
                      <w:t> </w:t>
                    </w:r>
                    <w:r>
                      <w:rPr>
                        <w:rFonts w:ascii="Arial Black"/>
                        <w:color w:val="CE384B"/>
                        <w:sz w:val="24"/>
                      </w:rPr>
                      <w:t>Regulations</w:t>
                    </w:r>
                  </w:p>
                  <w:p>
                    <w:pPr>
                      <w:spacing w:line="259" w:lineRule="auto" w:before="125"/>
                      <w:ind w:left="180" w:right="345" w:firstLine="0"/>
                      <w:jc w:val="left"/>
                      <w:rPr>
                        <w:sz w:val="12"/>
                      </w:rPr>
                    </w:pPr>
                    <w:r>
                      <w:rPr>
                        <w:rFonts w:ascii="Arial"/>
                        <w:color w:val="010202"/>
                        <w:sz w:val="21"/>
                      </w:rPr>
                      <w:t>Strict</w:t>
                    </w:r>
                    <w:r>
                      <w:rPr>
                        <w:rFonts w:ascii="Arial"/>
                        <w:color w:val="010202"/>
                        <w:spacing w:val="4"/>
                        <w:sz w:val="21"/>
                      </w:rPr>
                      <w:t> </w:t>
                    </w:r>
                    <w:r>
                      <w:rPr>
                        <w:rFonts w:ascii="Arial"/>
                        <w:color w:val="010202"/>
                        <w:sz w:val="21"/>
                      </w:rPr>
                      <w:t>virtual</w:t>
                    </w:r>
                    <w:r>
                      <w:rPr>
                        <w:rFonts w:ascii="Arial"/>
                        <w:color w:val="010202"/>
                        <w:spacing w:val="4"/>
                        <w:sz w:val="21"/>
                      </w:rPr>
                      <w:t> </w:t>
                    </w:r>
                    <w:r>
                      <w:rPr>
                        <w:rFonts w:ascii="Arial"/>
                        <w:color w:val="010202"/>
                        <w:sz w:val="21"/>
                      </w:rPr>
                      <w:t>prescribing</w:t>
                    </w:r>
                    <w:r>
                      <w:rPr>
                        <w:rFonts w:ascii="Arial"/>
                        <w:color w:val="010202"/>
                        <w:spacing w:val="4"/>
                        <w:sz w:val="21"/>
                      </w:rPr>
                      <w:t> </w:t>
                    </w:r>
                    <w:r>
                      <w:rPr>
                        <w:rFonts w:ascii="Arial"/>
                        <w:color w:val="010202"/>
                        <w:sz w:val="21"/>
                      </w:rPr>
                      <w:t>regulations</w:t>
                    </w:r>
                    <w:r>
                      <w:rPr>
                        <w:rFonts w:ascii="Arial"/>
                        <w:color w:val="010202"/>
                        <w:spacing w:val="4"/>
                        <w:sz w:val="21"/>
                      </w:rPr>
                      <w:t> </w:t>
                    </w:r>
                    <w:r>
                      <w:rPr>
                        <w:rFonts w:ascii="Arial"/>
                        <w:color w:val="010202"/>
                        <w:sz w:val="21"/>
                      </w:rPr>
                      <w:t>at</w:t>
                    </w:r>
                    <w:r>
                      <w:rPr>
                        <w:rFonts w:ascii="Arial"/>
                        <w:color w:val="010202"/>
                        <w:spacing w:val="5"/>
                        <w:sz w:val="21"/>
                      </w:rPr>
                      <w:t> </w:t>
                    </w:r>
                    <w:r>
                      <w:rPr>
                        <w:rFonts w:ascii="Arial"/>
                        <w:color w:val="010202"/>
                        <w:sz w:val="21"/>
                      </w:rPr>
                      <w:t>the</w:t>
                    </w:r>
                    <w:r>
                      <w:rPr>
                        <w:rFonts w:ascii="Arial"/>
                        <w:color w:val="010202"/>
                        <w:spacing w:val="1"/>
                        <w:sz w:val="21"/>
                      </w:rPr>
                      <w:t> </w:t>
                    </w:r>
                    <w:r>
                      <w:rPr>
                        <w:rFonts w:ascii="Arial"/>
                        <w:color w:val="010202"/>
                        <w:sz w:val="21"/>
                      </w:rPr>
                      <w:t>federal and state levels impact delivery of</w:t>
                    </w:r>
                    <w:r>
                      <w:rPr>
                        <w:rFonts w:ascii="Arial"/>
                        <w:color w:val="010202"/>
                        <w:spacing w:val="1"/>
                        <w:sz w:val="21"/>
                      </w:rPr>
                      <w:t> </w:t>
                    </w:r>
                    <w:r>
                      <w:rPr>
                        <w:rFonts w:ascii="Arial"/>
                        <w:color w:val="010202"/>
                        <w:sz w:val="21"/>
                      </w:rPr>
                      <w:t>telehealth services, especially for medication-</w:t>
                    </w:r>
                    <w:r>
                      <w:rPr>
                        <w:rFonts w:ascii="Arial"/>
                        <w:color w:val="010202"/>
                        <w:spacing w:val="1"/>
                        <w:sz w:val="21"/>
                      </w:rPr>
                      <w:t> </w:t>
                    </w:r>
                    <w:r>
                      <w:rPr>
                        <w:rFonts w:ascii="Arial"/>
                        <w:color w:val="010202"/>
                        <w:sz w:val="21"/>
                      </w:rPr>
                      <w:t>assisted</w:t>
                    </w:r>
                    <w:r>
                      <w:rPr>
                        <w:rFonts w:ascii="Arial"/>
                        <w:color w:val="010202"/>
                        <w:spacing w:val="-6"/>
                        <w:sz w:val="21"/>
                      </w:rPr>
                      <w:t> </w:t>
                    </w:r>
                    <w:r>
                      <w:rPr>
                        <w:rFonts w:ascii="Arial"/>
                        <w:color w:val="010202"/>
                        <w:sz w:val="21"/>
                      </w:rPr>
                      <w:t>treatment</w:t>
                    </w:r>
                    <w:r>
                      <w:rPr>
                        <w:rFonts w:ascii="Arial"/>
                        <w:color w:val="010202"/>
                        <w:spacing w:val="-5"/>
                        <w:sz w:val="21"/>
                      </w:rPr>
                      <w:t> </w:t>
                    </w:r>
                    <w:r>
                      <w:rPr>
                        <w:rFonts w:ascii="Arial"/>
                        <w:color w:val="010202"/>
                        <w:sz w:val="21"/>
                      </w:rPr>
                      <w:t>(MAT).</w:t>
                    </w:r>
                    <w:r>
                      <w:rPr>
                        <w:rFonts w:ascii="Arial"/>
                        <w:color w:val="010202"/>
                        <w:spacing w:val="-5"/>
                        <w:sz w:val="21"/>
                      </w:rPr>
                      <w:t> </w:t>
                    </w:r>
                    <w:r>
                      <w:rPr>
                        <w:rFonts w:ascii="Arial"/>
                        <w:color w:val="010202"/>
                        <w:sz w:val="21"/>
                      </w:rPr>
                      <w:t>Prior</w:t>
                    </w:r>
                    <w:r>
                      <w:rPr>
                        <w:rFonts w:ascii="Arial"/>
                        <w:color w:val="010202"/>
                        <w:spacing w:val="-5"/>
                        <w:sz w:val="21"/>
                      </w:rPr>
                      <w:t> </w:t>
                    </w:r>
                    <w:r>
                      <w:rPr>
                        <w:rFonts w:ascii="Arial"/>
                        <w:color w:val="010202"/>
                        <w:sz w:val="21"/>
                      </w:rPr>
                      <w:t>to</w:t>
                    </w:r>
                    <w:r>
                      <w:rPr>
                        <w:rFonts w:ascii="Arial"/>
                        <w:color w:val="010202"/>
                        <w:spacing w:val="-5"/>
                        <w:sz w:val="21"/>
                      </w:rPr>
                      <w:t> </w:t>
                    </w:r>
                    <w:r>
                      <w:rPr>
                        <w:rFonts w:ascii="Arial"/>
                        <w:color w:val="010202"/>
                        <w:sz w:val="21"/>
                      </w:rPr>
                      <w:t>the</w:t>
                    </w:r>
                    <w:r>
                      <w:rPr>
                        <w:rFonts w:ascii="Arial"/>
                        <w:color w:val="010202"/>
                        <w:spacing w:val="-5"/>
                        <w:sz w:val="21"/>
                      </w:rPr>
                      <w:t> </w:t>
                    </w:r>
                    <w:r>
                      <w:rPr>
                        <w:rFonts w:ascii="Arial"/>
                        <w:color w:val="010202"/>
                        <w:sz w:val="21"/>
                      </w:rPr>
                      <w:t>COVID-19</w:t>
                    </w:r>
                    <w:r>
                      <w:rPr>
                        <w:rFonts w:ascii="Arial"/>
                        <w:color w:val="010202"/>
                        <w:spacing w:val="-55"/>
                        <w:sz w:val="21"/>
                      </w:rPr>
                      <w:t> </w:t>
                    </w:r>
                    <w:r>
                      <w:rPr>
                        <w:rFonts w:ascii="Arial"/>
                        <w:color w:val="010202"/>
                        <w:sz w:val="21"/>
                      </w:rPr>
                      <w:t>pandemic, the Ryan Haight Online Pharmacy</w:t>
                    </w:r>
                    <w:r>
                      <w:rPr>
                        <w:rFonts w:ascii="Arial"/>
                        <w:color w:val="010202"/>
                        <w:spacing w:val="1"/>
                        <w:sz w:val="21"/>
                      </w:rPr>
                      <w:t> </w:t>
                    </w:r>
                    <w:r>
                      <w:rPr>
                        <w:rFonts w:ascii="Arial"/>
                        <w:color w:val="010202"/>
                        <w:sz w:val="21"/>
                      </w:rPr>
                      <w:t>Consumer Protection Act of 2008 required</w:t>
                    </w:r>
                    <w:r>
                      <w:rPr>
                        <w:rFonts w:ascii="Arial"/>
                        <w:color w:val="010202"/>
                        <w:spacing w:val="1"/>
                        <w:sz w:val="21"/>
                      </w:rPr>
                      <w:t> </w:t>
                    </w:r>
                    <w:r>
                      <w:rPr>
                        <w:rFonts w:ascii="Arial"/>
                        <w:color w:val="010202"/>
                        <w:sz w:val="21"/>
                      </w:rPr>
                      <w:t>providers to always conduct an in-person</w:t>
                    </w:r>
                    <w:r>
                      <w:rPr>
                        <w:rFonts w:ascii="Arial"/>
                        <w:color w:val="010202"/>
                        <w:spacing w:val="1"/>
                        <w:sz w:val="21"/>
                      </w:rPr>
                      <w:t> </w:t>
                    </w:r>
                    <w:r>
                      <w:rPr>
                        <w:rFonts w:ascii="Arial"/>
                        <w:color w:val="010202"/>
                        <w:sz w:val="21"/>
                      </w:rPr>
                      <w:t>examination prior to prescribing controlled</w:t>
                    </w:r>
                    <w:r>
                      <w:rPr>
                        <w:rFonts w:ascii="Arial"/>
                        <w:color w:val="010202"/>
                        <w:spacing w:val="1"/>
                        <w:sz w:val="21"/>
                      </w:rPr>
                      <w:t> </w:t>
                    </w:r>
                    <w:r>
                      <w:rPr>
                        <w:rFonts w:ascii="Arial"/>
                        <w:color w:val="010202"/>
                        <w:sz w:val="21"/>
                      </w:rPr>
                      <w:t>substances, such as buprenorphine, with certain</w:t>
                    </w:r>
                    <w:r>
                      <w:rPr>
                        <w:rFonts w:ascii="Arial"/>
                        <w:color w:val="010202"/>
                        <w:spacing w:val="-56"/>
                        <w:sz w:val="21"/>
                      </w:rPr>
                      <w:t> </w:t>
                    </w:r>
                    <w:r>
                      <w:rPr>
                        <w:rFonts w:ascii="Arial"/>
                        <w:color w:val="010202"/>
                        <w:sz w:val="21"/>
                      </w:rPr>
                      <w:t>flexibilities.</w:t>
                    </w:r>
                    <w:r>
                      <w:rPr>
                        <w:color w:val="010202"/>
                        <w:position w:val="7"/>
                        <w:sz w:val="12"/>
                      </w:rPr>
                      <w:t>50</w:t>
                    </w:r>
                  </w:p>
                  <w:p>
                    <w:pPr>
                      <w:spacing w:line="259" w:lineRule="auto" w:before="172"/>
                      <w:ind w:left="179" w:right="326" w:firstLine="0"/>
                      <w:jc w:val="left"/>
                      <w:rPr>
                        <w:rFonts w:ascii="Arial"/>
                        <w:b/>
                        <w:sz w:val="21"/>
                      </w:rPr>
                    </w:pPr>
                    <w:r>
                      <w:rPr>
                        <w:rFonts w:ascii="Arial"/>
                        <w:b/>
                        <w:color w:val="010202"/>
                        <w:sz w:val="21"/>
                      </w:rPr>
                      <w:t>Substance</w:t>
                    </w:r>
                    <w:r>
                      <w:rPr>
                        <w:rFonts w:ascii="Arial"/>
                        <w:b/>
                        <w:color w:val="010202"/>
                        <w:spacing w:val="-11"/>
                        <w:sz w:val="21"/>
                      </w:rPr>
                      <w:t> </w:t>
                    </w:r>
                    <w:r>
                      <w:rPr>
                        <w:rFonts w:ascii="Arial"/>
                        <w:b/>
                        <w:color w:val="010202"/>
                        <w:sz w:val="21"/>
                      </w:rPr>
                      <w:t>Abuse</w:t>
                    </w:r>
                    <w:r>
                      <w:rPr>
                        <w:rFonts w:ascii="Arial"/>
                        <w:b/>
                        <w:color w:val="010202"/>
                        <w:spacing w:val="-4"/>
                        <w:sz w:val="21"/>
                      </w:rPr>
                      <w:t> </w:t>
                    </w:r>
                    <w:r>
                      <w:rPr>
                        <w:rFonts w:ascii="Arial"/>
                        <w:b/>
                        <w:color w:val="010202"/>
                        <w:sz w:val="21"/>
                      </w:rPr>
                      <w:t>and</w:t>
                    </w:r>
                    <w:r>
                      <w:rPr>
                        <w:rFonts w:ascii="Arial"/>
                        <w:b/>
                        <w:color w:val="010202"/>
                        <w:spacing w:val="-3"/>
                        <w:sz w:val="21"/>
                      </w:rPr>
                      <w:t> </w:t>
                    </w:r>
                    <w:r>
                      <w:rPr>
                        <w:rFonts w:ascii="Arial"/>
                        <w:b/>
                        <w:color w:val="010202"/>
                        <w:sz w:val="21"/>
                      </w:rPr>
                      <w:t>Mental</w:t>
                    </w:r>
                    <w:r>
                      <w:rPr>
                        <w:rFonts w:ascii="Arial"/>
                        <w:b/>
                        <w:color w:val="010202"/>
                        <w:spacing w:val="-4"/>
                        <w:sz w:val="21"/>
                      </w:rPr>
                      <w:t> </w:t>
                    </w:r>
                    <w:r>
                      <w:rPr>
                        <w:rFonts w:ascii="Arial"/>
                        <w:b/>
                        <w:color w:val="010202"/>
                        <w:sz w:val="21"/>
                      </w:rPr>
                      <w:t>Health</w:t>
                    </w:r>
                    <w:r>
                      <w:rPr>
                        <w:rFonts w:ascii="Arial"/>
                        <w:b/>
                        <w:color w:val="010202"/>
                        <w:spacing w:val="-3"/>
                        <w:sz w:val="21"/>
                      </w:rPr>
                      <w:t> </w:t>
                    </w:r>
                    <w:r>
                      <w:rPr>
                        <w:rFonts w:ascii="Arial"/>
                        <w:b/>
                        <w:color w:val="010202"/>
                        <w:sz w:val="21"/>
                      </w:rPr>
                      <w:t>Services</w:t>
                    </w:r>
                    <w:r>
                      <w:rPr>
                        <w:rFonts w:ascii="Arial"/>
                        <w:b/>
                        <w:color w:val="010202"/>
                        <w:spacing w:val="-55"/>
                        <w:sz w:val="21"/>
                      </w:rPr>
                      <w:t> </w:t>
                    </w:r>
                    <w:r>
                      <w:rPr>
                        <w:rFonts w:ascii="Arial"/>
                        <w:b/>
                        <w:color w:val="010202"/>
                        <w:sz w:val="21"/>
                      </w:rPr>
                      <w:t>Administration (SAMHSA)</w:t>
                    </w:r>
                  </w:p>
                  <w:p>
                    <w:pPr>
                      <w:numPr>
                        <w:ilvl w:val="0"/>
                        <w:numId w:val="62"/>
                      </w:numPr>
                      <w:tabs>
                        <w:tab w:pos="899" w:val="left" w:leader="none"/>
                        <w:tab w:pos="900" w:val="left" w:leader="none"/>
                      </w:tabs>
                      <w:spacing w:line="256" w:lineRule="auto" w:before="75"/>
                      <w:ind w:left="899" w:right="473" w:hanging="360"/>
                      <w:jc w:val="left"/>
                      <w:rPr>
                        <w:rFonts w:ascii="Arial"/>
                        <w:sz w:val="21"/>
                      </w:rPr>
                    </w:pPr>
                    <w:r>
                      <w:rPr>
                        <w:rFonts w:ascii="Arial"/>
                        <w:color w:val="010202"/>
                        <w:sz w:val="21"/>
                      </w:rPr>
                      <w:t>Federal statutes, regulations, and</w:t>
                    </w:r>
                    <w:r>
                      <w:rPr>
                        <w:rFonts w:ascii="Arial"/>
                        <w:color w:val="010202"/>
                        <w:spacing w:val="1"/>
                        <w:sz w:val="21"/>
                      </w:rPr>
                      <w:t> </w:t>
                    </w:r>
                    <w:r>
                      <w:rPr>
                        <w:rFonts w:ascii="Arial"/>
                        <w:color w:val="010202"/>
                        <w:sz w:val="21"/>
                      </w:rPr>
                      <w:t>guidelines that apply to MAT for</w:t>
                    </w:r>
                    <w:r>
                      <w:rPr>
                        <w:rFonts w:ascii="Arial"/>
                        <w:color w:val="010202"/>
                        <w:spacing w:val="1"/>
                        <w:sz w:val="21"/>
                      </w:rPr>
                      <w:t> </w:t>
                    </w:r>
                    <w:r>
                      <w:rPr>
                        <w:rFonts w:ascii="Arial"/>
                        <w:color w:val="010202"/>
                        <w:sz w:val="21"/>
                      </w:rPr>
                      <w:t>practitioners and opioid treatment</w:t>
                    </w:r>
                    <w:r>
                      <w:rPr>
                        <w:rFonts w:ascii="Arial"/>
                        <w:color w:val="010202"/>
                        <w:spacing w:val="1"/>
                        <w:sz w:val="21"/>
                      </w:rPr>
                      <w:t> </w:t>
                    </w:r>
                    <w:r>
                      <w:rPr>
                        <w:rFonts w:ascii="Arial"/>
                        <w:color w:val="010202"/>
                        <w:sz w:val="21"/>
                      </w:rPr>
                      <w:t>programs</w:t>
                    </w:r>
                    <w:r>
                      <w:rPr>
                        <w:rFonts w:ascii="Arial"/>
                        <w:color w:val="010202"/>
                        <w:spacing w:val="-12"/>
                        <w:sz w:val="21"/>
                      </w:rPr>
                      <w:t> </w:t>
                    </w:r>
                    <w:r>
                      <w:rPr>
                        <w:rFonts w:ascii="Arial"/>
                        <w:color w:val="010202"/>
                        <w:sz w:val="21"/>
                      </w:rPr>
                      <w:t>(OTPs):</w:t>
                    </w:r>
                    <w:r>
                      <w:rPr>
                        <w:rFonts w:ascii="Arial"/>
                        <w:color w:val="3953A4"/>
                        <w:spacing w:val="-12"/>
                        <w:sz w:val="21"/>
                      </w:rPr>
                      <w:t> </w:t>
                    </w:r>
                    <w:hyperlink r:id="rId151">
                      <w:r>
                        <w:rPr>
                          <w:rFonts w:ascii="Arial"/>
                          <w:color w:val="3953A4"/>
                          <w:sz w:val="21"/>
                          <w:u w:val="single" w:color="3953A4"/>
                        </w:rPr>
                        <w:t>https://www.samhsa.</w:t>
                      </w:r>
                    </w:hyperlink>
                    <w:r>
                      <w:rPr>
                        <w:rFonts w:ascii="Arial"/>
                        <w:color w:val="3953A4"/>
                        <w:spacing w:val="-56"/>
                        <w:sz w:val="21"/>
                      </w:rPr>
                      <w:t> </w:t>
                    </w:r>
                    <w:hyperlink r:id="rId151">
                      <w:r>
                        <w:rPr>
                          <w:rFonts w:ascii="Arial"/>
                          <w:color w:val="3953A4"/>
                          <w:sz w:val="21"/>
                          <w:u w:val="single" w:color="3953A4"/>
                        </w:rPr>
                        <w:t>gov/medication-assisted-treatment/</w:t>
                      </w:r>
                    </w:hyperlink>
                    <w:r>
                      <w:rPr>
                        <w:rFonts w:ascii="Arial"/>
                        <w:color w:val="3953A4"/>
                        <w:spacing w:val="1"/>
                        <w:sz w:val="21"/>
                      </w:rPr>
                      <w:t> </w:t>
                    </w:r>
                    <w:hyperlink r:id="rId151">
                      <w:r>
                        <w:rPr>
                          <w:rFonts w:ascii="Arial"/>
                          <w:color w:val="3953A4"/>
                          <w:sz w:val="21"/>
                          <w:u w:val="single" w:color="3953A4"/>
                        </w:rPr>
                        <w:t>statutes-regulations-guidelines</w:t>
                      </w:r>
                    </w:hyperlink>
                  </w:p>
                  <w:p>
                    <w:pPr>
                      <w:spacing w:before="186"/>
                      <w:ind w:left="179" w:right="0" w:firstLine="0"/>
                      <w:jc w:val="left"/>
                      <w:rPr>
                        <w:rFonts w:ascii="Arial"/>
                        <w:b/>
                        <w:sz w:val="21"/>
                      </w:rPr>
                    </w:pPr>
                    <w:r>
                      <w:rPr>
                        <w:rFonts w:ascii="Arial"/>
                        <w:b/>
                        <w:color w:val="010202"/>
                        <w:sz w:val="21"/>
                      </w:rPr>
                      <w:t>The</w:t>
                    </w:r>
                    <w:r>
                      <w:rPr>
                        <w:rFonts w:ascii="Arial"/>
                        <w:b/>
                        <w:color w:val="010202"/>
                        <w:spacing w:val="-1"/>
                        <w:sz w:val="21"/>
                      </w:rPr>
                      <w:t> </w:t>
                    </w:r>
                    <w:r>
                      <w:rPr>
                        <w:rFonts w:ascii="Arial"/>
                        <w:b/>
                        <w:color w:val="010202"/>
                        <w:sz w:val="21"/>
                      </w:rPr>
                      <w:t>Drug Enforcement</w:t>
                    </w:r>
                    <w:r>
                      <w:rPr>
                        <w:rFonts w:ascii="Arial"/>
                        <w:b/>
                        <w:color w:val="010202"/>
                        <w:spacing w:val="-8"/>
                        <w:sz w:val="21"/>
                      </w:rPr>
                      <w:t> </w:t>
                    </w:r>
                    <w:r>
                      <w:rPr>
                        <w:rFonts w:ascii="Arial"/>
                        <w:b/>
                        <w:color w:val="010202"/>
                        <w:sz w:val="21"/>
                      </w:rPr>
                      <w:t>Administration (DEA)</w:t>
                    </w:r>
                  </w:p>
                  <w:p>
                    <w:pPr>
                      <w:numPr>
                        <w:ilvl w:val="0"/>
                        <w:numId w:val="62"/>
                      </w:numPr>
                      <w:tabs>
                        <w:tab w:pos="899" w:val="left" w:leader="none"/>
                        <w:tab w:pos="900" w:val="left" w:leader="none"/>
                      </w:tabs>
                      <w:spacing w:line="256" w:lineRule="auto" w:before="95"/>
                      <w:ind w:left="899" w:right="379" w:hanging="360"/>
                      <w:jc w:val="left"/>
                      <w:rPr>
                        <w:rFonts w:ascii="Arial"/>
                        <w:sz w:val="21"/>
                      </w:rPr>
                    </w:pPr>
                    <w:r>
                      <w:rPr>
                        <w:rFonts w:ascii="Arial"/>
                        <w:color w:val="010202"/>
                        <w:sz w:val="21"/>
                      </w:rPr>
                      <w:t>The</w:t>
                    </w:r>
                    <w:r>
                      <w:rPr>
                        <w:rFonts w:ascii="Arial"/>
                        <w:color w:val="010202"/>
                        <w:spacing w:val="-3"/>
                        <w:sz w:val="21"/>
                      </w:rPr>
                      <w:t> </w:t>
                    </w:r>
                    <w:r>
                      <w:rPr>
                        <w:rFonts w:ascii="Arial"/>
                        <w:color w:val="010202"/>
                        <w:sz w:val="21"/>
                      </w:rPr>
                      <w:t>DEA</w:t>
                    </w:r>
                    <w:r>
                      <w:rPr>
                        <w:rFonts w:ascii="Arial"/>
                        <w:color w:val="010202"/>
                        <w:spacing w:val="-14"/>
                        <w:sz w:val="21"/>
                      </w:rPr>
                      <w:t> </w:t>
                    </w:r>
                    <w:r>
                      <w:rPr>
                        <w:rFonts w:ascii="Arial"/>
                        <w:color w:val="010202"/>
                        <w:sz w:val="21"/>
                      </w:rPr>
                      <w:t>has</w:t>
                    </w:r>
                    <w:r>
                      <w:rPr>
                        <w:rFonts w:ascii="Arial"/>
                        <w:color w:val="010202"/>
                        <w:spacing w:val="-3"/>
                        <w:sz w:val="21"/>
                      </w:rPr>
                      <w:t> </w:t>
                    </w:r>
                    <w:r>
                      <w:rPr>
                        <w:rFonts w:ascii="Arial"/>
                        <w:color w:val="010202"/>
                        <w:sz w:val="21"/>
                      </w:rPr>
                      <w:t>responded</w:t>
                    </w:r>
                    <w:r>
                      <w:rPr>
                        <w:rFonts w:ascii="Arial"/>
                        <w:color w:val="010202"/>
                        <w:spacing w:val="-3"/>
                        <w:sz w:val="21"/>
                      </w:rPr>
                      <w:t> </w:t>
                    </w:r>
                    <w:r>
                      <w:rPr>
                        <w:rFonts w:ascii="Arial"/>
                        <w:color w:val="010202"/>
                        <w:sz w:val="21"/>
                      </w:rPr>
                      <w:t>to</w:t>
                    </w:r>
                    <w:r>
                      <w:rPr>
                        <w:rFonts w:ascii="Arial"/>
                        <w:color w:val="010202"/>
                        <w:spacing w:val="-3"/>
                        <w:sz w:val="21"/>
                      </w:rPr>
                      <w:t> </w:t>
                    </w:r>
                    <w:r>
                      <w:rPr>
                        <w:rFonts w:ascii="Arial"/>
                        <w:color w:val="010202"/>
                        <w:sz w:val="21"/>
                      </w:rPr>
                      <w:t>public</w:t>
                    </w:r>
                    <w:r>
                      <w:rPr>
                        <w:rFonts w:ascii="Arial"/>
                        <w:color w:val="010202"/>
                        <w:spacing w:val="-2"/>
                        <w:sz w:val="21"/>
                      </w:rPr>
                      <w:t> </w:t>
                    </w:r>
                    <w:r>
                      <w:rPr>
                        <w:rFonts w:ascii="Arial"/>
                        <w:color w:val="010202"/>
                        <w:sz w:val="21"/>
                      </w:rPr>
                      <w:t>health</w:t>
                    </w:r>
                    <w:r>
                      <w:rPr>
                        <w:rFonts w:ascii="Arial"/>
                        <w:color w:val="010202"/>
                        <w:spacing w:val="-56"/>
                        <w:sz w:val="21"/>
                      </w:rPr>
                      <w:t> </w:t>
                    </w:r>
                    <w:r>
                      <w:rPr>
                        <w:rFonts w:ascii="Arial"/>
                        <w:color w:val="010202"/>
                        <w:sz w:val="21"/>
                      </w:rPr>
                      <w:t>emergencies</w:t>
                    </w:r>
                    <w:r>
                      <w:rPr>
                        <w:rFonts w:ascii="Arial"/>
                        <w:color w:val="010202"/>
                        <w:spacing w:val="6"/>
                        <w:sz w:val="21"/>
                      </w:rPr>
                      <w:t> </w:t>
                    </w:r>
                    <w:r>
                      <w:rPr>
                        <w:rFonts w:ascii="Arial"/>
                        <w:color w:val="010202"/>
                        <w:sz w:val="21"/>
                      </w:rPr>
                      <w:t>by</w:t>
                    </w:r>
                    <w:r>
                      <w:rPr>
                        <w:rFonts w:ascii="Arial"/>
                        <w:color w:val="010202"/>
                        <w:spacing w:val="7"/>
                        <w:sz w:val="21"/>
                      </w:rPr>
                      <w:t> </w:t>
                    </w:r>
                    <w:r>
                      <w:rPr>
                        <w:rFonts w:ascii="Arial"/>
                        <w:color w:val="010202"/>
                        <w:sz w:val="21"/>
                      </w:rPr>
                      <w:t>revising</w:t>
                    </w:r>
                    <w:r>
                      <w:rPr>
                        <w:rFonts w:ascii="Arial"/>
                        <w:color w:val="010202"/>
                        <w:spacing w:val="7"/>
                        <w:sz w:val="21"/>
                      </w:rPr>
                      <w:t> </w:t>
                    </w:r>
                    <w:r>
                      <w:rPr>
                        <w:rFonts w:ascii="Arial"/>
                        <w:color w:val="010202"/>
                        <w:sz w:val="21"/>
                      </w:rPr>
                      <w:t>policies</w:t>
                    </w:r>
                    <w:r>
                      <w:rPr>
                        <w:rFonts w:ascii="Arial"/>
                        <w:color w:val="010202"/>
                        <w:spacing w:val="6"/>
                        <w:sz w:val="21"/>
                      </w:rPr>
                      <w:t> </w:t>
                    </w:r>
                    <w:r>
                      <w:rPr>
                        <w:rFonts w:ascii="Arial"/>
                        <w:color w:val="010202"/>
                        <w:sz w:val="21"/>
                      </w:rPr>
                      <w:t>to</w:t>
                    </w:r>
                    <w:r>
                      <w:rPr>
                        <w:rFonts w:ascii="Arial"/>
                        <w:color w:val="010202"/>
                        <w:spacing w:val="1"/>
                        <w:sz w:val="21"/>
                      </w:rPr>
                      <w:t> </w:t>
                    </w:r>
                    <w:r>
                      <w:rPr>
                        <w:rFonts w:ascii="Arial"/>
                        <w:color w:val="010202"/>
                        <w:sz w:val="21"/>
                      </w:rPr>
                      <w:t>allow for prescribing some controlled</w:t>
                    </w:r>
                    <w:r>
                      <w:rPr>
                        <w:rFonts w:ascii="Arial"/>
                        <w:color w:val="010202"/>
                        <w:spacing w:val="1"/>
                        <w:sz w:val="21"/>
                      </w:rPr>
                      <w:t> </w:t>
                    </w:r>
                    <w:r>
                      <w:rPr>
                        <w:rFonts w:ascii="Arial"/>
                        <w:color w:val="010202"/>
                        <w:sz w:val="21"/>
                      </w:rPr>
                      <w:t>substances</w:t>
                    </w:r>
                    <w:r>
                      <w:rPr>
                        <w:rFonts w:ascii="Arial"/>
                        <w:color w:val="010202"/>
                        <w:spacing w:val="-1"/>
                        <w:sz w:val="21"/>
                      </w:rPr>
                      <w:t> </w:t>
                    </w:r>
                    <w:r>
                      <w:rPr>
                        <w:rFonts w:ascii="Arial"/>
                        <w:color w:val="010202"/>
                        <w:sz w:val="21"/>
                      </w:rPr>
                      <w:t>via telehealth without an</w:t>
                    </w:r>
                  </w:p>
                  <w:p>
                    <w:pPr>
                      <w:spacing w:line="259" w:lineRule="auto" w:before="3"/>
                      <w:ind w:left="899" w:right="200" w:hanging="1"/>
                      <w:jc w:val="left"/>
                      <w:rPr>
                        <w:rFonts w:ascii="Arial"/>
                        <w:sz w:val="21"/>
                      </w:rPr>
                    </w:pPr>
                    <w:r>
                      <w:rPr>
                        <w:rFonts w:ascii="Arial"/>
                        <w:color w:val="010202"/>
                        <w:sz w:val="21"/>
                      </w:rPr>
                      <w:t>in-person visit.</w:t>
                    </w:r>
                    <w:r>
                      <w:rPr>
                        <w:color w:val="010202"/>
                        <w:position w:val="7"/>
                        <w:sz w:val="12"/>
                      </w:rPr>
                      <w:t>51</w:t>
                    </w:r>
                    <w:r>
                      <w:rPr>
                        <w:color w:val="010202"/>
                        <w:spacing w:val="1"/>
                        <w:position w:val="7"/>
                        <w:sz w:val="12"/>
                      </w:rPr>
                      <w:t> </w:t>
                    </w:r>
                    <w:r>
                      <w:rPr>
                        <w:rFonts w:ascii="Arial"/>
                        <w:color w:val="010202"/>
                        <w:sz w:val="21"/>
                      </w:rPr>
                      <w:t>In the absence of a public</w:t>
                    </w:r>
                    <w:r>
                      <w:rPr>
                        <w:rFonts w:ascii="Arial"/>
                        <w:color w:val="010202"/>
                        <w:spacing w:val="-56"/>
                        <w:sz w:val="21"/>
                      </w:rPr>
                      <w:t> </w:t>
                    </w:r>
                    <w:r>
                      <w:rPr>
                        <w:rFonts w:ascii="Arial"/>
                        <w:color w:val="010202"/>
                        <w:sz w:val="21"/>
                      </w:rPr>
                      <w:t>health emergency, the Ryan Haight Act</w:t>
                    </w:r>
                    <w:r>
                      <w:rPr>
                        <w:rFonts w:ascii="Arial"/>
                        <w:color w:val="010202"/>
                        <w:spacing w:val="1"/>
                        <w:sz w:val="21"/>
                      </w:rPr>
                      <w:t> </w:t>
                    </w:r>
                    <w:r>
                      <w:rPr>
                        <w:rFonts w:ascii="Arial"/>
                        <w:color w:val="010202"/>
                        <w:sz w:val="21"/>
                      </w:rPr>
                      <w:t>allows</w:t>
                    </w:r>
                    <w:r>
                      <w:rPr>
                        <w:rFonts w:ascii="Arial"/>
                        <w:color w:val="010202"/>
                        <w:spacing w:val="-1"/>
                        <w:sz w:val="21"/>
                      </w:rPr>
                      <w:t> </w:t>
                    </w:r>
                    <w:r>
                      <w:rPr>
                        <w:rFonts w:ascii="Arial"/>
                        <w:color w:val="010202"/>
                        <w:sz w:val="21"/>
                      </w:rPr>
                      <w:t>for prescribing via telehealth if</w:t>
                    </w:r>
                  </w:p>
                  <w:p>
                    <w:pPr>
                      <w:spacing w:line="259" w:lineRule="auto" w:before="0"/>
                      <w:ind w:left="899" w:right="327" w:firstLine="0"/>
                      <w:jc w:val="both"/>
                      <w:rPr>
                        <w:sz w:val="12"/>
                      </w:rPr>
                    </w:pPr>
                    <w:r>
                      <w:rPr>
                        <w:rFonts w:ascii="Arial"/>
                        <w:color w:val="010202"/>
                        <w:sz w:val="21"/>
                      </w:rPr>
                      <w:t>the client is located in a DEA-registered</w:t>
                    </w:r>
                    <w:r>
                      <w:rPr>
                        <w:rFonts w:ascii="Arial"/>
                        <w:color w:val="010202"/>
                        <w:spacing w:val="1"/>
                        <w:sz w:val="21"/>
                      </w:rPr>
                      <w:t> </w:t>
                    </w:r>
                    <w:r>
                      <w:rPr>
                        <w:rFonts w:ascii="Arial"/>
                        <w:color w:val="010202"/>
                        <w:sz w:val="21"/>
                      </w:rPr>
                      <w:t>hospital and the prescribing physician is</w:t>
                    </w:r>
                    <w:r>
                      <w:rPr>
                        <w:rFonts w:ascii="Arial"/>
                        <w:color w:val="010202"/>
                        <w:spacing w:val="1"/>
                        <w:sz w:val="21"/>
                      </w:rPr>
                      <w:t> </w:t>
                    </w:r>
                    <w:r>
                      <w:rPr>
                        <w:rFonts w:ascii="Arial"/>
                        <w:color w:val="010202"/>
                        <w:sz w:val="21"/>
                      </w:rPr>
                      <w:t>communicating</w:t>
                    </w:r>
                    <w:r>
                      <w:rPr>
                        <w:rFonts w:ascii="Arial"/>
                        <w:color w:val="010202"/>
                        <w:spacing w:val="-3"/>
                        <w:sz w:val="21"/>
                      </w:rPr>
                      <w:t> </w:t>
                    </w:r>
                    <w:r>
                      <w:rPr>
                        <w:rFonts w:ascii="Arial"/>
                        <w:color w:val="010202"/>
                        <w:sz w:val="21"/>
                      </w:rPr>
                      <w:t>with</w:t>
                    </w:r>
                    <w:r>
                      <w:rPr>
                        <w:rFonts w:ascii="Arial"/>
                        <w:color w:val="010202"/>
                        <w:spacing w:val="-3"/>
                        <w:sz w:val="21"/>
                      </w:rPr>
                      <w:t> </w:t>
                    </w:r>
                    <w:r>
                      <w:rPr>
                        <w:rFonts w:ascii="Arial"/>
                        <w:color w:val="010202"/>
                        <w:sz w:val="21"/>
                      </w:rPr>
                      <w:t>the</w:t>
                    </w:r>
                    <w:r>
                      <w:rPr>
                        <w:rFonts w:ascii="Arial"/>
                        <w:color w:val="010202"/>
                        <w:spacing w:val="-3"/>
                        <w:sz w:val="21"/>
                      </w:rPr>
                      <w:t> </w:t>
                    </w:r>
                    <w:r>
                      <w:rPr>
                        <w:rFonts w:ascii="Arial"/>
                        <w:color w:val="010202"/>
                        <w:sz w:val="21"/>
                      </w:rPr>
                      <w:t>client</w:t>
                    </w:r>
                    <w:r>
                      <w:rPr>
                        <w:rFonts w:ascii="Arial"/>
                        <w:color w:val="010202"/>
                        <w:spacing w:val="-2"/>
                        <w:sz w:val="21"/>
                      </w:rPr>
                      <w:t> </w:t>
                    </w:r>
                    <w:r>
                      <w:rPr>
                        <w:rFonts w:ascii="Arial"/>
                        <w:color w:val="010202"/>
                        <w:sz w:val="21"/>
                      </w:rPr>
                      <w:t>via</w:t>
                    </w:r>
                    <w:r>
                      <w:rPr>
                        <w:rFonts w:ascii="Arial"/>
                        <w:color w:val="010202"/>
                        <w:spacing w:val="-3"/>
                        <w:sz w:val="21"/>
                      </w:rPr>
                      <w:t> </w:t>
                    </w:r>
                    <w:r>
                      <w:rPr>
                        <w:rFonts w:ascii="Arial"/>
                        <w:color w:val="010202"/>
                        <w:sz w:val="21"/>
                      </w:rPr>
                      <w:t>video.</w:t>
                    </w:r>
                    <w:r>
                      <w:rPr>
                        <w:color w:val="010202"/>
                        <w:position w:val="7"/>
                        <w:sz w:val="12"/>
                      </w:rPr>
                      <w:t>52</w:t>
                    </w:r>
                  </w:p>
                  <w:p>
                    <w:pPr>
                      <w:spacing w:line="259" w:lineRule="auto" w:before="176"/>
                      <w:ind w:left="179" w:right="382" w:firstLine="0"/>
                      <w:jc w:val="left"/>
                      <w:rPr>
                        <w:rFonts w:ascii="Arial"/>
                        <w:sz w:val="21"/>
                      </w:rPr>
                    </w:pPr>
                    <w:r>
                      <w:rPr>
                        <w:rFonts w:ascii="Arial"/>
                        <w:color w:val="010202"/>
                        <w:sz w:val="21"/>
                      </w:rPr>
                      <w:t>This chart reflects current prescribing guidelines</w:t>
                    </w:r>
                    <w:r>
                      <w:rPr>
                        <w:rFonts w:ascii="Arial"/>
                        <w:color w:val="010202"/>
                        <w:spacing w:val="-57"/>
                        <w:sz w:val="21"/>
                      </w:rPr>
                      <w:t> </w:t>
                    </w:r>
                    <w:r>
                      <w:rPr>
                        <w:rFonts w:ascii="Arial"/>
                        <w:color w:val="010202"/>
                        <w:sz w:val="21"/>
                      </w:rPr>
                      <w:t>for controlled substances as of March 2020:</w:t>
                    </w:r>
                    <w:r>
                      <w:rPr>
                        <w:rFonts w:ascii="Arial"/>
                        <w:color w:val="010202"/>
                        <w:spacing w:val="1"/>
                        <w:sz w:val="21"/>
                      </w:rPr>
                      <w:t> </w:t>
                    </w:r>
                    <w:hyperlink r:id="rId239">
                      <w:r>
                        <w:rPr>
                          <w:rFonts w:ascii="Arial"/>
                          <w:color w:val="3953A4"/>
                          <w:sz w:val="21"/>
                          <w:u w:val="single" w:color="3953A4"/>
                        </w:rPr>
                        <w:t>https://www.deadiversion.usdoj.gov/GDP/</w:t>
                      </w:r>
                    </w:hyperlink>
                  </w:p>
                  <w:p>
                    <w:pPr>
                      <w:spacing w:line="259" w:lineRule="auto" w:before="0"/>
                      <w:ind w:left="179" w:right="200" w:firstLine="0"/>
                      <w:jc w:val="left"/>
                      <w:rPr>
                        <w:rFonts w:ascii="Arial"/>
                        <w:sz w:val="21"/>
                      </w:rPr>
                    </w:pPr>
                    <w:hyperlink r:id="rId239">
                      <w:r>
                        <w:rPr>
                          <w:rFonts w:ascii="Arial"/>
                          <w:color w:val="3953A4"/>
                          <w:spacing w:val="-5"/>
                          <w:sz w:val="21"/>
                          <w:u w:val="single" w:color="3953A4"/>
                        </w:rPr>
                        <w:t>(DEA-DC-023)(DEA075)Decision_Tree_</w:t>
                      </w:r>
                    </w:hyperlink>
                    <w:r>
                      <w:rPr>
                        <w:rFonts w:ascii="Arial"/>
                        <w:color w:val="3953A4"/>
                        <w:spacing w:val="-56"/>
                        <w:sz w:val="21"/>
                      </w:rPr>
                      <w:t> </w:t>
                    </w:r>
                    <w:hyperlink r:id="rId239">
                      <w:r>
                        <w:rPr>
                          <w:rFonts w:ascii="Arial"/>
                          <w:color w:val="3953A4"/>
                          <w:sz w:val="21"/>
                          <w:u w:val="single" w:color="3953A4"/>
                        </w:rPr>
                        <w:t>(Final)_33120_2007.pdf</w:t>
                      </w:r>
                    </w:hyperlink>
                  </w:p>
                </w:txbxContent>
              </v:textbox>
              <w10:wrap type="none"/>
            </v:shape>
            <w10:wrap type="none"/>
          </v:group>
        </w:pict>
      </w:r>
      <w:bookmarkStart w:name="Regulatory and Reimbursement Environment" w:id="29"/>
      <w:bookmarkEnd w:id="29"/>
      <w:r>
        <w:rPr>
          <w:b w:val="0"/>
        </w:rPr>
      </w:r>
      <w:r>
        <w:rPr>
          <w:color w:val="CE384B"/>
        </w:rPr>
        <w:t>Regulatory</w:t>
      </w:r>
      <w:r>
        <w:rPr>
          <w:color w:val="CE384B"/>
          <w:spacing w:val="-1"/>
        </w:rPr>
        <w:t> </w:t>
      </w:r>
      <w:r>
        <w:rPr>
          <w:color w:val="CE384B"/>
        </w:rPr>
        <w:t>and Reimbursement Environment</w:t>
      </w:r>
    </w:p>
    <w:p>
      <w:pPr>
        <w:pStyle w:val="BodyText"/>
        <w:spacing w:line="266" w:lineRule="auto" w:before="118"/>
        <w:ind w:left="120" w:right="6728"/>
      </w:pPr>
      <w:r>
        <w:rPr>
          <w:color w:val="231F20"/>
        </w:rPr>
        <w:t>Before initiating a telehealth program, practitioners</w:t>
      </w:r>
      <w:r>
        <w:rPr>
          <w:color w:val="231F20"/>
          <w:spacing w:val="1"/>
        </w:rPr>
        <w:t> </w:t>
      </w:r>
      <w:r>
        <w:rPr>
          <w:color w:val="231F20"/>
        </w:rPr>
        <w:t>should consider regulatory issues, including licensing,</w:t>
      </w:r>
      <w:r>
        <w:rPr>
          <w:color w:val="231F20"/>
          <w:spacing w:val="-52"/>
        </w:rPr>
        <w:t> </w:t>
      </w:r>
      <w:r>
        <w:rPr>
          <w:color w:val="231F20"/>
        </w:rPr>
        <w:t>prescribing laws, and reimbursement policies. Health</w:t>
      </w:r>
      <w:r>
        <w:rPr>
          <w:color w:val="231F20"/>
          <w:spacing w:val="1"/>
        </w:rPr>
        <w:t> </w:t>
      </w:r>
      <w:r>
        <w:rPr>
          <w:color w:val="231F20"/>
        </w:rPr>
        <w:t>systems implementing telehealth find reimbursement</w:t>
      </w:r>
      <w:r>
        <w:rPr>
          <w:color w:val="231F20"/>
          <w:spacing w:val="1"/>
        </w:rPr>
        <w:t> </w:t>
      </w:r>
      <w:r>
        <w:rPr>
          <w:color w:val="231F20"/>
        </w:rPr>
        <w:t>to be one of the biggest challenges.</w:t>
      </w:r>
      <w:r>
        <w:rPr>
          <w:color w:val="231F20"/>
          <w:vertAlign w:val="superscript"/>
        </w:rPr>
        <w:t>38</w:t>
      </w:r>
      <w:r>
        <w:rPr>
          <w:color w:val="231F20"/>
          <w:vertAlign w:val="baseline"/>
        </w:rPr>
        <w:t> Many of these</w:t>
      </w:r>
      <w:r>
        <w:rPr>
          <w:color w:val="231F20"/>
          <w:spacing w:val="1"/>
          <w:vertAlign w:val="baseline"/>
        </w:rPr>
        <w:t> </w:t>
      </w:r>
      <w:r>
        <w:rPr>
          <w:color w:val="231F20"/>
          <w:vertAlign w:val="baseline"/>
        </w:rPr>
        <w:t>regulations vary by state; treatment programs should</w:t>
      </w:r>
      <w:r>
        <w:rPr>
          <w:color w:val="231F20"/>
          <w:spacing w:val="1"/>
          <w:vertAlign w:val="baseline"/>
        </w:rPr>
        <w:t> </w:t>
      </w:r>
      <w:r>
        <w:rPr>
          <w:color w:val="231F20"/>
          <w:vertAlign w:val="baseline"/>
        </w:rPr>
        <w:t>consult state guidelines.</w:t>
      </w:r>
    </w:p>
    <w:p>
      <w:pPr>
        <w:pStyle w:val="BodyText"/>
        <w:spacing w:before="8"/>
        <w:rPr>
          <w:sz w:val="18"/>
        </w:rPr>
      </w:pPr>
      <w:r>
        <w:rPr/>
        <w:pict>
          <v:group style="position:absolute;margin-left:36pt;margin-top:11.996216pt;width:252pt;height:95.95pt;mso-position-horizontal-relative:page;mso-position-vertical-relative:paragraph;z-index:-15708160;mso-wrap-distance-left:0;mso-wrap-distance-right:0" id="docshapegroup127" coordorigin="720,240" coordsize="5040,1919">
            <v:shape style="position:absolute;left:720;top:239;width:5040;height:1919" id="docshape128" coordorigin="720,240" coordsize="5040,1919" path="m5670,240l810,240,775,247,746,266,727,295,720,330,720,2068,727,2103,746,2132,775,2151,810,2158,5670,2158,5705,2151,5734,2132,5753,2103,5760,2068,5760,330,5753,295,5734,266,5705,247,5670,240xe" filled="true" fillcolor="#f7e0e0" stroked="false">
              <v:path arrowok="t"/>
              <v:fill type="solid"/>
            </v:shape>
            <v:shape style="position:absolute;left:720;top:239;width:5040;height:1919" type="#_x0000_t202" id="docshape129" filled="false" stroked="false">
              <v:textbox inset="0,0,0,0">
                <w:txbxContent>
                  <w:p>
                    <w:pPr>
                      <w:spacing w:line="259" w:lineRule="auto" w:before="136"/>
                      <w:ind w:left="180" w:right="469" w:firstLine="0"/>
                      <w:jc w:val="left"/>
                      <w:rPr>
                        <w:rFonts w:ascii="Arial"/>
                        <w:sz w:val="21"/>
                      </w:rPr>
                    </w:pPr>
                    <w:r>
                      <w:rPr>
                        <w:rFonts w:ascii="Arial"/>
                        <w:color w:val="000101"/>
                        <w:sz w:val="21"/>
                      </w:rPr>
                      <w:t>Regulatory and reimbursement environments</w:t>
                    </w:r>
                    <w:r>
                      <w:rPr>
                        <w:rFonts w:ascii="Arial"/>
                        <w:color w:val="000101"/>
                        <w:spacing w:val="1"/>
                        <w:sz w:val="21"/>
                      </w:rPr>
                      <w:t> </w:t>
                    </w:r>
                    <w:r>
                      <w:rPr>
                        <w:rFonts w:ascii="Arial"/>
                        <w:color w:val="000101"/>
                        <w:sz w:val="21"/>
                      </w:rPr>
                      <w:t>are constantly changing, especially throughout</w:t>
                    </w:r>
                    <w:r>
                      <w:rPr>
                        <w:rFonts w:ascii="Arial"/>
                        <w:color w:val="000101"/>
                        <w:spacing w:val="1"/>
                        <w:sz w:val="21"/>
                      </w:rPr>
                      <w:t> </w:t>
                    </w:r>
                    <w:r>
                      <w:rPr>
                        <w:rFonts w:ascii="Arial"/>
                        <w:color w:val="000101"/>
                        <w:sz w:val="21"/>
                      </w:rPr>
                      <w:t>the COVID-19 pandemic. Regulations and</w:t>
                    </w:r>
                    <w:r>
                      <w:rPr>
                        <w:rFonts w:ascii="Arial"/>
                        <w:color w:val="000101"/>
                        <w:spacing w:val="1"/>
                        <w:sz w:val="21"/>
                      </w:rPr>
                      <w:t> </w:t>
                    </w:r>
                    <w:r>
                      <w:rPr>
                        <w:rFonts w:ascii="Arial"/>
                        <w:color w:val="000101"/>
                        <w:sz w:val="21"/>
                      </w:rPr>
                      <w:t>reimbursement guidance may also vary state-</w:t>
                    </w:r>
                    <w:r>
                      <w:rPr>
                        <w:rFonts w:ascii="Arial"/>
                        <w:color w:val="000101"/>
                        <w:spacing w:val="1"/>
                        <w:sz w:val="21"/>
                      </w:rPr>
                      <w:t> </w:t>
                    </w:r>
                    <w:r>
                      <w:rPr>
                        <w:rFonts w:ascii="Arial"/>
                        <w:color w:val="000101"/>
                        <w:sz w:val="21"/>
                      </w:rPr>
                      <w:t>to-state. Consult the links shared in this section</w:t>
                    </w:r>
                    <w:r>
                      <w:rPr>
                        <w:rFonts w:ascii="Arial"/>
                        <w:color w:val="000101"/>
                        <w:spacing w:val="-57"/>
                        <w:sz w:val="21"/>
                      </w:rPr>
                      <w:t> </w:t>
                    </w:r>
                    <w:r>
                      <w:rPr>
                        <w:rFonts w:ascii="Arial"/>
                        <w:color w:val="000101"/>
                        <w:sz w:val="21"/>
                      </w:rPr>
                      <w:t>for</w:t>
                    </w:r>
                    <w:r>
                      <w:rPr>
                        <w:rFonts w:ascii="Arial"/>
                        <w:color w:val="000101"/>
                        <w:spacing w:val="-1"/>
                        <w:sz w:val="21"/>
                      </w:rPr>
                      <w:t> </w:t>
                    </w:r>
                    <w:r>
                      <w:rPr>
                        <w:rFonts w:ascii="Arial"/>
                        <w:color w:val="000101"/>
                        <w:sz w:val="21"/>
                      </w:rPr>
                      <w:t>the most up-to-date guidance.</w:t>
                    </w:r>
                  </w:p>
                </w:txbxContent>
              </v:textbox>
              <w10:wrap type="none"/>
            </v:shape>
            <w10:wrap type="topAndBottom"/>
          </v:group>
        </w:pict>
      </w:r>
    </w:p>
    <w:p>
      <w:pPr>
        <w:pStyle w:val="BodyText"/>
        <w:spacing w:before="9"/>
        <w:rPr>
          <w:sz w:val="18"/>
        </w:rPr>
      </w:pPr>
    </w:p>
    <w:p>
      <w:pPr>
        <w:spacing w:after="0"/>
        <w:rPr>
          <w:sz w:val="18"/>
        </w:rPr>
        <w:sectPr>
          <w:pgSz w:w="12240" w:h="15840"/>
          <w:pgMar w:header="0" w:footer="666" w:top="380" w:bottom="860" w:left="600" w:right="0"/>
        </w:sectPr>
      </w:pPr>
    </w:p>
    <w:p>
      <w:pPr>
        <w:pStyle w:val="Heading4"/>
        <w:spacing w:before="93"/>
        <w:rPr>
          <w:i/>
        </w:rPr>
      </w:pPr>
      <w:r>
        <w:rPr>
          <w:i/>
          <w:color w:val="1C384B"/>
        </w:rPr>
        <w:t>Workforce-related</w:t>
      </w:r>
      <w:r>
        <w:rPr>
          <w:i/>
          <w:color w:val="1C384B"/>
          <w:spacing w:val="-1"/>
        </w:rPr>
        <w:t> </w:t>
      </w:r>
      <w:r>
        <w:rPr>
          <w:i/>
          <w:color w:val="1C384B"/>
        </w:rPr>
        <w:t>licensure regulations</w:t>
      </w:r>
    </w:p>
    <w:p>
      <w:pPr>
        <w:pStyle w:val="BodyText"/>
        <w:spacing w:line="266" w:lineRule="auto" w:before="184"/>
        <w:ind w:left="120" w:right="20"/>
      </w:pPr>
      <w:r>
        <w:rPr>
          <w:color w:val="231F20"/>
        </w:rPr>
        <w:t>Each mental health and SUD treatment provider type</w:t>
      </w:r>
      <w:r>
        <w:rPr>
          <w:color w:val="231F20"/>
          <w:spacing w:val="1"/>
        </w:rPr>
        <w:t> </w:t>
      </w:r>
      <w:r>
        <w:rPr>
          <w:color w:val="231F20"/>
        </w:rPr>
        <w:t>must abide by state-level requirements. Psychologists,</w:t>
      </w:r>
      <w:r>
        <w:rPr>
          <w:color w:val="231F20"/>
          <w:spacing w:val="1"/>
        </w:rPr>
        <w:t> </w:t>
      </w:r>
      <w:r>
        <w:rPr>
          <w:color w:val="231F20"/>
        </w:rPr>
        <w:t>clinical social workers, licensed professional counselors,</w:t>
      </w:r>
      <w:r>
        <w:rPr>
          <w:color w:val="231F20"/>
          <w:spacing w:val="-52"/>
        </w:rPr>
        <w:t> </w:t>
      </w:r>
      <w:r>
        <w:rPr>
          <w:color w:val="231F20"/>
        </w:rPr>
        <w:t>licensed chemical dependency counselors, licensed</w:t>
      </w:r>
      <w:r>
        <w:rPr>
          <w:color w:val="231F20"/>
          <w:spacing w:val="1"/>
        </w:rPr>
        <w:t> </w:t>
      </w:r>
      <w:r>
        <w:rPr>
          <w:color w:val="231F20"/>
        </w:rPr>
        <w:t>marriage and family therapists, and prescribing providers</w:t>
      </w:r>
      <w:r>
        <w:rPr>
          <w:color w:val="231F20"/>
          <w:spacing w:val="-53"/>
        </w:rPr>
        <w:t> </w:t>
      </w:r>
      <w:r>
        <w:rPr>
          <w:color w:val="231F20"/>
        </w:rPr>
        <w:t>(e.g., medical doctors, doctors of osteopathy, nurse</w:t>
      </w:r>
      <w:r>
        <w:rPr>
          <w:color w:val="231F20"/>
          <w:spacing w:val="1"/>
        </w:rPr>
        <w:t> </w:t>
      </w:r>
      <w:r>
        <w:rPr>
          <w:color w:val="231F20"/>
        </w:rPr>
        <w:t>practitioners, and physician assistants) should consult</w:t>
      </w:r>
      <w:r>
        <w:rPr>
          <w:color w:val="231F20"/>
          <w:spacing w:val="1"/>
        </w:rPr>
        <w:t> </w:t>
      </w:r>
      <w:r>
        <w:rPr>
          <w:color w:val="231F20"/>
        </w:rPr>
        <w:t>their licensing boards for updated guidance related to</w:t>
      </w:r>
      <w:r>
        <w:rPr>
          <w:color w:val="231F20"/>
          <w:spacing w:val="1"/>
        </w:rPr>
        <w:t> </w:t>
      </w:r>
      <w:r>
        <w:rPr>
          <w:color w:val="231F20"/>
        </w:rPr>
        <w:t>providing care using telehealth.</w:t>
      </w:r>
    </w:p>
    <w:p>
      <w:pPr>
        <w:pStyle w:val="BodyText"/>
        <w:spacing w:line="266" w:lineRule="auto" w:before="173"/>
        <w:ind w:left="120" w:right="88"/>
      </w:pPr>
      <w:r>
        <w:rPr>
          <w:color w:val="231F20"/>
        </w:rPr>
        <w:t>For example, most state medical boards require that</w:t>
      </w:r>
      <w:r>
        <w:rPr>
          <w:color w:val="231F20"/>
          <w:spacing w:val="1"/>
        </w:rPr>
        <w:t> </w:t>
      </w:r>
      <w:r>
        <w:rPr>
          <w:color w:val="231F20"/>
        </w:rPr>
        <w:t>physicians engaging in telehealth be licensed in the state</w:t>
      </w:r>
      <w:r>
        <w:rPr>
          <w:color w:val="231F20"/>
          <w:spacing w:val="-52"/>
        </w:rPr>
        <w:t> </w:t>
      </w:r>
      <w:r>
        <w:rPr>
          <w:color w:val="231F20"/>
        </w:rPr>
        <w:t>in which the client is located, which creates a significant</w:t>
      </w:r>
      <w:r>
        <w:rPr>
          <w:color w:val="231F20"/>
          <w:spacing w:val="-52"/>
        </w:rPr>
        <w:t> </w:t>
      </w:r>
      <w:r>
        <w:rPr>
          <w:color w:val="231F20"/>
        </w:rPr>
        <w:t>barrier to widespread</w:t>
      </w:r>
      <w:r>
        <w:rPr>
          <w:color w:val="231F20"/>
          <w:spacing w:val="-1"/>
        </w:rPr>
        <w:t> </w:t>
      </w:r>
      <w:r>
        <w:rPr>
          <w:color w:val="231F20"/>
        </w:rPr>
        <w:t>implementation of telehealth.</w:t>
      </w:r>
    </w:p>
    <w:p>
      <w:pPr>
        <w:pStyle w:val="BodyText"/>
        <w:spacing w:line="266" w:lineRule="auto"/>
        <w:ind w:left="119" w:right="57"/>
      </w:pPr>
      <w:r>
        <w:rPr>
          <w:color w:val="231F20"/>
        </w:rPr>
        <w:t>Some states issue a special purpose license, telehealth</w:t>
      </w:r>
      <w:r>
        <w:rPr>
          <w:color w:val="231F20"/>
          <w:spacing w:val="1"/>
        </w:rPr>
        <w:t> </w:t>
      </w:r>
      <w:r>
        <w:rPr>
          <w:color w:val="231F20"/>
        </w:rPr>
        <w:t>license, or license to practice medicine across state lines</w:t>
      </w:r>
      <w:r>
        <w:rPr>
          <w:color w:val="231F20"/>
          <w:spacing w:val="1"/>
        </w:rPr>
        <w:t> </w:t>
      </w:r>
      <w:r>
        <w:rPr>
          <w:color w:val="231F20"/>
        </w:rPr>
        <w:t>to allow for the practice of telehealth;</w:t>
      </w:r>
      <w:r>
        <w:rPr>
          <w:color w:val="231F20"/>
          <w:vertAlign w:val="superscript"/>
        </w:rPr>
        <w:t>46</w:t>
      </w:r>
      <w:r>
        <w:rPr>
          <w:color w:val="231F20"/>
          <w:vertAlign w:val="baseline"/>
        </w:rPr>
        <w:t> however, these</w:t>
      </w:r>
      <w:r>
        <w:rPr>
          <w:color w:val="231F20"/>
          <w:spacing w:val="1"/>
          <w:vertAlign w:val="baseline"/>
        </w:rPr>
        <w:t> </w:t>
      </w:r>
      <w:r>
        <w:rPr>
          <w:color w:val="231F20"/>
          <w:vertAlign w:val="baseline"/>
        </w:rPr>
        <w:t>requirements</w:t>
      </w:r>
      <w:r>
        <w:rPr>
          <w:color w:val="231F20"/>
          <w:spacing w:val="6"/>
          <w:vertAlign w:val="baseline"/>
        </w:rPr>
        <w:t> </w:t>
      </w:r>
      <w:r>
        <w:rPr>
          <w:color w:val="231F20"/>
          <w:vertAlign w:val="baseline"/>
        </w:rPr>
        <w:t>for</w:t>
      </w:r>
      <w:r>
        <w:rPr>
          <w:color w:val="231F20"/>
          <w:spacing w:val="7"/>
          <w:vertAlign w:val="baseline"/>
        </w:rPr>
        <w:t> </w:t>
      </w:r>
      <w:r>
        <w:rPr>
          <w:color w:val="231F20"/>
          <w:vertAlign w:val="baseline"/>
        </w:rPr>
        <w:t>special</w:t>
      </w:r>
      <w:r>
        <w:rPr>
          <w:color w:val="231F20"/>
          <w:spacing w:val="6"/>
          <w:vertAlign w:val="baseline"/>
        </w:rPr>
        <w:t> </w:t>
      </w:r>
      <w:r>
        <w:rPr>
          <w:color w:val="231F20"/>
          <w:vertAlign w:val="baseline"/>
        </w:rPr>
        <w:t>licensure</w:t>
      </w:r>
      <w:r>
        <w:rPr>
          <w:color w:val="231F20"/>
          <w:spacing w:val="7"/>
          <w:vertAlign w:val="baseline"/>
        </w:rPr>
        <w:t> </w:t>
      </w:r>
      <w:r>
        <w:rPr>
          <w:color w:val="231F20"/>
          <w:vertAlign w:val="baseline"/>
        </w:rPr>
        <w:t>have</w:t>
      </w:r>
      <w:r>
        <w:rPr>
          <w:color w:val="231F20"/>
          <w:spacing w:val="7"/>
          <w:vertAlign w:val="baseline"/>
        </w:rPr>
        <w:t> </w:t>
      </w:r>
      <w:r>
        <w:rPr>
          <w:color w:val="231F20"/>
          <w:vertAlign w:val="baseline"/>
        </w:rPr>
        <w:t>been</w:t>
      </w:r>
      <w:r>
        <w:rPr>
          <w:color w:val="231F20"/>
          <w:spacing w:val="6"/>
          <w:vertAlign w:val="baseline"/>
        </w:rPr>
        <w:t> </w:t>
      </w:r>
      <w:r>
        <w:rPr>
          <w:color w:val="231F20"/>
          <w:vertAlign w:val="baseline"/>
        </w:rPr>
        <w:t>shown</w:t>
      </w:r>
      <w:r>
        <w:rPr>
          <w:color w:val="231F20"/>
          <w:spacing w:val="7"/>
          <w:vertAlign w:val="baseline"/>
        </w:rPr>
        <w:t> </w:t>
      </w:r>
      <w:r>
        <w:rPr>
          <w:color w:val="231F20"/>
          <w:vertAlign w:val="baseline"/>
        </w:rPr>
        <w:t>to</w:t>
      </w:r>
      <w:r>
        <w:rPr>
          <w:color w:val="231F20"/>
          <w:spacing w:val="1"/>
          <w:vertAlign w:val="baseline"/>
        </w:rPr>
        <w:t> </w:t>
      </w:r>
      <w:r>
        <w:rPr>
          <w:color w:val="231F20"/>
          <w:vertAlign w:val="baseline"/>
        </w:rPr>
        <w:t>be</w:t>
      </w:r>
      <w:r>
        <w:rPr>
          <w:color w:val="231F20"/>
          <w:spacing w:val="-4"/>
          <w:vertAlign w:val="baseline"/>
        </w:rPr>
        <w:t> </w:t>
      </w:r>
      <w:r>
        <w:rPr>
          <w:color w:val="231F20"/>
          <w:vertAlign w:val="baseline"/>
        </w:rPr>
        <w:t>a</w:t>
      </w:r>
      <w:r>
        <w:rPr>
          <w:color w:val="231F20"/>
          <w:spacing w:val="-3"/>
          <w:vertAlign w:val="baseline"/>
        </w:rPr>
        <w:t> </w:t>
      </w:r>
      <w:r>
        <w:rPr>
          <w:color w:val="231F20"/>
          <w:vertAlign w:val="baseline"/>
        </w:rPr>
        <w:t>barrier</w:t>
      </w:r>
      <w:r>
        <w:rPr>
          <w:color w:val="231F20"/>
          <w:spacing w:val="-4"/>
          <w:vertAlign w:val="baseline"/>
        </w:rPr>
        <w:t> </w:t>
      </w:r>
      <w:r>
        <w:rPr>
          <w:color w:val="231F20"/>
          <w:vertAlign w:val="baseline"/>
        </w:rPr>
        <w:t>to</w:t>
      </w:r>
      <w:r>
        <w:rPr>
          <w:color w:val="231F20"/>
          <w:spacing w:val="-3"/>
          <w:vertAlign w:val="baseline"/>
        </w:rPr>
        <w:t> </w:t>
      </w:r>
      <w:r>
        <w:rPr>
          <w:color w:val="231F20"/>
          <w:vertAlign w:val="baseline"/>
        </w:rPr>
        <w:t>telehealth</w:t>
      </w:r>
      <w:r>
        <w:rPr>
          <w:color w:val="231F20"/>
          <w:spacing w:val="-3"/>
          <w:vertAlign w:val="baseline"/>
        </w:rPr>
        <w:t> </w:t>
      </w:r>
      <w:r>
        <w:rPr>
          <w:color w:val="231F20"/>
          <w:vertAlign w:val="baseline"/>
        </w:rPr>
        <w:t>adoption.</w:t>
      </w:r>
      <w:r>
        <w:rPr>
          <w:color w:val="231F20"/>
          <w:vertAlign w:val="superscript"/>
        </w:rPr>
        <w:t>47</w:t>
      </w:r>
      <w:r>
        <w:rPr>
          <w:color w:val="231F20"/>
          <w:spacing w:val="-4"/>
          <w:vertAlign w:val="baseline"/>
        </w:rPr>
        <w:t> </w:t>
      </w:r>
      <w:r>
        <w:rPr>
          <w:color w:val="231F20"/>
          <w:vertAlign w:val="baseline"/>
        </w:rPr>
        <w:t>Some</w:t>
      </w:r>
      <w:r>
        <w:rPr>
          <w:color w:val="231F20"/>
          <w:spacing w:val="-3"/>
          <w:vertAlign w:val="baseline"/>
        </w:rPr>
        <w:t> </w:t>
      </w:r>
      <w:r>
        <w:rPr>
          <w:color w:val="231F20"/>
          <w:vertAlign w:val="baseline"/>
        </w:rPr>
        <w:t>boards</w:t>
      </w:r>
      <w:r>
        <w:rPr>
          <w:color w:val="231F20"/>
          <w:spacing w:val="-4"/>
          <w:vertAlign w:val="baseline"/>
        </w:rPr>
        <w:t> </w:t>
      </w:r>
      <w:r>
        <w:rPr>
          <w:color w:val="231F20"/>
          <w:vertAlign w:val="baseline"/>
        </w:rPr>
        <w:t>require</w:t>
      </w:r>
      <w:r>
        <w:rPr>
          <w:color w:val="231F20"/>
          <w:spacing w:val="-52"/>
          <w:vertAlign w:val="baseline"/>
        </w:rPr>
        <w:t> </w:t>
      </w:r>
      <w:r>
        <w:rPr>
          <w:color w:val="231F20"/>
          <w:vertAlign w:val="baseline"/>
        </w:rPr>
        <w:t>additional requirements for telehealth visits, such as</w:t>
      </w:r>
      <w:r>
        <w:rPr>
          <w:color w:val="231F20"/>
          <w:spacing w:val="1"/>
          <w:vertAlign w:val="baseline"/>
        </w:rPr>
        <w:t> </w:t>
      </w:r>
      <w:r>
        <w:rPr>
          <w:color w:val="231F20"/>
          <w:vertAlign w:val="baseline"/>
        </w:rPr>
        <w:t>confirming</w:t>
      </w:r>
      <w:r>
        <w:rPr>
          <w:color w:val="231F20"/>
          <w:spacing w:val="-2"/>
          <w:vertAlign w:val="baseline"/>
        </w:rPr>
        <w:t> </w:t>
      </w:r>
      <w:r>
        <w:rPr>
          <w:color w:val="231F20"/>
          <w:vertAlign w:val="baseline"/>
        </w:rPr>
        <w:t>the</w:t>
      </w:r>
      <w:r>
        <w:rPr>
          <w:color w:val="231F20"/>
          <w:spacing w:val="-1"/>
          <w:vertAlign w:val="baseline"/>
        </w:rPr>
        <w:t> </w:t>
      </w:r>
      <w:r>
        <w:rPr>
          <w:color w:val="231F20"/>
          <w:vertAlign w:val="baseline"/>
        </w:rPr>
        <w:t>patient</w:t>
      </w:r>
      <w:r>
        <w:rPr>
          <w:color w:val="231F20"/>
          <w:spacing w:val="-1"/>
          <w:vertAlign w:val="baseline"/>
        </w:rPr>
        <w:t> </w:t>
      </w:r>
      <w:r>
        <w:rPr>
          <w:color w:val="231F20"/>
          <w:vertAlign w:val="baseline"/>
        </w:rPr>
        <w:t>is</w:t>
      </w:r>
      <w:r>
        <w:rPr>
          <w:color w:val="231F20"/>
          <w:spacing w:val="-2"/>
          <w:vertAlign w:val="baseline"/>
        </w:rPr>
        <w:t> </w:t>
      </w:r>
      <w:r>
        <w:rPr>
          <w:color w:val="231F20"/>
          <w:vertAlign w:val="baseline"/>
        </w:rPr>
        <w:t>who</w:t>
      </w:r>
      <w:r>
        <w:rPr>
          <w:color w:val="231F20"/>
          <w:spacing w:val="-2"/>
          <w:vertAlign w:val="baseline"/>
        </w:rPr>
        <w:t> </w:t>
      </w:r>
      <w:r>
        <w:rPr>
          <w:color w:val="231F20"/>
          <w:vertAlign w:val="baseline"/>
        </w:rPr>
        <w:t>they</w:t>
      </w:r>
      <w:r>
        <w:rPr>
          <w:color w:val="231F20"/>
          <w:spacing w:val="-1"/>
          <w:vertAlign w:val="baseline"/>
        </w:rPr>
        <w:t> </w:t>
      </w:r>
      <w:r>
        <w:rPr>
          <w:color w:val="231F20"/>
          <w:vertAlign w:val="baseline"/>
        </w:rPr>
        <w:t>say</w:t>
      </w:r>
      <w:r>
        <w:rPr>
          <w:color w:val="231F20"/>
          <w:spacing w:val="-2"/>
          <w:vertAlign w:val="baseline"/>
        </w:rPr>
        <w:t> </w:t>
      </w:r>
      <w:r>
        <w:rPr>
          <w:color w:val="231F20"/>
          <w:vertAlign w:val="baseline"/>
        </w:rPr>
        <w:t>they</w:t>
      </w:r>
      <w:r>
        <w:rPr>
          <w:color w:val="231F20"/>
          <w:spacing w:val="-2"/>
          <w:vertAlign w:val="baseline"/>
        </w:rPr>
        <w:t> </w:t>
      </w:r>
      <w:r>
        <w:rPr>
          <w:color w:val="231F20"/>
          <w:vertAlign w:val="baseline"/>
        </w:rPr>
        <w:t>are,</w:t>
      </w:r>
      <w:r>
        <w:rPr>
          <w:color w:val="231F20"/>
          <w:spacing w:val="-1"/>
          <w:vertAlign w:val="baseline"/>
        </w:rPr>
        <w:t> </w:t>
      </w:r>
      <w:r>
        <w:rPr>
          <w:color w:val="231F20"/>
          <w:vertAlign w:val="baseline"/>
        </w:rPr>
        <w:t>prior</w:t>
      </w:r>
      <w:r>
        <w:rPr>
          <w:color w:val="231F20"/>
          <w:spacing w:val="-1"/>
          <w:vertAlign w:val="baseline"/>
        </w:rPr>
        <w:t> </w:t>
      </w:r>
      <w:r>
        <w:rPr>
          <w:color w:val="231F20"/>
          <w:vertAlign w:val="baseline"/>
        </w:rPr>
        <w:t>to</w:t>
      </w:r>
    </w:p>
    <w:p>
      <w:pPr>
        <w:pStyle w:val="BodyText"/>
        <w:spacing w:line="266" w:lineRule="auto"/>
        <w:ind w:left="120" w:right="37"/>
      </w:pPr>
      <w:r>
        <w:rPr>
          <w:color w:val="231F20"/>
        </w:rPr>
        <w:t>treatment.</w:t>
      </w:r>
      <w:r>
        <w:rPr>
          <w:color w:val="231F20"/>
          <w:spacing w:val="-4"/>
        </w:rPr>
        <w:t> </w:t>
      </w:r>
      <w:r>
        <w:rPr>
          <w:color w:val="231F20"/>
        </w:rPr>
        <w:t>In</w:t>
      </w:r>
      <w:r>
        <w:rPr>
          <w:color w:val="231F20"/>
          <w:spacing w:val="-4"/>
        </w:rPr>
        <w:t> </w:t>
      </w:r>
      <w:r>
        <w:rPr>
          <w:color w:val="231F20"/>
        </w:rPr>
        <w:t>addition,</w:t>
      </w:r>
      <w:r>
        <w:rPr>
          <w:color w:val="231F20"/>
          <w:spacing w:val="-3"/>
        </w:rPr>
        <w:t> </w:t>
      </w:r>
      <w:r>
        <w:rPr>
          <w:color w:val="231F20"/>
        </w:rPr>
        <w:t>a</w:t>
      </w:r>
      <w:r>
        <w:rPr>
          <w:color w:val="231F20"/>
          <w:spacing w:val="-4"/>
        </w:rPr>
        <w:t> </w:t>
      </w:r>
      <w:r>
        <w:rPr>
          <w:color w:val="231F20"/>
        </w:rPr>
        <w:t>provider’s</w:t>
      </w:r>
      <w:r>
        <w:rPr>
          <w:color w:val="231F20"/>
          <w:spacing w:val="-4"/>
        </w:rPr>
        <w:t> </w:t>
      </w:r>
      <w:r>
        <w:rPr>
          <w:color w:val="231F20"/>
        </w:rPr>
        <w:t>malpractice</w:t>
      </w:r>
      <w:r>
        <w:rPr>
          <w:color w:val="231F20"/>
          <w:spacing w:val="-3"/>
        </w:rPr>
        <w:t> </w:t>
      </w:r>
      <w:r>
        <w:rPr>
          <w:color w:val="231F20"/>
        </w:rPr>
        <w:t>insurance</w:t>
      </w:r>
      <w:r>
        <w:rPr>
          <w:color w:val="231F20"/>
          <w:spacing w:val="-52"/>
        </w:rPr>
        <w:t> </w:t>
      </w:r>
      <w:r>
        <w:rPr>
          <w:color w:val="231F20"/>
        </w:rPr>
        <w:t>carrier may not be willing or able to provide coverage</w:t>
      </w:r>
      <w:r>
        <w:rPr>
          <w:color w:val="231F20"/>
          <w:spacing w:val="1"/>
        </w:rPr>
        <w:t> </w:t>
      </w:r>
      <w:r>
        <w:rPr>
          <w:color w:val="231F20"/>
          <w:w w:val="95"/>
        </w:rPr>
        <w:t>across</w:t>
      </w:r>
      <w:r>
        <w:rPr>
          <w:color w:val="231F20"/>
          <w:spacing w:val="1"/>
          <w:w w:val="95"/>
        </w:rPr>
        <w:t> </w:t>
      </w:r>
      <w:r>
        <w:rPr>
          <w:color w:val="231F20"/>
          <w:w w:val="95"/>
        </w:rPr>
        <w:t>state</w:t>
      </w:r>
      <w:r>
        <w:rPr>
          <w:color w:val="231F20"/>
          <w:spacing w:val="1"/>
          <w:w w:val="95"/>
        </w:rPr>
        <w:t> </w:t>
      </w:r>
      <w:r>
        <w:rPr>
          <w:color w:val="231F20"/>
          <w:w w:val="95"/>
        </w:rPr>
        <w:t>lines.</w:t>
      </w:r>
      <w:r>
        <w:rPr>
          <w:color w:val="231F20"/>
          <w:w w:val="95"/>
          <w:vertAlign w:val="superscript"/>
        </w:rPr>
        <w:t>48</w:t>
      </w:r>
      <w:r>
        <w:rPr>
          <w:color w:val="231F20"/>
          <w:w w:val="95"/>
          <w:vertAlign w:val="baseline"/>
        </w:rPr>
        <w:t> An American</w:t>
      </w:r>
      <w:r>
        <w:rPr>
          <w:color w:val="231F20"/>
          <w:spacing w:val="1"/>
          <w:w w:val="95"/>
          <w:vertAlign w:val="baseline"/>
        </w:rPr>
        <w:t> </w:t>
      </w:r>
      <w:r>
        <w:rPr>
          <w:color w:val="231F20"/>
          <w:w w:val="95"/>
          <w:vertAlign w:val="baseline"/>
        </w:rPr>
        <w:t>Medical Association</w:t>
      </w:r>
      <w:r>
        <w:rPr>
          <w:color w:val="231F20"/>
          <w:spacing w:val="1"/>
          <w:w w:val="95"/>
          <w:vertAlign w:val="baseline"/>
        </w:rPr>
        <w:t> </w:t>
      </w:r>
      <w:r>
        <w:rPr>
          <w:color w:val="231F20"/>
          <w:vertAlign w:val="baseline"/>
        </w:rPr>
        <w:t>(AMA) study found that malpractice coverage was a</w:t>
      </w:r>
      <w:r>
        <w:rPr>
          <w:color w:val="231F20"/>
          <w:spacing w:val="1"/>
          <w:vertAlign w:val="baseline"/>
        </w:rPr>
        <w:t> </w:t>
      </w:r>
      <w:r>
        <w:rPr>
          <w:color w:val="231F20"/>
          <w:vertAlign w:val="baseline"/>
        </w:rPr>
        <w:t>necessity for physicians considering the adoption of</w:t>
      </w:r>
      <w:r>
        <w:rPr>
          <w:color w:val="231F20"/>
          <w:spacing w:val="1"/>
          <w:vertAlign w:val="baseline"/>
        </w:rPr>
        <w:t> </w:t>
      </w:r>
      <w:r>
        <w:rPr>
          <w:color w:val="231F20"/>
          <w:vertAlign w:val="baseline"/>
        </w:rPr>
        <w:t>digital</w:t>
      </w:r>
      <w:r>
        <w:rPr>
          <w:color w:val="231F20"/>
          <w:spacing w:val="-1"/>
          <w:vertAlign w:val="baseline"/>
        </w:rPr>
        <w:t> </w:t>
      </w:r>
      <w:r>
        <w:rPr>
          <w:color w:val="231F20"/>
          <w:vertAlign w:val="baseline"/>
        </w:rPr>
        <w:t>tools.</w:t>
      </w:r>
      <w:r>
        <w:rPr>
          <w:color w:val="231F20"/>
          <w:vertAlign w:val="superscript"/>
        </w:rPr>
        <w:t>49</w:t>
      </w:r>
    </w:p>
    <w:p>
      <w:pPr>
        <w:spacing w:line="240" w:lineRule="auto" w:before="0"/>
        <w:rPr>
          <w:sz w:val="26"/>
        </w:rPr>
      </w:pPr>
      <w:r>
        <w:rPr/>
        <w:br w:type="column"/>
      </w:r>
      <w:r>
        <w:rPr>
          <w:sz w:val="26"/>
        </w:rPr>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8"/>
        </w:rPr>
      </w:pPr>
    </w:p>
    <w:p>
      <w:pPr>
        <w:pStyle w:val="Heading4"/>
        <w:spacing w:before="0"/>
        <w:ind w:left="119"/>
        <w:rPr>
          <w:i/>
        </w:rPr>
      </w:pPr>
      <w:r>
        <w:rPr>
          <w:i/>
          <w:color w:val="1C384B"/>
        </w:rPr>
        <w:t>Reimbursement</w:t>
      </w:r>
    </w:p>
    <w:p>
      <w:pPr>
        <w:pStyle w:val="BodyText"/>
        <w:spacing w:line="266" w:lineRule="auto" w:before="184"/>
        <w:ind w:left="119" w:right="718"/>
      </w:pPr>
      <w:r>
        <w:rPr>
          <w:color w:val="231F20"/>
        </w:rPr>
        <w:t>Federal</w:t>
      </w:r>
      <w:r>
        <w:rPr>
          <w:color w:val="231F20"/>
          <w:spacing w:val="-5"/>
        </w:rPr>
        <w:t> </w:t>
      </w:r>
      <w:r>
        <w:rPr>
          <w:b/>
          <w:color w:val="231F20"/>
        </w:rPr>
        <w:t>Medicaid</w:t>
      </w:r>
      <w:r>
        <w:rPr>
          <w:b/>
          <w:color w:val="231F20"/>
          <w:spacing w:val="-3"/>
        </w:rPr>
        <w:t> </w:t>
      </w:r>
      <w:r>
        <w:rPr>
          <w:color w:val="231F20"/>
        </w:rPr>
        <w:t>law</w:t>
      </w:r>
      <w:r>
        <w:rPr>
          <w:color w:val="231F20"/>
          <w:spacing w:val="-4"/>
        </w:rPr>
        <w:t> </w:t>
      </w:r>
      <w:r>
        <w:rPr>
          <w:color w:val="231F20"/>
        </w:rPr>
        <w:t>and</w:t>
      </w:r>
      <w:r>
        <w:rPr>
          <w:color w:val="231F20"/>
          <w:spacing w:val="-4"/>
        </w:rPr>
        <w:t> </w:t>
      </w:r>
      <w:r>
        <w:rPr>
          <w:color w:val="231F20"/>
        </w:rPr>
        <w:t>regulations</w:t>
      </w:r>
      <w:r>
        <w:rPr>
          <w:color w:val="231F20"/>
          <w:spacing w:val="-5"/>
        </w:rPr>
        <w:t> </w:t>
      </w:r>
      <w:r>
        <w:rPr>
          <w:color w:val="231F20"/>
        </w:rPr>
        <w:t>do</w:t>
      </w:r>
      <w:r>
        <w:rPr>
          <w:color w:val="231F20"/>
          <w:spacing w:val="-3"/>
        </w:rPr>
        <w:t> </w:t>
      </w:r>
      <w:r>
        <w:rPr>
          <w:color w:val="231F20"/>
        </w:rPr>
        <w:t>not</w:t>
      </w:r>
      <w:r>
        <w:rPr>
          <w:color w:val="231F20"/>
          <w:spacing w:val="-4"/>
        </w:rPr>
        <w:t> </w:t>
      </w:r>
      <w:r>
        <w:rPr>
          <w:color w:val="231F20"/>
        </w:rPr>
        <w:t>specifically</w:t>
      </w:r>
      <w:r>
        <w:rPr>
          <w:color w:val="231F20"/>
          <w:spacing w:val="-52"/>
        </w:rPr>
        <w:t> </w:t>
      </w:r>
      <w:r>
        <w:rPr>
          <w:color w:val="231F20"/>
        </w:rPr>
        <w:t>address telehealth delivery methods or the criteria for</w:t>
      </w:r>
      <w:r>
        <w:rPr>
          <w:color w:val="231F20"/>
          <w:spacing w:val="1"/>
        </w:rPr>
        <w:t> </w:t>
      </w:r>
      <w:r>
        <w:rPr>
          <w:color w:val="231F20"/>
        </w:rPr>
        <w:t>implementation, leaving states flexibility to design</w:t>
      </w:r>
      <w:r>
        <w:rPr>
          <w:color w:val="231F20"/>
          <w:spacing w:val="1"/>
        </w:rPr>
        <w:t> </w:t>
      </w:r>
      <w:r>
        <w:rPr>
          <w:color w:val="231F20"/>
          <w:spacing w:val="-1"/>
        </w:rPr>
        <w:t>programs.</w:t>
      </w:r>
      <w:r>
        <w:rPr>
          <w:color w:val="231F20"/>
          <w:spacing w:val="-1"/>
          <w:vertAlign w:val="superscript"/>
        </w:rPr>
        <w:t>53</w:t>
      </w:r>
      <w:r>
        <w:rPr>
          <w:color w:val="231F20"/>
          <w:spacing w:val="-11"/>
          <w:vertAlign w:val="baseline"/>
        </w:rPr>
        <w:t> </w:t>
      </w:r>
      <w:r>
        <w:rPr>
          <w:color w:val="231F20"/>
          <w:spacing w:val="-1"/>
          <w:vertAlign w:val="baseline"/>
        </w:rPr>
        <w:t>All</w:t>
      </w:r>
      <w:r>
        <w:rPr>
          <w:color w:val="231F20"/>
          <w:spacing w:val="3"/>
          <w:vertAlign w:val="baseline"/>
        </w:rPr>
        <w:t> </w:t>
      </w:r>
      <w:r>
        <w:rPr>
          <w:color w:val="231F20"/>
          <w:spacing w:val="-1"/>
          <w:vertAlign w:val="baseline"/>
        </w:rPr>
        <w:t>50</w:t>
      </w:r>
      <w:r>
        <w:rPr>
          <w:color w:val="231F20"/>
          <w:spacing w:val="3"/>
          <w:vertAlign w:val="baseline"/>
        </w:rPr>
        <w:t> </w:t>
      </w:r>
      <w:r>
        <w:rPr>
          <w:color w:val="231F20"/>
          <w:spacing w:val="-1"/>
          <w:vertAlign w:val="baseline"/>
        </w:rPr>
        <w:t>states</w:t>
      </w:r>
      <w:r>
        <w:rPr>
          <w:color w:val="231F20"/>
          <w:spacing w:val="3"/>
          <w:vertAlign w:val="baseline"/>
        </w:rPr>
        <w:t> </w:t>
      </w:r>
      <w:r>
        <w:rPr>
          <w:color w:val="231F20"/>
          <w:spacing w:val="-1"/>
          <w:vertAlign w:val="baseline"/>
        </w:rPr>
        <w:t>and</w:t>
      </w:r>
      <w:r>
        <w:rPr>
          <w:color w:val="231F20"/>
          <w:spacing w:val="-2"/>
          <w:vertAlign w:val="baseline"/>
        </w:rPr>
        <w:t> </w:t>
      </w:r>
      <w:r>
        <w:rPr>
          <w:color w:val="231F20"/>
          <w:spacing w:val="-1"/>
          <w:vertAlign w:val="baseline"/>
        </w:rPr>
        <w:t>Washington,</w:t>
      </w:r>
      <w:r>
        <w:rPr>
          <w:color w:val="231F20"/>
          <w:spacing w:val="3"/>
          <w:vertAlign w:val="baseline"/>
        </w:rPr>
        <w:t> </w:t>
      </w:r>
      <w:r>
        <w:rPr>
          <w:color w:val="231F20"/>
          <w:vertAlign w:val="baseline"/>
        </w:rPr>
        <w:t>DC,</w:t>
      </w:r>
      <w:r>
        <w:rPr>
          <w:color w:val="231F20"/>
          <w:spacing w:val="3"/>
          <w:vertAlign w:val="baseline"/>
        </w:rPr>
        <w:t> </w:t>
      </w:r>
      <w:r>
        <w:rPr>
          <w:color w:val="231F20"/>
          <w:vertAlign w:val="baseline"/>
        </w:rPr>
        <w:t>have</w:t>
      </w:r>
      <w:r>
        <w:rPr>
          <w:color w:val="231F20"/>
          <w:spacing w:val="1"/>
          <w:vertAlign w:val="baseline"/>
        </w:rPr>
        <w:t> </w:t>
      </w:r>
      <w:r>
        <w:rPr>
          <w:color w:val="231F20"/>
          <w:vertAlign w:val="baseline"/>
        </w:rPr>
        <w:t>some</w:t>
      </w:r>
      <w:r>
        <w:rPr>
          <w:color w:val="231F20"/>
          <w:spacing w:val="6"/>
          <w:vertAlign w:val="baseline"/>
        </w:rPr>
        <w:t> </w:t>
      </w:r>
      <w:r>
        <w:rPr>
          <w:color w:val="231F20"/>
          <w:vertAlign w:val="baseline"/>
        </w:rPr>
        <w:t>form</w:t>
      </w:r>
      <w:r>
        <w:rPr>
          <w:color w:val="231F20"/>
          <w:spacing w:val="7"/>
          <w:vertAlign w:val="baseline"/>
        </w:rPr>
        <w:t> </w:t>
      </w:r>
      <w:r>
        <w:rPr>
          <w:color w:val="231F20"/>
          <w:vertAlign w:val="baseline"/>
        </w:rPr>
        <w:t>of</w:t>
      </w:r>
      <w:r>
        <w:rPr>
          <w:color w:val="231F20"/>
          <w:spacing w:val="6"/>
          <w:vertAlign w:val="baseline"/>
        </w:rPr>
        <w:t> </w:t>
      </w:r>
      <w:r>
        <w:rPr>
          <w:color w:val="231F20"/>
          <w:vertAlign w:val="baseline"/>
        </w:rPr>
        <w:t>Medicaid</w:t>
      </w:r>
      <w:r>
        <w:rPr>
          <w:color w:val="231F20"/>
          <w:spacing w:val="7"/>
          <w:vertAlign w:val="baseline"/>
        </w:rPr>
        <w:t> </w:t>
      </w:r>
      <w:r>
        <w:rPr>
          <w:color w:val="231F20"/>
          <w:vertAlign w:val="baseline"/>
        </w:rPr>
        <w:t>reimbursement</w:t>
      </w:r>
      <w:r>
        <w:rPr>
          <w:color w:val="231F20"/>
          <w:spacing w:val="7"/>
          <w:vertAlign w:val="baseline"/>
        </w:rPr>
        <w:t> </w:t>
      </w:r>
      <w:r>
        <w:rPr>
          <w:color w:val="231F20"/>
          <w:vertAlign w:val="baseline"/>
        </w:rPr>
        <w:t>for</w:t>
      </w:r>
      <w:r>
        <w:rPr>
          <w:color w:val="231F20"/>
          <w:spacing w:val="6"/>
          <w:vertAlign w:val="baseline"/>
        </w:rPr>
        <w:t> </w:t>
      </w:r>
      <w:r>
        <w:rPr>
          <w:color w:val="231F20"/>
          <w:vertAlign w:val="baseline"/>
        </w:rPr>
        <w:t>telehealth,</w:t>
      </w:r>
      <w:r>
        <w:rPr>
          <w:color w:val="231F20"/>
          <w:spacing w:val="1"/>
          <w:vertAlign w:val="baseline"/>
        </w:rPr>
        <w:t> </w:t>
      </w:r>
      <w:r>
        <w:rPr>
          <w:color w:val="231F20"/>
          <w:vertAlign w:val="baseline"/>
        </w:rPr>
        <w:t>but these programs vary. Treatment programs and</w:t>
      </w:r>
      <w:r>
        <w:rPr>
          <w:color w:val="231F20"/>
          <w:spacing w:val="1"/>
          <w:vertAlign w:val="baseline"/>
        </w:rPr>
        <w:t> </w:t>
      </w:r>
      <w:r>
        <w:rPr>
          <w:color w:val="231F20"/>
          <w:vertAlign w:val="baseline"/>
        </w:rPr>
        <w:t>organizations</w:t>
      </w:r>
      <w:r>
        <w:rPr>
          <w:color w:val="231F20"/>
          <w:spacing w:val="-2"/>
          <w:vertAlign w:val="baseline"/>
        </w:rPr>
        <w:t> </w:t>
      </w:r>
      <w:r>
        <w:rPr>
          <w:color w:val="231F20"/>
          <w:vertAlign w:val="baseline"/>
        </w:rPr>
        <w:t>should</w:t>
      </w:r>
      <w:r>
        <w:rPr>
          <w:color w:val="231F20"/>
          <w:spacing w:val="-2"/>
          <w:vertAlign w:val="baseline"/>
        </w:rPr>
        <w:t> </w:t>
      </w:r>
      <w:r>
        <w:rPr>
          <w:color w:val="231F20"/>
          <w:vertAlign w:val="baseline"/>
        </w:rPr>
        <w:t>consult</w:t>
      </w:r>
      <w:r>
        <w:rPr>
          <w:color w:val="231F20"/>
          <w:spacing w:val="-1"/>
          <w:vertAlign w:val="baseline"/>
        </w:rPr>
        <w:t> </w:t>
      </w:r>
      <w:r>
        <w:rPr>
          <w:color w:val="231F20"/>
          <w:vertAlign w:val="baseline"/>
        </w:rPr>
        <w:t>their</w:t>
      </w:r>
      <w:r>
        <w:rPr>
          <w:color w:val="231F20"/>
          <w:spacing w:val="-1"/>
          <w:vertAlign w:val="baseline"/>
        </w:rPr>
        <w:t> </w:t>
      </w:r>
      <w:r>
        <w:rPr>
          <w:color w:val="231F20"/>
          <w:vertAlign w:val="baseline"/>
        </w:rPr>
        <w:t>state</w:t>
      </w:r>
      <w:r>
        <w:rPr>
          <w:color w:val="231F20"/>
          <w:spacing w:val="-2"/>
          <w:vertAlign w:val="baseline"/>
        </w:rPr>
        <w:t> </w:t>
      </w:r>
      <w:r>
        <w:rPr>
          <w:color w:val="231F20"/>
          <w:vertAlign w:val="baseline"/>
        </w:rPr>
        <w:t>Medicaid</w:t>
      </w:r>
    </w:p>
    <w:p>
      <w:pPr>
        <w:spacing w:after="0" w:line="266" w:lineRule="auto"/>
        <w:sectPr>
          <w:type w:val="continuous"/>
          <w:pgSz w:w="12240" w:h="15840"/>
          <w:pgMar w:header="0" w:footer="666" w:top="1500" w:bottom="0" w:left="600" w:right="0"/>
          <w:cols w:num="2" w:equalWidth="0">
            <w:col w:w="5201" w:space="559"/>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1"/>
        <w:ind w:left="120" w:right="210"/>
      </w:pPr>
      <w:r>
        <w:rPr>
          <w:color w:val="231F20"/>
        </w:rPr>
        <w:t>regulations</w:t>
      </w:r>
      <w:r>
        <w:rPr>
          <w:color w:val="231F20"/>
          <w:spacing w:val="5"/>
        </w:rPr>
        <w:t> </w:t>
      </w:r>
      <w:r>
        <w:rPr>
          <w:color w:val="231F20"/>
        </w:rPr>
        <w:t>before</w:t>
      </w:r>
      <w:r>
        <w:rPr>
          <w:color w:val="231F20"/>
          <w:spacing w:val="5"/>
        </w:rPr>
        <w:t> </w:t>
      </w:r>
      <w:r>
        <w:rPr>
          <w:color w:val="231F20"/>
        </w:rPr>
        <w:t>launching</w:t>
      </w:r>
      <w:r>
        <w:rPr>
          <w:color w:val="231F20"/>
          <w:spacing w:val="6"/>
        </w:rPr>
        <w:t> </w:t>
      </w:r>
      <w:r>
        <w:rPr>
          <w:color w:val="231F20"/>
        </w:rPr>
        <w:t>a</w:t>
      </w:r>
      <w:r>
        <w:rPr>
          <w:color w:val="231F20"/>
          <w:spacing w:val="5"/>
        </w:rPr>
        <w:t> </w:t>
      </w:r>
      <w:r>
        <w:rPr>
          <w:color w:val="231F20"/>
        </w:rPr>
        <w:t>telehealth</w:t>
      </w:r>
      <w:r>
        <w:rPr>
          <w:color w:val="231F20"/>
          <w:spacing w:val="5"/>
        </w:rPr>
        <w:t> </w:t>
      </w:r>
      <w:r>
        <w:rPr>
          <w:color w:val="231F20"/>
        </w:rPr>
        <w:t>program.</w:t>
      </w:r>
      <w:r>
        <w:rPr>
          <w:color w:val="231F20"/>
          <w:spacing w:val="1"/>
        </w:rPr>
        <w:t> </w:t>
      </w:r>
      <w:r>
        <w:rPr>
          <w:color w:val="231F20"/>
        </w:rPr>
        <w:t>Live video is reimbursed in all states; however, some</w:t>
      </w:r>
      <w:r>
        <w:rPr>
          <w:color w:val="231F20"/>
          <w:spacing w:val="1"/>
        </w:rPr>
        <w:t> </w:t>
      </w:r>
      <w:r>
        <w:rPr>
          <w:color w:val="231F20"/>
        </w:rPr>
        <w:t>asynchronous telehealth modalities (e.g., store-and-</w:t>
      </w:r>
      <w:r>
        <w:rPr>
          <w:color w:val="231F20"/>
          <w:spacing w:val="1"/>
        </w:rPr>
        <w:t> </w:t>
      </w:r>
      <w:r>
        <w:rPr>
          <w:color w:val="231F20"/>
        </w:rPr>
        <w:t>forward services) are only defined and reimbursed by</w:t>
      </w:r>
      <w:r>
        <w:rPr>
          <w:color w:val="231F20"/>
          <w:spacing w:val="1"/>
        </w:rPr>
        <w:t> </w:t>
      </w:r>
      <w:r>
        <w:rPr>
          <w:color w:val="231F20"/>
        </w:rPr>
        <w:t>some state Medicaid programs. Geographic restrictions</w:t>
      </w:r>
      <w:r>
        <w:rPr>
          <w:color w:val="231F20"/>
          <w:spacing w:val="-53"/>
        </w:rPr>
        <w:t> </w:t>
      </w:r>
      <w:r>
        <w:rPr>
          <w:color w:val="231F20"/>
        </w:rPr>
        <w:t>also exist in some states.</w:t>
      </w:r>
    </w:p>
    <w:p>
      <w:pPr>
        <w:pStyle w:val="BodyText"/>
        <w:spacing w:line="266" w:lineRule="auto" w:before="175"/>
        <w:ind w:left="120" w:right="33"/>
      </w:pPr>
      <w:r>
        <w:rPr>
          <w:color w:val="231F20"/>
          <w:spacing w:val="-1"/>
        </w:rPr>
        <w:t>The 2018 SUPPORT Act loosened </w:t>
      </w:r>
      <w:r>
        <w:rPr>
          <w:color w:val="231F20"/>
        </w:rPr>
        <w:t>some reimbursement</w:t>
      </w:r>
      <w:r>
        <w:rPr>
          <w:color w:val="231F20"/>
          <w:spacing w:val="1"/>
        </w:rPr>
        <w:t> </w:t>
      </w:r>
      <w:r>
        <w:rPr>
          <w:color w:val="231F20"/>
        </w:rPr>
        <w:t>restrictions for treating individuals with SUD or COD.</w:t>
      </w:r>
      <w:r>
        <w:rPr>
          <w:color w:val="231F20"/>
          <w:spacing w:val="1"/>
        </w:rPr>
        <w:t> </w:t>
      </w:r>
      <w:r>
        <w:rPr>
          <w:color w:val="231F20"/>
          <w:spacing w:val="-1"/>
        </w:rPr>
        <w:t>Under the 2018 SUPPORT Act, the Centers for </w:t>
      </w:r>
      <w:r>
        <w:rPr>
          <w:color w:val="231F20"/>
        </w:rPr>
        <w:t>Medicare</w:t>
      </w:r>
      <w:r>
        <w:rPr>
          <w:color w:val="231F20"/>
          <w:spacing w:val="-52"/>
        </w:rPr>
        <w:t> </w:t>
      </w:r>
      <w:r>
        <w:rPr>
          <w:color w:val="231F20"/>
        </w:rPr>
        <w:t>and Medicaid Services (CMS) issued guidance on state</w:t>
      </w:r>
      <w:r>
        <w:rPr>
          <w:color w:val="231F20"/>
          <w:spacing w:val="1"/>
        </w:rPr>
        <w:t> </w:t>
      </w:r>
      <w:r>
        <w:rPr>
          <w:color w:val="231F20"/>
        </w:rPr>
        <w:t>options for Medicaid reimbursement of telehealth-</w:t>
      </w:r>
      <w:r>
        <w:rPr>
          <w:color w:val="231F20"/>
          <w:spacing w:val="1"/>
        </w:rPr>
        <w:t> </w:t>
      </w:r>
      <w:r>
        <w:rPr>
          <w:color w:val="231F20"/>
        </w:rPr>
        <w:t>delivered</w:t>
      </w:r>
      <w:r>
        <w:rPr>
          <w:color w:val="231F20"/>
          <w:spacing w:val="-1"/>
        </w:rPr>
        <w:t> </w:t>
      </w:r>
      <w:r>
        <w:rPr>
          <w:color w:val="231F20"/>
        </w:rPr>
        <w:t>services</w:t>
      </w:r>
      <w:r>
        <w:rPr>
          <w:color w:val="231F20"/>
          <w:spacing w:val="-1"/>
        </w:rPr>
        <w:t> </w:t>
      </w:r>
      <w:r>
        <w:rPr>
          <w:color w:val="231F20"/>
        </w:rPr>
        <w:t>and treatment</w:t>
      </w:r>
      <w:r>
        <w:rPr>
          <w:color w:val="231F20"/>
          <w:spacing w:val="-1"/>
        </w:rPr>
        <w:t> </w:t>
      </w:r>
      <w:r>
        <w:rPr>
          <w:color w:val="231F20"/>
        </w:rPr>
        <w:t>for SUD.</w:t>
      </w:r>
      <w:r>
        <w:rPr>
          <w:color w:val="231F20"/>
          <w:vertAlign w:val="superscript"/>
        </w:rPr>
        <w:t>53</w:t>
      </w:r>
    </w:p>
    <w:p>
      <w:pPr>
        <w:pStyle w:val="BodyText"/>
        <w:spacing w:line="266" w:lineRule="auto" w:before="175"/>
        <w:ind w:left="120" w:right="53"/>
      </w:pPr>
      <w:r>
        <w:rPr>
          <w:b/>
          <w:color w:val="231F20"/>
        </w:rPr>
        <w:t>Medicare</w:t>
      </w:r>
      <w:r>
        <w:rPr>
          <w:b/>
          <w:color w:val="231F20"/>
          <w:spacing w:val="-4"/>
        </w:rPr>
        <w:t> </w:t>
      </w:r>
      <w:r>
        <w:rPr>
          <w:color w:val="231F20"/>
        </w:rPr>
        <w:t>only</w:t>
      </w:r>
      <w:r>
        <w:rPr>
          <w:color w:val="231F20"/>
          <w:spacing w:val="-3"/>
        </w:rPr>
        <w:t> </w:t>
      </w:r>
      <w:r>
        <w:rPr>
          <w:color w:val="231F20"/>
        </w:rPr>
        <w:t>reimburses</w:t>
      </w:r>
      <w:r>
        <w:rPr>
          <w:color w:val="231F20"/>
          <w:spacing w:val="-3"/>
        </w:rPr>
        <w:t> </w:t>
      </w:r>
      <w:r>
        <w:rPr>
          <w:color w:val="231F20"/>
        </w:rPr>
        <w:t>for</w:t>
      </w:r>
      <w:r>
        <w:rPr>
          <w:color w:val="231F20"/>
          <w:spacing w:val="-4"/>
        </w:rPr>
        <w:t> </w:t>
      </w:r>
      <w:r>
        <w:rPr>
          <w:color w:val="231F20"/>
        </w:rPr>
        <w:t>limited</w:t>
      </w:r>
      <w:r>
        <w:rPr>
          <w:color w:val="231F20"/>
          <w:spacing w:val="-3"/>
        </w:rPr>
        <w:t> </w:t>
      </w:r>
      <w:r>
        <w:rPr>
          <w:color w:val="231F20"/>
        </w:rPr>
        <w:t>telehealth</w:t>
      </w:r>
      <w:r>
        <w:rPr>
          <w:color w:val="231F20"/>
          <w:spacing w:val="-3"/>
        </w:rPr>
        <w:t> </w:t>
      </w:r>
      <w:r>
        <w:rPr>
          <w:color w:val="231F20"/>
        </w:rPr>
        <w:t>services</w:t>
      </w:r>
      <w:r>
        <w:rPr>
          <w:color w:val="231F20"/>
          <w:spacing w:val="-52"/>
        </w:rPr>
        <w:t> </w:t>
      </w:r>
      <w:r>
        <w:rPr>
          <w:color w:val="231F20"/>
        </w:rPr>
        <w:t>where certain parameters are</w:t>
      </w:r>
      <w:r>
        <w:rPr>
          <w:color w:val="231F20"/>
          <w:spacing w:val="-1"/>
        </w:rPr>
        <w:t> </w:t>
      </w:r>
      <w:r>
        <w:rPr>
          <w:color w:val="231F20"/>
        </w:rPr>
        <w:t>met.</w:t>
      </w:r>
      <w:r>
        <w:rPr>
          <w:color w:val="231F20"/>
          <w:spacing w:val="-5"/>
        </w:rPr>
        <w:t> </w:t>
      </w:r>
      <w:r>
        <w:rPr>
          <w:color w:val="231F20"/>
        </w:rPr>
        <w:t>There are limits</w:t>
      </w:r>
    </w:p>
    <w:p>
      <w:pPr>
        <w:pStyle w:val="BodyText"/>
        <w:spacing w:line="266" w:lineRule="auto"/>
        <w:ind w:left="120" w:right="313"/>
      </w:pPr>
      <w:r>
        <w:rPr>
          <w:color w:val="231F20"/>
        </w:rPr>
        <w:t>on the type of professional who can provide services,</w:t>
      </w:r>
      <w:r>
        <w:rPr>
          <w:color w:val="231F20"/>
          <w:spacing w:val="1"/>
        </w:rPr>
        <w:t> </w:t>
      </w:r>
      <w:r>
        <w:rPr>
          <w:color w:val="231F20"/>
        </w:rPr>
        <w:t>and services must be delivered via live video. Eligible</w:t>
      </w:r>
      <w:r>
        <w:rPr>
          <w:color w:val="231F20"/>
          <w:spacing w:val="-53"/>
        </w:rPr>
        <w:t> </w:t>
      </w:r>
      <w:r>
        <w:rPr>
          <w:color w:val="231F20"/>
        </w:rPr>
        <w:t>Medicare-reimbursed telehealth services related to</w:t>
      </w:r>
      <w:r>
        <w:rPr>
          <w:color w:val="231F20"/>
          <w:spacing w:val="1"/>
        </w:rPr>
        <w:t> </w:t>
      </w:r>
      <w:r>
        <w:rPr>
          <w:color w:val="231F20"/>
        </w:rPr>
        <w:t>treatment</w:t>
      </w:r>
      <w:r>
        <w:rPr>
          <w:color w:val="231F20"/>
          <w:spacing w:val="-1"/>
        </w:rPr>
        <w:t> </w:t>
      </w:r>
      <w:r>
        <w:rPr>
          <w:color w:val="231F20"/>
        </w:rPr>
        <w:t>of SMI</w:t>
      </w:r>
      <w:r>
        <w:rPr>
          <w:color w:val="231F20"/>
          <w:spacing w:val="-1"/>
        </w:rPr>
        <w:t> </w:t>
      </w:r>
      <w:r>
        <w:rPr>
          <w:color w:val="231F20"/>
        </w:rPr>
        <w:t>and SUD</w:t>
      </w:r>
      <w:r>
        <w:rPr>
          <w:color w:val="231F20"/>
          <w:spacing w:val="-1"/>
        </w:rPr>
        <w:t> </w:t>
      </w:r>
      <w:r>
        <w:rPr>
          <w:color w:val="231F20"/>
        </w:rPr>
        <w:t>include:</w:t>
      </w:r>
      <w:r>
        <w:rPr>
          <w:color w:val="231F20"/>
          <w:vertAlign w:val="superscript"/>
        </w:rPr>
        <w:t>54</w:t>
      </w:r>
    </w:p>
    <w:p>
      <w:pPr>
        <w:pStyle w:val="ListParagraph"/>
        <w:numPr>
          <w:ilvl w:val="1"/>
          <w:numId w:val="5"/>
        </w:numPr>
        <w:tabs>
          <w:tab w:pos="839" w:val="left" w:leader="none"/>
          <w:tab w:pos="840" w:val="left" w:leader="none"/>
        </w:tabs>
        <w:spacing w:line="240" w:lineRule="auto" w:before="159" w:after="0"/>
        <w:ind w:left="839" w:right="0" w:hanging="360"/>
        <w:jc w:val="left"/>
        <w:rPr>
          <w:rFonts w:ascii="Symbol" w:hAnsi="Symbol"/>
          <w:color w:val="010202"/>
          <w:sz w:val="22"/>
        </w:rPr>
      </w:pPr>
      <w:r>
        <w:rPr>
          <w:color w:val="010202"/>
          <w:sz w:val="22"/>
        </w:rPr>
        <w:t>Individual and family psychotherapy</w:t>
      </w:r>
    </w:p>
    <w:p>
      <w:pPr>
        <w:pStyle w:val="ListParagraph"/>
        <w:numPr>
          <w:ilvl w:val="1"/>
          <w:numId w:val="5"/>
        </w:numPr>
        <w:tabs>
          <w:tab w:pos="839" w:val="left" w:leader="none"/>
          <w:tab w:pos="840" w:val="left" w:leader="none"/>
        </w:tabs>
        <w:spacing w:line="264" w:lineRule="auto" w:before="58" w:after="0"/>
        <w:ind w:left="839" w:right="289" w:hanging="360"/>
        <w:jc w:val="left"/>
        <w:rPr>
          <w:rFonts w:ascii="Symbol" w:hAnsi="Symbol"/>
          <w:color w:val="010202"/>
          <w:sz w:val="22"/>
        </w:rPr>
      </w:pPr>
      <w:r>
        <w:rPr>
          <w:color w:val="010202"/>
          <w:sz w:val="22"/>
        </w:rPr>
        <w:t>Alcohol and/or substance (other than tobacco)</w:t>
      </w:r>
      <w:r>
        <w:rPr>
          <w:color w:val="010202"/>
          <w:spacing w:val="-52"/>
          <w:sz w:val="22"/>
        </w:rPr>
        <w:t> </w:t>
      </w:r>
      <w:r>
        <w:rPr>
          <w:color w:val="010202"/>
          <w:sz w:val="22"/>
        </w:rPr>
        <w:t>use structured assessment and intervention</w:t>
      </w:r>
      <w:r>
        <w:rPr>
          <w:color w:val="010202"/>
          <w:spacing w:val="1"/>
          <w:sz w:val="22"/>
        </w:rPr>
        <w:t> </w:t>
      </w:r>
      <w:r>
        <w:rPr>
          <w:color w:val="010202"/>
          <w:sz w:val="22"/>
        </w:rPr>
        <w:t>services</w:t>
      </w:r>
    </w:p>
    <w:p>
      <w:pPr>
        <w:pStyle w:val="ListParagraph"/>
        <w:numPr>
          <w:ilvl w:val="1"/>
          <w:numId w:val="5"/>
        </w:numPr>
        <w:tabs>
          <w:tab w:pos="839" w:val="left" w:leader="none"/>
          <w:tab w:pos="840" w:val="left" w:leader="none"/>
        </w:tabs>
        <w:spacing w:line="264" w:lineRule="auto" w:before="33" w:after="0"/>
        <w:ind w:left="839" w:right="247" w:hanging="360"/>
        <w:jc w:val="left"/>
        <w:rPr>
          <w:rFonts w:ascii="Symbol" w:hAnsi="Symbol"/>
          <w:color w:val="010202"/>
          <w:sz w:val="22"/>
        </w:rPr>
      </w:pPr>
      <w:r>
        <w:rPr>
          <w:color w:val="010202"/>
          <w:sz w:val="22"/>
        </w:rPr>
        <w:t>Face-to-face behavioral counseling for alcohol</w:t>
      </w:r>
      <w:r>
        <w:rPr>
          <w:color w:val="010202"/>
          <w:spacing w:val="-52"/>
          <w:sz w:val="22"/>
        </w:rPr>
        <w:t> </w:t>
      </w:r>
      <w:r>
        <w:rPr>
          <w:color w:val="010202"/>
          <w:sz w:val="22"/>
        </w:rPr>
        <w:t>misuse</w:t>
      </w:r>
    </w:p>
    <w:p>
      <w:pPr>
        <w:pStyle w:val="ListParagraph"/>
        <w:numPr>
          <w:ilvl w:val="1"/>
          <w:numId w:val="5"/>
        </w:numPr>
        <w:tabs>
          <w:tab w:pos="839" w:val="left" w:leader="none"/>
          <w:tab w:pos="840" w:val="left" w:leader="none"/>
        </w:tabs>
        <w:spacing w:line="240" w:lineRule="auto" w:before="32" w:after="0"/>
        <w:ind w:left="839" w:right="0" w:hanging="360"/>
        <w:jc w:val="left"/>
        <w:rPr>
          <w:rFonts w:ascii="Symbol" w:hAnsi="Symbol"/>
          <w:color w:val="010202"/>
          <w:sz w:val="22"/>
        </w:rPr>
      </w:pPr>
      <w:r>
        <w:rPr>
          <w:color w:val="010202"/>
          <w:sz w:val="22"/>
        </w:rPr>
        <w:t>Annual</w:t>
      </w:r>
      <w:r>
        <w:rPr>
          <w:color w:val="010202"/>
          <w:spacing w:val="-1"/>
          <w:sz w:val="22"/>
        </w:rPr>
        <w:t> </w:t>
      </w:r>
      <w:r>
        <w:rPr>
          <w:color w:val="010202"/>
          <w:sz w:val="22"/>
        </w:rPr>
        <w:t>alcohol misuse screening</w:t>
      </w:r>
    </w:p>
    <w:p>
      <w:pPr>
        <w:pStyle w:val="ListParagraph"/>
        <w:numPr>
          <w:ilvl w:val="1"/>
          <w:numId w:val="5"/>
        </w:numPr>
        <w:tabs>
          <w:tab w:pos="839" w:val="left" w:leader="none"/>
          <w:tab w:pos="840" w:val="left" w:leader="none"/>
        </w:tabs>
        <w:spacing w:line="240" w:lineRule="auto" w:before="58" w:after="0"/>
        <w:ind w:left="839" w:right="0" w:hanging="360"/>
        <w:jc w:val="left"/>
        <w:rPr>
          <w:rFonts w:ascii="Symbol" w:hAnsi="Symbol"/>
          <w:color w:val="010202"/>
          <w:sz w:val="22"/>
        </w:rPr>
      </w:pPr>
      <w:r>
        <w:rPr>
          <w:color w:val="010202"/>
          <w:sz w:val="22"/>
        </w:rPr>
        <w:t>Annual depression screening</w:t>
      </w:r>
    </w:p>
    <w:p>
      <w:pPr>
        <w:pStyle w:val="ListParagraph"/>
        <w:numPr>
          <w:ilvl w:val="1"/>
          <w:numId w:val="5"/>
        </w:numPr>
        <w:tabs>
          <w:tab w:pos="839" w:val="left" w:leader="none"/>
          <w:tab w:pos="840" w:val="left" w:leader="none"/>
        </w:tabs>
        <w:spacing w:line="240" w:lineRule="auto" w:before="57" w:after="0"/>
        <w:ind w:left="839" w:right="0" w:hanging="360"/>
        <w:jc w:val="left"/>
        <w:rPr>
          <w:rFonts w:ascii="Symbol" w:hAnsi="Symbol"/>
          <w:color w:val="010202"/>
          <w:sz w:val="22"/>
        </w:rPr>
      </w:pPr>
      <w:r>
        <w:rPr>
          <w:color w:val="010202"/>
          <w:sz w:val="22"/>
        </w:rPr>
        <w:t>Smoking</w:t>
      </w:r>
      <w:r>
        <w:rPr>
          <w:color w:val="010202"/>
          <w:spacing w:val="-1"/>
          <w:sz w:val="22"/>
        </w:rPr>
        <w:t> </w:t>
      </w:r>
      <w:r>
        <w:rPr>
          <w:color w:val="010202"/>
          <w:sz w:val="22"/>
        </w:rPr>
        <w:t>cessation services</w:t>
      </w:r>
    </w:p>
    <w:p>
      <w:pPr>
        <w:pStyle w:val="BodyText"/>
        <w:spacing w:line="266" w:lineRule="auto" w:before="206"/>
        <w:ind w:left="119" w:right="95"/>
      </w:pPr>
      <w:r>
        <w:rPr>
          <w:color w:val="231F20"/>
        </w:rPr>
        <w:t>Based on the client’s location, Medicare also has limits</w:t>
      </w:r>
      <w:r>
        <w:rPr>
          <w:color w:val="231F20"/>
          <w:spacing w:val="1"/>
        </w:rPr>
        <w:t> </w:t>
      </w:r>
      <w:r>
        <w:rPr>
          <w:color w:val="231F20"/>
        </w:rPr>
        <w:t>on telehealth provided by certain facilities and in certain</w:t>
      </w:r>
      <w:r>
        <w:rPr>
          <w:color w:val="231F20"/>
          <w:spacing w:val="-52"/>
        </w:rPr>
        <w:t> </w:t>
      </w:r>
      <w:r>
        <w:rPr>
          <w:color w:val="231F20"/>
        </w:rPr>
        <w:t>geographic locations. Telehealth services have been</w:t>
      </w:r>
      <w:r>
        <w:rPr>
          <w:color w:val="231F20"/>
          <w:spacing w:val="1"/>
        </w:rPr>
        <w:t> </w:t>
      </w:r>
      <w:r>
        <w:rPr>
          <w:color w:val="231F20"/>
        </w:rPr>
        <w:t>restricted to clients located in a Health Professional</w:t>
      </w:r>
      <w:r>
        <w:rPr>
          <w:color w:val="231F20"/>
          <w:spacing w:val="1"/>
        </w:rPr>
        <w:t> </w:t>
      </w:r>
      <w:r>
        <w:rPr>
          <w:color w:val="231F20"/>
        </w:rPr>
        <w:t>Shortage</w:t>
      </w:r>
      <w:r>
        <w:rPr>
          <w:color w:val="231F20"/>
          <w:spacing w:val="-13"/>
        </w:rPr>
        <w:t> </w:t>
      </w:r>
      <w:r>
        <w:rPr>
          <w:color w:val="231F20"/>
        </w:rPr>
        <w:t>Area</w:t>
      </w:r>
      <w:r>
        <w:rPr>
          <w:color w:val="231F20"/>
          <w:spacing w:val="-1"/>
        </w:rPr>
        <w:t> </w:t>
      </w:r>
      <w:r>
        <w:rPr>
          <w:color w:val="231F20"/>
        </w:rPr>
        <w:t>(HPSA) or in a county that is outside</w:t>
      </w:r>
    </w:p>
    <w:p>
      <w:pPr>
        <w:pStyle w:val="BodyText"/>
        <w:spacing w:line="266" w:lineRule="auto"/>
        <w:ind w:left="119" w:right="362"/>
      </w:pPr>
      <w:r>
        <w:rPr>
          <w:color w:val="231F20"/>
        </w:rPr>
        <w:t>any</w:t>
      </w:r>
      <w:r>
        <w:rPr>
          <w:color w:val="231F20"/>
          <w:spacing w:val="7"/>
        </w:rPr>
        <w:t> </w:t>
      </w:r>
      <w:r>
        <w:rPr>
          <w:color w:val="231F20"/>
        </w:rPr>
        <w:t>Metropolitan</w:t>
      </w:r>
      <w:r>
        <w:rPr>
          <w:color w:val="231F20"/>
          <w:spacing w:val="8"/>
        </w:rPr>
        <w:t> </w:t>
      </w:r>
      <w:r>
        <w:rPr>
          <w:color w:val="231F20"/>
        </w:rPr>
        <w:t>Statistical</w:t>
      </w:r>
      <w:r>
        <w:rPr>
          <w:color w:val="231F20"/>
          <w:spacing w:val="-5"/>
        </w:rPr>
        <w:t> </w:t>
      </w:r>
      <w:r>
        <w:rPr>
          <w:color w:val="231F20"/>
        </w:rPr>
        <w:t>Area</w:t>
      </w:r>
      <w:r>
        <w:rPr>
          <w:color w:val="231F20"/>
          <w:spacing w:val="8"/>
        </w:rPr>
        <w:t> </w:t>
      </w:r>
      <w:r>
        <w:rPr>
          <w:color w:val="231F20"/>
        </w:rPr>
        <w:t>(MSA).</w:t>
      </w:r>
      <w:r>
        <w:rPr>
          <w:color w:val="231F20"/>
          <w:spacing w:val="-5"/>
        </w:rPr>
        <w:t> </w:t>
      </w:r>
      <w:r>
        <w:rPr>
          <w:color w:val="231F20"/>
        </w:rPr>
        <w:t>As</w:t>
      </w:r>
      <w:r>
        <w:rPr>
          <w:color w:val="231F20"/>
          <w:spacing w:val="8"/>
        </w:rPr>
        <w:t> </w:t>
      </w:r>
      <w:r>
        <w:rPr>
          <w:color w:val="231F20"/>
        </w:rPr>
        <w:t>of</w:t>
      </w:r>
      <w:r>
        <w:rPr>
          <w:color w:val="231F20"/>
          <w:spacing w:val="1"/>
        </w:rPr>
        <w:t> </w:t>
      </w:r>
      <w:r>
        <w:rPr>
          <w:color w:val="231F20"/>
        </w:rPr>
        <w:t>2020, CMS removed the geographic requirements for</w:t>
      </w:r>
      <w:r>
        <w:rPr>
          <w:color w:val="231F20"/>
          <w:spacing w:val="-52"/>
        </w:rPr>
        <w:t> </w:t>
      </w:r>
      <w:r>
        <w:rPr>
          <w:color w:val="231F20"/>
        </w:rPr>
        <w:t>telehealth services for treating individuals with SUD</w:t>
      </w:r>
      <w:r>
        <w:rPr>
          <w:color w:val="231F20"/>
          <w:spacing w:val="1"/>
        </w:rPr>
        <w:t> </w:t>
      </w:r>
      <w:r>
        <w:rPr>
          <w:color w:val="231F20"/>
        </w:rPr>
        <w:t>or</w:t>
      </w:r>
      <w:r>
        <w:rPr>
          <w:color w:val="231F20"/>
          <w:spacing w:val="-2"/>
        </w:rPr>
        <w:t> </w:t>
      </w:r>
      <w:r>
        <w:rPr>
          <w:color w:val="231F20"/>
        </w:rPr>
        <w:t>COD,</w:t>
      </w:r>
      <w:r>
        <w:rPr>
          <w:color w:val="231F20"/>
          <w:spacing w:val="-2"/>
        </w:rPr>
        <w:t> </w:t>
      </w:r>
      <w:r>
        <w:rPr>
          <w:color w:val="231F20"/>
        </w:rPr>
        <w:t>as</w:t>
      </w:r>
      <w:r>
        <w:rPr>
          <w:color w:val="231F20"/>
          <w:spacing w:val="-2"/>
        </w:rPr>
        <w:t> </w:t>
      </w:r>
      <w:r>
        <w:rPr>
          <w:color w:val="231F20"/>
        </w:rPr>
        <w:t>well</w:t>
      </w:r>
      <w:r>
        <w:rPr>
          <w:color w:val="231F20"/>
          <w:spacing w:val="-3"/>
        </w:rPr>
        <w:t> </w:t>
      </w:r>
      <w:r>
        <w:rPr>
          <w:color w:val="231F20"/>
        </w:rPr>
        <w:t>as</w:t>
      </w:r>
      <w:r>
        <w:rPr>
          <w:color w:val="231F20"/>
          <w:spacing w:val="-2"/>
        </w:rPr>
        <w:t> </w:t>
      </w:r>
      <w:r>
        <w:rPr>
          <w:color w:val="231F20"/>
        </w:rPr>
        <w:t>specified</w:t>
      </w:r>
      <w:r>
        <w:rPr>
          <w:color w:val="231F20"/>
          <w:spacing w:val="-2"/>
        </w:rPr>
        <w:t> </w:t>
      </w:r>
      <w:r>
        <w:rPr>
          <w:color w:val="231F20"/>
        </w:rPr>
        <w:t>the</w:t>
      </w:r>
      <w:r>
        <w:rPr>
          <w:color w:val="231F20"/>
          <w:spacing w:val="-2"/>
        </w:rPr>
        <w:t> </w:t>
      </w:r>
      <w:r>
        <w:rPr>
          <w:color w:val="231F20"/>
        </w:rPr>
        <w:t>home</w:t>
      </w:r>
      <w:r>
        <w:rPr>
          <w:color w:val="231F20"/>
          <w:spacing w:val="-2"/>
        </w:rPr>
        <w:t> </w:t>
      </w:r>
      <w:r>
        <w:rPr>
          <w:color w:val="231F20"/>
        </w:rPr>
        <w:t>as</w:t>
      </w:r>
      <w:r>
        <w:rPr>
          <w:color w:val="231F20"/>
          <w:spacing w:val="-2"/>
        </w:rPr>
        <w:t> </w:t>
      </w:r>
      <w:r>
        <w:rPr>
          <w:color w:val="231F20"/>
        </w:rPr>
        <w:t>an</w:t>
      </w:r>
      <w:r>
        <w:rPr>
          <w:color w:val="231F20"/>
          <w:spacing w:val="-2"/>
        </w:rPr>
        <w:t> </w:t>
      </w:r>
      <w:r>
        <w:rPr>
          <w:color w:val="231F20"/>
        </w:rPr>
        <w:t>eligible</w:t>
      </w:r>
    </w:p>
    <w:p>
      <w:pPr>
        <w:pStyle w:val="BodyText"/>
        <w:spacing w:line="266" w:lineRule="auto"/>
        <w:ind w:left="120" w:right="191" w:hanging="1"/>
        <w:jc w:val="both"/>
      </w:pPr>
      <w:r>
        <w:rPr>
          <w:color w:val="231F20"/>
        </w:rPr>
        <w:t>facility for purposes of treating these individuals.</w:t>
      </w:r>
      <w:r>
        <w:rPr>
          <w:color w:val="231F20"/>
          <w:vertAlign w:val="superscript"/>
        </w:rPr>
        <w:t>54</w:t>
      </w:r>
      <w:r>
        <w:rPr>
          <w:color w:val="231F20"/>
          <w:vertAlign w:val="baseline"/>
        </w:rPr>
        <w:t> The</w:t>
      </w:r>
      <w:r>
        <w:rPr>
          <w:color w:val="231F20"/>
          <w:spacing w:val="-52"/>
          <w:vertAlign w:val="baseline"/>
        </w:rPr>
        <w:t> </w:t>
      </w:r>
      <w:r>
        <w:rPr>
          <w:color w:val="231F20"/>
          <w:spacing w:val="-1"/>
          <w:vertAlign w:val="baseline"/>
        </w:rPr>
        <w:t>Health Resources </w:t>
      </w:r>
      <w:r>
        <w:rPr>
          <w:color w:val="231F20"/>
          <w:vertAlign w:val="baseline"/>
        </w:rPr>
        <w:t>and Services Administration (HRSA)</w:t>
      </w:r>
      <w:r>
        <w:rPr>
          <w:color w:val="231F20"/>
          <w:spacing w:val="-52"/>
          <w:vertAlign w:val="baseline"/>
        </w:rPr>
        <w:t> </w:t>
      </w:r>
      <w:r>
        <w:rPr>
          <w:color w:val="231F20"/>
          <w:vertAlign w:val="baseline"/>
        </w:rPr>
        <w:t>maintains a </w:t>
      </w:r>
      <w:hyperlink r:id="rId240">
        <w:r>
          <w:rPr>
            <w:color w:val="3953A4"/>
            <w:u w:val="single" w:color="3953A4"/>
            <w:vertAlign w:val="baseline"/>
          </w:rPr>
          <w:t>tool</w:t>
        </w:r>
      </w:hyperlink>
      <w:r>
        <w:rPr>
          <w:color w:val="3953A4"/>
          <w:vertAlign w:val="baseline"/>
        </w:rPr>
        <w:t> </w:t>
      </w:r>
      <w:r>
        <w:rPr>
          <w:color w:val="231F20"/>
          <w:vertAlign w:val="baseline"/>
        </w:rPr>
        <w:t>for providers to determine if a location</w:t>
      </w:r>
      <w:r>
        <w:rPr>
          <w:color w:val="231F20"/>
          <w:spacing w:val="-52"/>
          <w:vertAlign w:val="baseline"/>
        </w:rPr>
        <w:t> </w:t>
      </w:r>
      <w:r>
        <w:rPr>
          <w:color w:val="231F20"/>
          <w:vertAlign w:val="baseline"/>
        </w:rPr>
        <w:t>is</w:t>
      </w:r>
      <w:r>
        <w:rPr>
          <w:color w:val="231F20"/>
          <w:spacing w:val="-2"/>
          <w:vertAlign w:val="baseline"/>
        </w:rPr>
        <w:t> </w:t>
      </w:r>
      <w:r>
        <w:rPr>
          <w:color w:val="231F20"/>
          <w:vertAlign w:val="baseline"/>
        </w:rPr>
        <w:t>eligible</w:t>
      </w:r>
      <w:r>
        <w:rPr>
          <w:color w:val="231F20"/>
          <w:spacing w:val="-1"/>
          <w:vertAlign w:val="baseline"/>
        </w:rPr>
        <w:t> </w:t>
      </w:r>
      <w:r>
        <w:rPr>
          <w:color w:val="231F20"/>
          <w:vertAlign w:val="baseline"/>
        </w:rPr>
        <w:t>for</w:t>
      </w:r>
      <w:r>
        <w:rPr>
          <w:color w:val="231F20"/>
          <w:spacing w:val="-1"/>
          <w:vertAlign w:val="baseline"/>
        </w:rPr>
        <w:t> </w:t>
      </w:r>
      <w:r>
        <w:rPr>
          <w:color w:val="231F20"/>
          <w:vertAlign w:val="baseline"/>
        </w:rPr>
        <w:t>Medicare</w:t>
      </w:r>
      <w:r>
        <w:rPr>
          <w:color w:val="231F20"/>
          <w:spacing w:val="-2"/>
          <w:vertAlign w:val="baseline"/>
        </w:rPr>
        <w:t> </w:t>
      </w:r>
      <w:r>
        <w:rPr>
          <w:color w:val="231F20"/>
          <w:vertAlign w:val="baseline"/>
        </w:rPr>
        <w:t>telehealth</w:t>
      </w:r>
      <w:r>
        <w:rPr>
          <w:color w:val="231F20"/>
          <w:spacing w:val="-1"/>
          <w:vertAlign w:val="baseline"/>
        </w:rPr>
        <w:t> </w:t>
      </w:r>
      <w:r>
        <w:rPr>
          <w:color w:val="231F20"/>
          <w:vertAlign w:val="baseline"/>
        </w:rPr>
        <w:t>reimbursement.</w:t>
      </w:r>
      <w:r>
        <w:rPr>
          <w:color w:val="231F20"/>
          <w:vertAlign w:val="superscript"/>
        </w:rPr>
        <w:t>54</w:t>
      </w:r>
    </w:p>
    <w:p>
      <w:pPr>
        <w:pStyle w:val="BodyText"/>
        <w:spacing w:before="170"/>
        <w:ind w:left="120"/>
        <w:jc w:val="both"/>
      </w:pPr>
      <w:r>
        <w:rPr>
          <w:color w:val="231F20"/>
        </w:rPr>
        <w:t>Forty-three</w:t>
      </w:r>
      <w:r>
        <w:rPr>
          <w:color w:val="231F20"/>
          <w:spacing w:val="-1"/>
        </w:rPr>
        <w:t> </w:t>
      </w:r>
      <w:r>
        <w:rPr>
          <w:color w:val="231F20"/>
        </w:rPr>
        <w:t>states and DC have laws that regulate</w:t>
      </w:r>
    </w:p>
    <w:p>
      <w:pPr>
        <w:spacing w:before="27"/>
        <w:ind w:left="120" w:right="0" w:firstLine="0"/>
        <w:jc w:val="both"/>
        <w:rPr>
          <w:sz w:val="22"/>
        </w:rPr>
      </w:pPr>
      <w:r>
        <w:rPr>
          <w:b/>
          <w:color w:val="231F20"/>
          <w:sz w:val="22"/>
        </w:rPr>
        <w:t>private</w:t>
      </w:r>
      <w:r>
        <w:rPr>
          <w:b/>
          <w:color w:val="231F20"/>
          <w:spacing w:val="-3"/>
          <w:sz w:val="22"/>
        </w:rPr>
        <w:t> </w:t>
      </w:r>
      <w:r>
        <w:rPr>
          <w:b/>
          <w:color w:val="231F20"/>
          <w:sz w:val="22"/>
        </w:rPr>
        <w:t>payer</w:t>
      </w:r>
      <w:r>
        <w:rPr>
          <w:b/>
          <w:color w:val="231F20"/>
          <w:spacing w:val="-3"/>
          <w:sz w:val="22"/>
        </w:rPr>
        <w:t> </w:t>
      </w:r>
      <w:r>
        <w:rPr>
          <w:color w:val="231F20"/>
          <w:sz w:val="22"/>
        </w:rPr>
        <w:t>telehealth</w:t>
      </w:r>
      <w:r>
        <w:rPr>
          <w:color w:val="231F20"/>
          <w:spacing w:val="-3"/>
          <w:sz w:val="22"/>
        </w:rPr>
        <w:t> </w:t>
      </w:r>
      <w:r>
        <w:rPr>
          <w:color w:val="231F20"/>
          <w:sz w:val="22"/>
        </w:rPr>
        <w:t>reimbursement</w:t>
      </w:r>
      <w:r>
        <w:rPr>
          <w:color w:val="231F20"/>
          <w:spacing w:val="-2"/>
          <w:sz w:val="22"/>
        </w:rPr>
        <w:t> </w:t>
      </w:r>
      <w:r>
        <w:rPr>
          <w:color w:val="231F20"/>
          <w:sz w:val="22"/>
        </w:rPr>
        <w:t>policies.</w:t>
      </w:r>
      <w:r>
        <w:rPr>
          <w:color w:val="231F20"/>
          <w:sz w:val="22"/>
          <w:vertAlign w:val="superscript"/>
        </w:rPr>
        <w:t>55</w:t>
      </w:r>
    </w:p>
    <w:p>
      <w:pPr>
        <w:pStyle w:val="BodyText"/>
        <w:spacing w:line="266" w:lineRule="auto" w:before="91"/>
        <w:ind w:left="119" w:right="933"/>
      </w:pPr>
      <w:r>
        <w:rPr/>
        <w:br w:type="column"/>
      </w:r>
      <w:r>
        <w:rPr>
          <w:color w:val="231F20"/>
        </w:rPr>
        <w:t>State policies requiring private payers to reimburse for</w:t>
      </w:r>
      <w:r>
        <w:rPr>
          <w:color w:val="231F20"/>
          <w:spacing w:val="-52"/>
        </w:rPr>
        <w:t> </w:t>
      </w:r>
      <w:r>
        <w:rPr>
          <w:color w:val="231F20"/>
        </w:rPr>
        <w:t>telehealth services to the same extent as face-to-face</w:t>
      </w:r>
      <w:r>
        <w:rPr>
          <w:color w:val="231F20"/>
          <w:spacing w:val="1"/>
        </w:rPr>
        <w:t> </w:t>
      </w:r>
      <w:r>
        <w:rPr>
          <w:color w:val="231F20"/>
        </w:rPr>
        <w:t>services have been associated with greater adoption of</w:t>
      </w:r>
      <w:r>
        <w:rPr>
          <w:color w:val="231F20"/>
          <w:spacing w:val="-52"/>
        </w:rPr>
        <w:t> </w:t>
      </w:r>
      <w:r>
        <w:rPr>
          <w:color w:val="231F20"/>
        </w:rPr>
        <w:t>telehealth.</w:t>
      </w:r>
      <w:r>
        <w:rPr>
          <w:color w:val="231F20"/>
          <w:vertAlign w:val="superscript"/>
        </w:rPr>
        <w:t>47</w:t>
      </w:r>
    </w:p>
    <w:p>
      <w:pPr>
        <w:spacing w:line="249" w:lineRule="auto" w:before="154"/>
        <w:ind w:left="119" w:right="1273" w:firstLine="0"/>
        <w:jc w:val="left"/>
        <w:rPr>
          <w:rFonts w:ascii="Arial"/>
          <w:b/>
          <w:sz w:val="20"/>
        </w:rPr>
      </w:pPr>
      <w:r>
        <w:rPr>
          <w:rFonts w:ascii="Arial"/>
          <w:b/>
          <w:color w:val="010202"/>
          <w:sz w:val="20"/>
        </w:rPr>
        <w:t>Resources for tracking current regulations and</w:t>
      </w:r>
      <w:r>
        <w:rPr>
          <w:rFonts w:ascii="Arial"/>
          <w:b/>
          <w:color w:val="010202"/>
          <w:spacing w:val="-53"/>
          <w:sz w:val="20"/>
        </w:rPr>
        <w:t> </w:t>
      </w:r>
      <w:r>
        <w:rPr>
          <w:rFonts w:ascii="Arial"/>
          <w:b/>
          <w:color w:val="010202"/>
          <w:sz w:val="20"/>
        </w:rPr>
        <w:t>policies at</w:t>
      </w:r>
      <w:r>
        <w:rPr>
          <w:rFonts w:ascii="Arial"/>
          <w:b/>
          <w:color w:val="010202"/>
          <w:spacing w:val="-1"/>
          <w:sz w:val="20"/>
        </w:rPr>
        <w:t> </w:t>
      </w:r>
      <w:r>
        <w:rPr>
          <w:rFonts w:ascii="Arial"/>
          <w:b/>
          <w:color w:val="010202"/>
          <w:sz w:val="20"/>
        </w:rPr>
        <w:t>the federal and state levels</w:t>
      </w:r>
    </w:p>
    <w:p>
      <w:pPr>
        <w:pStyle w:val="ListParagraph"/>
        <w:numPr>
          <w:ilvl w:val="1"/>
          <w:numId w:val="5"/>
        </w:numPr>
        <w:tabs>
          <w:tab w:pos="839" w:val="left" w:leader="none"/>
          <w:tab w:pos="840" w:val="left" w:leader="none"/>
        </w:tabs>
        <w:spacing w:line="266" w:lineRule="auto" w:before="168" w:after="0"/>
        <w:ind w:left="839" w:right="914" w:hanging="360"/>
        <w:jc w:val="left"/>
        <w:rPr>
          <w:rFonts w:ascii="Symbol" w:hAnsi="Symbol"/>
          <w:color w:val="010202"/>
          <w:sz w:val="22"/>
        </w:rPr>
      </w:pPr>
      <w:r>
        <w:rPr>
          <w:b/>
          <w:color w:val="010202"/>
          <w:sz w:val="22"/>
        </w:rPr>
        <w:t>Center for Connected Health Policy: The</w:t>
      </w:r>
      <w:r>
        <w:rPr>
          <w:b/>
          <w:color w:val="010202"/>
          <w:spacing w:val="1"/>
          <w:sz w:val="22"/>
        </w:rPr>
        <w:t> </w:t>
      </w:r>
      <w:r>
        <w:rPr>
          <w:b/>
          <w:color w:val="010202"/>
          <w:sz w:val="22"/>
        </w:rPr>
        <w:t>National Telehealth Policy Resource Center</w:t>
      </w:r>
      <w:r>
        <w:rPr>
          <w:b/>
          <w:color w:val="010202"/>
          <w:spacing w:val="-52"/>
          <w:sz w:val="22"/>
        </w:rPr>
        <w:t> </w:t>
      </w:r>
      <w:r>
        <w:rPr>
          <w:color w:val="010202"/>
          <w:sz w:val="22"/>
        </w:rPr>
        <w:t>maintains a</w:t>
      </w:r>
      <w:r>
        <w:rPr>
          <w:color w:val="3953A4"/>
          <w:sz w:val="22"/>
        </w:rPr>
        <w:t> </w:t>
      </w:r>
      <w:hyperlink r:id="rId241">
        <w:r>
          <w:rPr>
            <w:color w:val="3953A4"/>
            <w:sz w:val="22"/>
            <w:u w:val="single" w:color="3953A4"/>
          </w:rPr>
          <w:t>map</w:t>
        </w:r>
      </w:hyperlink>
      <w:r>
        <w:rPr>
          <w:color w:val="3953A4"/>
          <w:sz w:val="22"/>
        </w:rPr>
        <w:t> </w:t>
      </w:r>
      <w:r>
        <w:rPr>
          <w:color w:val="010202"/>
          <w:sz w:val="22"/>
        </w:rPr>
        <w:t>of telehealth-related laws,</w:t>
      </w:r>
      <w:r>
        <w:rPr>
          <w:color w:val="010202"/>
          <w:spacing w:val="1"/>
          <w:sz w:val="22"/>
        </w:rPr>
        <w:t> </w:t>
      </w:r>
      <w:r>
        <w:rPr>
          <w:color w:val="010202"/>
          <w:sz w:val="22"/>
        </w:rPr>
        <w:t>regulations, and reimbursement policies for all</w:t>
      </w:r>
      <w:r>
        <w:rPr>
          <w:color w:val="010202"/>
          <w:spacing w:val="-52"/>
          <w:sz w:val="22"/>
        </w:rPr>
        <w:t> </w:t>
      </w:r>
      <w:r>
        <w:rPr>
          <w:color w:val="010202"/>
          <w:sz w:val="22"/>
        </w:rPr>
        <w:t>50 states and the District of Columbia. They</w:t>
      </w:r>
      <w:r>
        <w:rPr>
          <w:color w:val="010202"/>
          <w:spacing w:val="1"/>
          <w:sz w:val="22"/>
        </w:rPr>
        <w:t> </w:t>
      </w:r>
      <w:r>
        <w:rPr>
          <w:color w:val="010202"/>
          <w:sz w:val="22"/>
        </w:rPr>
        <w:t>have also developed a</w:t>
      </w:r>
      <w:r>
        <w:rPr>
          <w:color w:val="3953A4"/>
          <w:sz w:val="22"/>
        </w:rPr>
        <w:t> </w:t>
      </w:r>
      <w:hyperlink r:id="rId242">
        <w:r>
          <w:rPr>
            <w:color w:val="3953A4"/>
            <w:sz w:val="22"/>
            <w:u w:val="single" w:color="3953A4"/>
          </w:rPr>
          <w:t>report</w:t>
        </w:r>
      </w:hyperlink>
      <w:r>
        <w:rPr>
          <w:color w:val="3953A4"/>
          <w:sz w:val="22"/>
        </w:rPr>
        <w:t> </w:t>
      </w:r>
      <w:r>
        <w:rPr>
          <w:color w:val="010202"/>
          <w:sz w:val="22"/>
        </w:rPr>
        <w:t>of state telehealth</w:t>
      </w:r>
      <w:r>
        <w:rPr>
          <w:color w:val="010202"/>
          <w:spacing w:val="-52"/>
          <w:sz w:val="22"/>
        </w:rPr>
        <w:t> </w:t>
      </w:r>
      <w:r>
        <w:rPr>
          <w:color w:val="010202"/>
          <w:w w:val="95"/>
          <w:sz w:val="22"/>
        </w:rPr>
        <w:t>laws</w:t>
      </w:r>
      <w:r>
        <w:rPr>
          <w:color w:val="010202"/>
          <w:spacing w:val="9"/>
          <w:w w:val="95"/>
          <w:sz w:val="22"/>
        </w:rPr>
        <w:t> </w:t>
      </w:r>
      <w:r>
        <w:rPr>
          <w:color w:val="010202"/>
          <w:w w:val="95"/>
          <w:sz w:val="22"/>
        </w:rPr>
        <w:t>and</w:t>
      </w:r>
      <w:r>
        <w:rPr>
          <w:color w:val="010202"/>
          <w:spacing w:val="9"/>
          <w:w w:val="95"/>
          <w:sz w:val="22"/>
        </w:rPr>
        <w:t> </w:t>
      </w:r>
      <w:r>
        <w:rPr>
          <w:color w:val="010202"/>
          <w:w w:val="95"/>
          <w:sz w:val="22"/>
        </w:rPr>
        <w:t>reimbursement</w:t>
      </w:r>
      <w:r>
        <w:rPr>
          <w:color w:val="010202"/>
          <w:spacing w:val="9"/>
          <w:w w:val="95"/>
          <w:sz w:val="22"/>
        </w:rPr>
        <w:t> </w:t>
      </w:r>
      <w:r>
        <w:rPr>
          <w:color w:val="010202"/>
          <w:w w:val="95"/>
          <w:sz w:val="22"/>
        </w:rPr>
        <w:t>policies.</w:t>
      </w:r>
      <w:r>
        <w:rPr>
          <w:color w:val="010202"/>
          <w:w w:val="95"/>
          <w:sz w:val="22"/>
          <w:vertAlign w:val="superscript"/>
        </w:rPr>
        <w:t>35,</w:t>
      </w:r>
      <w:r>
        <w:rPr>
          <w:color w:val="010202"/>
          <w:spacing w:val="-17"/>
          <w:w w:val="95"/>
          <w:sz w:val="22"/>
          <w:vertAlign w:val="baseline"/>
        </w:rPr>
        <w:t> </w:t>
      </w:r>
      <w:r>
        <w:rPr>
          <w:color w:val="010202"/>
          <w:w w:val="95"/>
          <w:sz w:val="22"/>
          <w:vertAlign w:val="superscript"/>
        </w:rPr>
        <w:t>55</w:t>
      </w:r>
    </w:p>
    <w:p>
      <w:pPr>
        <w:pStyle w:val="ListParagraph"/>
        <w:numPr>
          <w:ilvl w:val="2"/>
          <w:numId w:val="5"/>
        </w:numPr>
        <w:tabs>
          <w:tab w:pos="1199" w:val="left" w:leader="none"/>
          <w:tab w:pos="1200" w:val="left" w:leader="none"/>
        </w:tabs>
        <w:spacing w:line="249" w:lineRule="auto" w:before="7" w:after="0"/>
        <w:ind w:left="1199" w:right="1158" w:hanging="360"/>
        <w:jc w:val="left"/>
        <w:rPr>
          <w:sz w:val="22"/>
        </w:rPr>
      </w:pPr>
      <w:r>
        <w:rPr>
          <w:color w:val="010202"/>
          <w:sz w:val="22"/>
        </w:rPr>
        <w:t>Current State Laws and Reimbursement</w:t>
      </w:r>
      <w:r>
        <w:rPr>
          <w:color w:val="010202"/>
          <w:spacing w:val="-52"/>
          <w:sz w:val="22"/>
        </w:rPr>
        <w:t> </w:t>
      </w:r>
      <w:r>
        <w:rPr>
          <w:color w:val="010202"/>
          <w:sz w:val="22"/>
        </w:rPr>
        <w:t>Policies, an</w:t>
      </w:r>
      <w:r>
        <w:rPr>
          <w:color w:val="3953A4"/>
          <w:spacing w:val="-1"/>
          <w:sz w:val="22"/>
        </w:rPr>
        <w:t> </w:t>
      </w:r>
      <w:hyperlink r:id="rId241">
        <w:r>
          <w:rPr>
            <w:color w:val="3953A4"/>
            <w:sz w:val="22"/>
            <w:u w:val="single" w:color="3953A4"/>
          </w:rPr>
          <w:t>interactive policy map</w:t>
        </w:r>
      </w:hyperlink>
    </w:p>
    <w:p>
      <w:pPr>
        <w:pStyle w:val="ListParagraph"/>
        <w:numPr>
          <w:ilvl w:val="2"/>
          <w:numId w:val="5"/>
        </w:numPr>
        <w:tabs>
          <w:tab w:pos="1199" w:val="left" w:leader="none"/>
          <w:tab w:pos="1200" w:val="left" w:leader="none"/>
        </w:tabs>
        <w:spacing w:line="254" w:lineRule="exact" w:before="0" w:after="0"/>
        <w:ind w:left="1199" w:right="0" w:hanging="361"/>
        <w:jc w:val="left"/>
        <w:rPr>
          <w:sz w:val="22"/>
        </w:rPr>
      </w:pPr>
      <w:r>
        <w:rPr>
          <w:color w:val="010202"/>
          <w:sz w:val="22"/>
        </w:rPr>
        <w:t>Telehealth</w:t>
      </w:r>
      <w:r>
        <w:rPr>
          <w:color w:val="010202"/>
          <w:spacing w:val="-4"/>
          <w:sz w:val="22"/>
        </w:rPr>
        <w:t> </w:t>
      </w:r>
      <w:r>
        <w:rPr>
          <w:color w:val="010202"/>
          <w:sz w:val="22"/>
        </w:rPr>
        <w:t>Legislation</w:t>
      </w:r>
      <w:r>
        <w:rPr>
          <w:color w:val="010202"/>
          <w:spacing w:val="-3"/>
          <w:sz w:val="22"/>
        </w:rPr>
        <w:t> </w:t>
      </w:r>
      <w:r>
        <w:rPr>
          <w:color w:val="010202"/>
          <w:sz w:val="22"/>
        </w:rPr>
        <w:t>and</w:t>
      </w:r>
      <w:r>
        <w:rPr>
          <w:color w:val="010202"/>
          <w:spacing w:val="-3"/>
          <w:sz w:val="22"/>
        </w:rPr>
        <w:t> </w:t>
      </w:r>
      <w:r>
        <w:rPr>
          <w:color w:val="010202"/>
          <w:sz w:val="22"/>
        </w:rPr>
        <w:t>Regulation,</w:t>
      </w:r>
      <w:r>
        <w:rPr>
          <w:color w:val="3953A4"/>
          <w:spacing w:val="-3"/>
          <w:sz w:val="22"/>
        </w:rPr>
        <w:t> </w:t>
      </w:r>
      <w:hyperlink r:id="rId243">
        <w:r>
          <w:rPr>
            <w:color w:val="3953A4"/>
            <w:sz w:val="22"/>
            <w:u w:val="single" w:color="3953A4"/>
          </w:rPr>
          <w:t>an </w:t>
        </w:r>
      </w:hyperlink>
    </w:p>
    <w:p>
      <w:pPr>
        <w:pStyle w:val="BodyText"/>
        <w:spacing w:line="251" w:lineRule="exact" w:before="10"/>
        <w:ind w:left="1199"/>
      </w:pPr>
      <w:hyperlink r:id="rId243">
        <w:r>
          <w:rPr>
            <w:color w:val="3953A4"/>
            <w:u w:val="single" w:color="3953A4"/>
          </w:rPr>
          <w:t>interactive map</w:t>
        </w:r>
      </w:hyperlink>
    </w:p>
    <w:p>
      <w:pPr>
        <w:pStyle w:val="ListParagraph"/>
        <w:numPr>
          <w:ilvl w:val="2"/>
          <w:numId w:val="5"/>
        </w:numPr>
        <w:tabs>
          <w:tab w:pos="1199" w:val="left" w:leader="none"/>
          <w:tab w:pos="1200" w:val="left" w:leader="none"/>
        </w:tabs>
        <w:spacing w:line="249" w:lineRule="auto" w:before="0" w:after="0"/>
        <w:ind w:left="1199" w:right="1446" w:hanging="360"/>
        <w:jc w:val="left"/>
        <w:rPr>
          <w:sz w:val="22"/>
        </w:rPr>
      </w:pPr>
      <w:r>
        <w:rPr>
          <w:color w:val="010202"/>
          <w:sz w:val="22"/>
        </w:rPr>
        <w:t>Changes in national policy related to</w:t>
      </w:r>
      <w:r>
        <w:rPr>
          <w:color w:val="010202"/>
          <w:spacing w:val="-52"/>
          <w:sz w:val="22"/>
        </w:rPr>
        <w:t> </w:t>
      </w:r>
      <w:r>
        <w:rPr>
          <w:color w:val="010202"/>
          <w:sz w:val="22"/>
        </w:rPr>
        <w:t>telehealth and</w:t>
      </w:r>
      <w:r>
        <w:rPr>
          <w:color w:val="010202"/>
          <w:spacing w:val="-1"/>
          <w:sz w:val="22"/>
        </w:rPr>
        <w:t> </w:t>
      </w:r>
      <w:r>
        <w:rPr>
          <w:color w:val="010202"/>
          <w:sz w:val="22"/>
        </w:rPr>
        <w:t>Medicare, a</w:t>
      </w:r>
      <w:r>
        <w:rPr>
          <w:color w:val="3953A4"/>
          <w:spacing w:val="-1"/>
          <w:sz w:val="22"/>
        </w:rPr>
        <w:t> </w:t>
      </w:r>
      <w:hyperlink r:id="rId244">
        <w:r>
          <w:rPr>
            <w:color w:val="3953A4"/>
            <w:sz w:val="22"/>
            <w:u w:val="single" w:color="3953A4"/>
          </w:rPr>
          <w:t>website</w:t>
        </w:r>
      </w:hyperlink>
    </w:p>
    <w:p>
      <w:pPr>
        <w:pStyle w:val="ListParagraph"/>
        <w:numPr>
          <w:ilvl w:val="1"/>
          <w:numId w:val="5"/>
        </w:numPr>
        <w:tabs>
          <w:tab w:pos="839" w:val="left" w:leader="none"/>
          <w:tab w:pos="840" w:val="left" w:leader="none"/>
        </w:tabs>
        <w:spacing w:line="264" w:lineRule="auto" w:before="89" w:after="0"/>
        <w:ind w:left="839" w:right="982" w:hanging="360"/>
        <w:jc w:val="left"/>
        <w:rPr>
          <w:rFonts w:ascii="Symbol" w:hAnsi="Symbol"/>
          <w:color w:val="010202"/>
          <w:sz w:val="22"/>
        </w:rPr>
      </w:pPr>
      <w:r>
        <w:rPr>
          <w:color w:val="010202"/>
          <w:spacing w:val="-1"/>
          <w:sz w:val="22"/>
        </w:rPr>
        <w:t>The</w:t>
      </w:r>
      <w:r>
        <w:rPr>
          <w:color w:val="010202"/>
          <w:spacing w:val="-13"/>
          <w:sz w:val="22"/>
        </w:rPr>
        <w:t> </w:t>
      </w:r>
      <w:r>
        <w:rPr>
          <w:b/>
          <w:color w:val="010202"/>
          <w:spacing w:val="-1"/>
          <w:sz w:val="22"/>
        </w:rPr>
        <w:t>American Medical</w:t>
      </w:r>
      <w:r>
        <w:rPr>
          <w:b/>
          <w:color w:val="010202"/>
          <w:spacing w:val="-13"/>
          <w:sz w:val="22"/>
        </w:rPr>
        <w:t> </w:t>
      </w:r>
      <w:r>
        <w:rPr>
          <w:b/>
          <w:color w:val="010202"/>
          <w:sz w:val="22"/>
        </w:rPr>
        <w:t>Association</w:t>
      </w:r>
      <w:r>
        <w:rPr>
          <w:b/>
          <w:color w:val="010202"/>
          <w:spacing w:val="-1"/>
          <w:sz w:val="22"/>
        </w:rPr>
        <w:t> </w:t>
      </w:r>
      <w:r>
        <w:rPr>
          <w:color w:val="010202"/>
          <w:sz w:val="22"/>
        </w:rPr>
        <w:t>provides</w:t>
      </w:r>
      <w:r>
        <w:rPr>
          <w:color w:val="010202"/>
          <w:spacing w:val="-52"/>
          <w:sz w:val="22"/>
        </w:rPr>
        <w:t> </w:t>
      </w:r>
      <w:r>
        <w:rPr>
          <w:color w:val="010202"/>
          <w:sz w:val="22"/>
        </w:rPr>
        <w:t>a</w:t>
      </w:r>
      <w:r>
        <w:rPr>
          <w:color w:val="3953A4"/>
          <w:sz w:val="22"/>
        </w:rPr>
        <w:t> </w:t>
      </w:r>
      <w:hyperlink r:id="rId245">
        <w:r>
          <w:rPr>
            <w:color w:val="3953A4"/>
            <w:sz w:val="22"/>
            <w:u w:val="single" w:color="3953A4"/>
          </w:rPr>
          <w:t>quick guide</w:t>
        </w:r>
        <w:r>
          <w:rPr>
            <w:color w:val="3953A4"/>
            <w:spacing w:val="-1"/>
            <w:sz w:val="22"/>
          </w:rPr>
          <w:t> </w:t>
        </w:r>
      </w:hyperlink>
      <w:r>
        <w:rPr>
          <w:color w:val="010202"/>
          <w:sz w:val="22"/>
        </w:rPr>
        <w:t>with resources on licensure</w:t>
      </w:r>
    </w:p>
    <w:p>
      <w:pPr>
        <w:pStyle w:val="BodyText"/>
        <w:spacing w:line="266" w:lineRule="auto" w:before="1"/>
        <w:ind w:left="839" w:right="1281"/>
      </w:pPr>
      <w:r>
        <w:rPr>
          <w:color w:val="010202"/>
        </w:rPr>
        <w:t>and payment policies to assist providers in</w:t>
      </w:r>
      <w:r>
        <w:rPr>
          <w:color w:val="010202"/>
          <w:spacing w:val="-53"/>
        </w:rPr>
        <w:t> </w:t>
      </w:r>
      <w:r>
        <w:rPr>
          <w:color w:val="010202"/>
          <w:w w:val="95"/>
        </w:rPr>
        <w:t>implementing</w:t>
      </w:r>
      <w:r>
        <w:rPr>
          <w:color w:val="010202"/>
          <w:spacing w:val="17"/>
          <w:w w:val="95"/>
        </w:rPr>
        <w:t> </w:t>
      </w:r>
      <w:r>
        <w:rPr>
          <w:color w:val="010202"/>
          <w:w w:val="95"/>
        </w:rPr>
        <w:t>telehealth</w:t>
      </w:r>
      <w:r>
        <w:rPr>
          <w:color w:val="010202"/>
          <w:spacing w:val="17"/>
          <w:w w:val="95"/>
        </w:rPr>
        <w:t> </w:t>
      </w:r>
      <w:r>
        <w:rPr>
          <w:color w:val="010202"/>
          <w:w w:val="95"/>
        </w:rPr>
        <w:t>programs.</w:t>
      </w:r>
      <w:r>
        <w:rPr>
          <w:color w:val="010202"/>
          <w:w w:val="95"/>
          <w:vertAlign w:val="superscript"/>
        </w:rPr>
        <w:t>56,</w:t>
      </w:r>
      <w:r>
        <w:rPr>
          <w:color w:val="010202"/>
          <w:spacing w:val="-11"/>
          <w:w w:val="95"/>
          <w:vertAlign w:val="baseline"/>
        </w:rPr>
        <w:t> </w:t>
      </w:r>
      <w:r>
        <w:rPr>
          <w:color w:val="010202"/>
          <w:w w:val="95"/>
          <w:vertAlign w:val="superscript"/>
        </w:rPr>
        <w:t>57</w:t>
      </w:r>
    </w:p>
    <w:p>
      <w:pPr>
        <w:pStyle w:val="ListParagraph"/>
        <w:numPr>
          <w:ilvl w:val="1"/>
          <w:numId w:val="5"/>
        </w:numPr>
        <w:tabs>
          <w:tab w:pos="839" w:val="left" w:leader="none"/>
          <w:tab w:pos="840" w:val="left" w:leader="none"/>
        </w:tabs>
        <w:spacing w:line="264" w:lineRule="auto" w:before="29" w:after="0"/>
        <w:ind w:left="839" w:right="809" w:hanging="360"/>
        <w:jc w:val="left"/>
        <w:rPr>
          <w:rFonts w:ascii="Symbol" w:hAnsi="Symbol"/>
          <w:color w:val="010202"/>
          <w:sz w:val="22"/>
        </w:rPr>
      </w:pPr>
      <w:r>
        <w:rPr>
          <w:color w:val="010202"/>
          <w:w w:val="95"/>
          <w:sz w:val="22"/>
        </w:rPr>
        <w:t>In</w:t>
      </w:r>
      <w:r>
        <w:rPr>
          <w:color w:val="010202"/>
          <w:spacing w:val="1"/>
          <w:w w:val="95"/>
          <w:sz w:val="22"/>
        </w:rPr>
        <w:t> </w:t>
      </w:r>
      <w:r>
        <w:rPr>
          <w:color w:val="010202"/>
          <w:w w:val="95"/>
          <w:sz w:val="22"/>
        </w:rPr>
        <w:t>2018,</w:t>
      </w:r>
      <w:r>
        <w:rPr>
          <w:color w:val="010202"/>
          <w:spacing w:val="1"/>
          <w:w w:val="95"/>
          <w:sz w:val="22"/>
        </w:rPr>
        <w:t> </w:t>
      </w:r>
      <w:r>
        <w:rPr>
          <w:color w:val="010202"/>
          <w:w w:val="95"/>
          <w:sz w:val="22"/>
        </w:rPr>
        <w:t>the</w:t>
      </w:r>
      <w:r>
        <w:rPr>
          <w:color w:val="010202"/>
          <w:spacing w:val="1"/>
          <w:w w:val="95"/>
          <w:sz w:val="22"/>
        </w:rPr>
        <w:t> </w:t>
      </w:r>
      <w:r>
        <w:rPr>
          <w:b/>
          <w:color w:val="010202"/>
          <w:w w:val="95"/>
          <w:sz w:val="22"/>
        </w:rPr>
        <w:t>Department</w:t>
      </w:r>
      <w:r>
        <w:rPr>
          <w:b/>
          <w:color w:val="010202"/>
          <w:spacing w:val="1"/>
          <w:w w:val="95"/>
          <w:sz w:val="22"/>
        </w:rPr>
        <w:t> </w:t>
      </w:r>
      <w:r>
        <w:rPr>
          <w:b/>
          <w:color w:val="010202"/>
          <w:w w:val="95"/>
          <w:sz w:val="22"/>
        </w:rPr>
        <w:t>of Veterans Affairs</w:t>
      </w:r>
      <w:r>
        <w:rPr>
          <w:b/>
          <w:color w:val="010202"/>
          <w:spacing w:val="1"/>
          <w:w w:val="95"/>
          <w:sz w:val="22"/>
        </w:rPr>
        <w:t> </w:t>
      </w:r>
      <w:r>
        <w:rPr>
          <w:b/>
          <w:color w:val="010202"/>
          <w:sz w:val="22"/>
        </w:rPr>
        <w:t>(VA) </w:t>
      </w:r>
      <w:r>
        <w:rPr>
          <w:color w:val="010202"/>
          <w:sz w:val="22"/>
        </w:rPr>
        <w:t>published a</w:t>
      </w:r>
      <w:r>
        <w:rPr>
          <w:color w:val="3953A4"/>
          <w:sz w:val="22"/>
        </w:rPr>
        <w:t> </w:t>
      </w:r>
      <w:hyperlink r:id="rId246">
        <w:r>
          <w:rPr>
            <w:color w:val="3953A4"/>
            <w:sz w:val="22"/>
            <w:u w:val="single" w:color="3953A4"/>
          </w:rPr>
          <w:t>final rule</w:t>
        </w:r>
        <w:r>
          <w:rPr>
            <w:color w:val="3953A4"/>
            <w:sz w:val="22"/>
          </w:rPr>
          <w:t> </w:t>
        </w:r>
      </w:hyperlink>
      <w:r>
        <w:rPr>
          <w:color w:val="010202"/>
          <w:sz w:val="22"/>
        </w:rPr>
        <w:t>allowing VA</w:t>
      </w:r>
      <w:r>
        <w:rPr>
          <w:color w:val="010202"/>
          <w:spacing w:val="1"/>
          <w:sz w:val="22"/>
        </w:rPr>
        <w:t> </w:t>
      </w:r>
      <w:r>
        <w:rPr>
          <w:color w:val="010202"/>
          <w:sz w:val="22"/>
        </w:rPr>
        <w:t>providers to provide telehealth services to VA</w:t>
      </w:r>
      <w:r>
        <w:rPr>
          <w:color w:val="010202"/>
          <w:spacing w:val="1"/>
          <w:sz w:val="22"/>
        </w:rPr>
        <w:t> </w:t>
      </w:r>
      <w:r>
        <w:rPr>
          <w:color w:val="010202"/>
          <w:sz w:val="22"/>
        </w:rPr>
        <w:t>beneficiaries,</w:t>
      </w:r>
      <w:r>
        <w:rPr>
          <w:color w:val="010202"/>
          <w:spacing w:val="-6"/>
          <w:sz w:val="22"/>
        </w:rPr>
        <w:t> </w:t>
      </w:r>
      <w:r>
        <w:rPr>
          <w:color w:val="010202"/>
          <w:sz w:val="22"/>
        </w:rPr>
        <w:t>regardless</w:t>
      </w:r>
      <w:r>
        <w:rPr>
          <w:color w:val="010202"/>
          <w:spacing w:val="-5"/>
          <w:sz w:val="22"/>
        </w:rPr>
        <w:t> </w:t>
      </w:r>
      <w:r>
        <w:rPr>
          <w:color w:val="010202"/>
          <w:sz w:val="22"/>
        </w:rPr>
        <w:t>of</w:t>
      </w:r>
      <w:r>
        <w:rPr>
          <w:color w:val="010202"/>
          <w:spacing w:val="-5"/>
          <w:sz w:val="22"/>
        </w:rPr>
        <w:t> </w:t>
      </w:r>
      <w:r>
        <w:rPr>
          <w:color w:val="010202"/>
          <w:sz w:val="22"/>
        </w:rPr>
        <w:t>the</w:t>
      </w:r>
      <w:r>
        <w:rPr>
          <w:color w:val="010202"/>
          <w:spacing w:val="-5"/>
          <w:sz w:val="22"/>
        </w:rPr>
        <w:t> </w:t>
      </w:r>
      <w:r>
        <w:rPr>
          <w:color w:val="010202"/>
          <w:sz w:val="22"/>
        </w:rPr>
        <w:t>physical</w:t>
      </w:r>
      <w:r>
        <w:rPr>
          <w:color w:val="010202"/>
          <w:spacing w:val="-5"/>
          <w:sz w:val="22"/>
        </w:rPr>
        <w:t> </w:t>
      </w:r>
      <w:r>
        <w:rPr>
          <w:color w:val="010202"/>
          <w:sz w:val="22"/>
        </w:rPr>
        <w:t>location</w:t>
      </w:r>
      <w:r>
        <w:rPr>
          <w:color w:val="010202"/>
          <w:spacing w:val="-52"/>
          <w:sz w:val="22"/>
        </w:rPr>
        <w:t> </w:t>
      </w:r>
      <w:r>
        <w:rPr>
          <w:color w:val="010202"/>
          <w:sz w:val="22"/>
        </w:rPr>
        <w:t>of</w:t>
      </w:r>
      <w:r>
        <w:rPr>
          <w:color w:val="010202"/>
          <w:spacing w:val="-5"/>
          <w:sz w:val="22"/>
        </w:rPr>
        <w:t> </w:t>
      </w:r>
      <w:r>
        <w:rPr>
          <w:color w:val="010202"/>
          <w:sz w:val="22"/>
        </w:rPr>
        <w:t>the</w:t>
      </w:r>
      <w:r>
        <w:rPr>
          <w:color w:val="010202"/>
          <w:spacing w:val="-4"/>
          <w:sz w:val="22"/>
        </w:rPr>
        <w:t> </w:t>
      </w:r>
      <w:r>
        <w:rPr>
          <w:color w:val="010202"/>
          <w:sz w:val="22"/>
        </w:rPr>
        <w:t>healthcare</w:t>
      </w:r>
      <w:r>
        <w:rPr>
          <w:color w:val="010202"/>
          <w:spacing w:val="-4"/>
          <w:sz w:val="22"/>
        </w:rPr>
        <w:t> </w:t>
      </w:r>
      <w:r>
        <w:rPr>
          <w:color w:val="010202"/>
          <w:sz w:val="22"/>
        </w:rPr>
        <w:t>provider</w:t>
      </w:r>
      <w:r>
        <w:rPr>
          <w:color w:val="010202"/>
          <w:spacing w:val="-4"/>
          <w:sz w:val="22"/>
        </w:rPr>
        <w:t> </w:t>
      </w:r>
      <w:r>
        <w:rPr>
          <w:color w:val="010202"/>
          <w:sz w:val="22"/>
        </w:rPr>
        <w:t>or</w:t>
      </w:r>
      <w:r>
        <w:rPr>
          <w:color w:val="010202"/>
          <w:spacing w:val="-4"/>
          <w:sz w:val="22"/>
        </w:rPr>
        <w:t> </w:t>
      </w:r>
      <w:r>
        <w:rPr>
          <w:color w:val="010202"/>
          <w:sz w:val="22"/>
        </w:rPr>
        <w:t>the</w:t>
      </w:r>
      <w:r>
        <w:rPr>
          <w:color w:val="010202"/>
          <w:spacing w:val="-4"/>
          <w:sz w:val="22"/>
        </w:rPr>
        <w:t> </w:t>
      </w:r>
      <w:r>
        <w:rPr>
          <w:color w:val="010202"/>
          <w:sz w:val="22"/>
        </w:rPr>
        <w:t>beneficiary.</w:t>
      </w:r>
      <w:r>
        <w:rPr>
          <w:color w:val="010202"/>
          <w:sz w:val="22"/>
          <w:vertAlign w:val="superscript"/>
        </w:rPr>
        <w:t>58</w:t>
      </w:r>
    </w:p>
    <w:p>
      <w:pPr>
        <w:pStyle w:val="ListParagraph"/>
        <w:numPr>
          <w:ilvl w:val="1"/>
          <w:numId w:val="5"/>
        </w:numPr>
        <w:tabs>
          <w:tab w:pos="839" w:val="left" w:leader="none"/>
          <w:tab w:pos="840" w:val="left" w:leader="none"/>
        </w:tabs>
        <w:spacing w:line="264" w:lineRule="auto" w:before="37" w:after="0"/>
        <w:ind w:left="839" w:right="1830" w:hanging="360"/>
        <w:jc w:val="left"/>
        <w:rPr>
          <w:rFonts w:ascii="Symbol" w:hAnsi="Symbol"/>
          <w:color w:val="010202"/>
          <w:sz w:val="22"/>
        </w:rPr>
      </w:pPr>
      <w:r>
        <w:rPr>
          <w:color w:val="010202"/>
          <w:sz w:val="22"/>
        </w:rPr>
        <w:t>State-level licensure and prescribing</w:t>
      </w:r>
      <w:r>
        <w:rPr>
          <w:color w:val="010202"/>
          <w:spacing w:val="-52"/>
          <w:sz w:val="22"/>
        </w:rPr>
        <w:t> </w:t>
      </w:r>
      <w:r>
        <w:rPr>
          <w:color w:val="010202"/>
          <w:sz w:val="22"/>
        </w:rPr>
        <w:t>requirements</w:t>
      </w:r>
    </w:p>
    <w:p>
      <w:pPr>
        <w:pStyle w:val="ListParagraph"/>
        <w:numPr>
          <w:ilvl w:val="2"/>
          <w:numId w:val="5"/>
        </w:numPr>
        <w:tabs>
          <w:tab w:pos="1199" w:val="left" w:leader="none"/>
          <w:tab w:pos="1200" w:val="left" w:leader="none"/>
        </w:tabs>
        <w:spacing w:line="267" w:lineRule="exact" w:before="16" w:after="0"/>
        <w:ind w:left="1199" w:right="0" w:hanging="361"/>
        <w:jc w:val="left"/>
        <w:rPr>
          <w:sz w:val="22"/>
        </w:rPr>
      </w:pPr>
      <w:hyperlink r:id="rId247">
        <w:r>
          <w:rPr>
            <w:color w:val="3953A4"/>
            <w:sz w:val="22"/>
            <w:u w:val="single" w:color="3953A4"/>
          </w:rPr>
          <w:t>The Federation of State Medical Boards</w:t>
        </w:r>
      </w:hyperlink>
    </w:p>
    <w:p>
      <w:pPr>
        <w:pStyle w:val="ListParagraph"/>
        <w:numPr>
          <w:ilvl w:val="2"/>
          <w:numId w:val="5"/>
        </w:numPr>
        <w:tabs>
          <w:tab w:pos="1199" w:val="left" w:leader="none"/>
          <w:tab w:pos="1200" w:val="left" w:leader="none"/>
        </w:tabs>
        <w:spacing w:line="264" w:lineRule="exact" w:before="0" w:after="0"/>
        <w:ind w:left="1199" w:right="0" w:hanging="361"/>
        <w:jc w:val="left"/>
        <w:rPr>
          <w:sz w:val="22"/>
        </w:rPr>
      </w:pPr>
      <w:hyperlink r:id="rId248">
        <w:r>
          <w:rPr>
            <w:color w:val="3953A4"/>
            <w:sz w:val="22"/>
            <w:u w:val="single" w:color="3953A4"/>
          </w:rPr>
          <w:t>The</w:t>
        </w:r>
        <w:r>
          <w:rPr>
            <w:color w:val="3953A4"/>
            <w:spacing w:val="-14"/>
            <w:sz w:val="22"/>
            <w:u w:val="single" w:color="3953A4"/>
          </w:rPr>
          <w:t> </w:t>
        </w:r>
        <w:r>
          <w:rPr>
            <w:color w:val="3953A4"/>
            <w:sz w:val="22"/>
            <w:u w:val="single" w:color="3953A4"/>
          </w:rPr>
          <w:t>American</w:t>
        </w:r>
        <w:r>
          <w:rPr>
            <w:color w:val="3953A4"/>
            <w:spacing w:val="-1"/>
            <w:sz w:val="22"/>
            <w:u w:val="single" w:color="3953A4"/>
          </w:rPr>
          <w:t> </w:t>
        </w:r>
        <w:r>
          <w:rPr>
            <w:color w:val="3953A4"/>
            <w:sz w:val="22"/>
            <w:u w:val="single" w:color="3953A4"/>
          </w:rPr>
          <w:t>Counseling</w:t>
        </w:r>
        <w:r>
          <w:rPr>
            <w:color w:val="3953A4"/>
            <w:spacing w:val="-13"/>
            <w:sz w:val="22"/>
            <w:u w:val="single" w:color="3953A4"/>
          </w:rPr>
          <w:t> </w:t>
        </w:r>
        <w:r>
          <w:rPr>
            <w:color w:val="3953A4"/>
            <w:sz w:val="22"/>
            <w:u w:val="single" w:color="3953A4"/>
          </w:rPr>
          <w:t>Association</w:t>
        </w:r>
      </w:hyperlink>
    </w:p>
    <w:p>
      <w:pPr>
        <w:pStyle w:val="ListParagraph"/>
        <w:numPr>
          <w:ilvl w:val="2"/>
          <w:numId w:val="5"/>
        </w:numPr>
        <w:tabs>
          <w:tab w:pos="1199" w:val="left" w:leader="none"/>
          <w:tab w:pos="1200" w:val="left" w:leader="none"/>
        </w:tabs>
        <w:spacing w:line="264" w:lineRule="exact" w:before="0" w:after="0"/>
        <w:ind w:left="1199" w:right="0" w:hanging="361"/>
        <w:jc w:val="left"/>
        <w:rPr>
          <w:sz w:val="22"/>
        </w:rPr>
      </w:pPr>
      <w:hyperlink r:id="rId249">
        <w:r>
          <w:rPr>
            <w:color w:val="3953A4"/>
            <w:sz w:val="22"/>
            <w:u w:val="single" w:color="3953A4"/>
          </w:rPr>
          <w:t>Association</w:t>
        </w:r>
        <w:r>
          <w:rPr>
            <w:color w:val="3953A4"/>
            <w:spacing w:val="-4"/>
            <w:sz w:val="22"/>
            <w:u w:val="single" w:color="3953A4"/>
          </w:rPr>
          <w:t> </w:t>
        </w:r>
        <w:r>
          <w:rPr>
            <w:color w:val="3953A4"/>
            <w:sz w:val="22"/>
            <w:u w:val="single" w:color="3953A4"/>
          </w:rPr>
          <w:t>of</w:t>
        </w:r>
        <w:r>
          <w:rPr>
            <w:color w:val="3953A4"/>
            <w:spacing w:val="-3"/>
            <w:sz w:val="22"/>
            <w:u w:val="single" w:color="3953A4"/>
          </w:rPr>
          <w:t> </w:t>
        </w:r>
        <w:r>
          <w:rPr>
            <w:color w:val="3953A4"/>
            <w:sz w:val="22"/>
            <w:u w:val="single" w:color="3953A4"/>
          </w:rPr>
          <w:t>Social</w:t>
        </w:r>
        <w:r>
          <w:rPr>
            <w:color w:val="3953A4"/>
            <w:spacing w:val="-9"/>
            <w:sz w:val="22"/>
            <w:u w:val="single" w:color="3953A4"/>
          </w:rPr>
          <w:t> </w:t>
        </w:r>
        <w:r>
          <w:rPr>
            <w:color w:val="3953A4"/>
            <w:sz w:val="22"/>
            <w:u w:val="single" w:color="3953A4"/>
          </w:rPr>
          <w:t>Work</w:t>
        </w:r>
        <w:r>
          <w:rPr>
            <w:color w:val="3953A4"/>
            <w:spacing w:val="-3"/>
            <w:sz w:val="22"/>
            <w:u w:val="single" w:color="3953A4"/>
          </w:rPr>
          <w:t> </w:t>
        </w:r>
        <w:r>
          <w:rPr>
            <w:color w:val="3953A4"/>
            <w:sz w:val="22"/>
            <w:u w:val="single" w:color="3953A4"/>
          </w:rPr>
          <w:t>Boards</w:t>
        </w:r>
      </w:hyperlink>
    </w:p>
    <w:p>
      <w:pPr>
        <w:pStyle w:val="ListParagraph"/>
        <w:numPr>
          <w:ilvl w:val="2"/>
          <w:numId w:val="5"/>
        </w:numPr>
        <w:tabs>
          <w:tab w:pos="1199" w:val="left" w:leader="none"/>
          <w:tab w:pos="1200" w:val="left" w:leader="none"/>
        </w:tabs>
        <w:spacing w:line="249" w:lineRule="auto" w:before="0" w:after="0"/>
        <w:ind w:left="1199" w:right="1201" w:hanging="360"/>
        <w:jc w:val="left"/>
        <w:rPr>
          <w:sz w:val="22"/>
        </w:rPr>
      </w:pPr>
      <w:hyperlink r:id="rId250">
        <w:r>
          <w:rPr>
            <w:color w:val="3953A4"/>
            <w:sz w:val="22"/>
            <w:u w:val="single" w:color="3953A4"/>
          </w:rPr>
          <w:t>American Association of Marriage and</w:t>
        </w:r>
      </w:hyperlink>
      <w:r>
        <w:rPr>
          <w:color w:val="3953A4"/>
          <w:spacing w:val="-52"/>
          <w:sz w:val="22"/>
        </w:rPr>
        <w:t> </w:t>
      </w:r>
      <w:hyperlink r:id="rId250">
        <w:r>
          <w:rPr>
            <w:color w:val="3953A4"/>
            <w:sz w:val="22"/>
            <w:u w:val="single" w:color="3953A4"/>
          </w:rPr>
          <w:t>Family</w:t>
        </w:r>
        <w:r>
          <w:rPr>
            <w:color w:val="3953A4"/>
            <w:spacing w:val="-5"/>
            <w:sz w:val="22"/>
            <w:u w:val="single" w:color="3953A4"/>
          </w:rPr>
          <w:t> </w:t>
        </w:r>
        <w:r>
          <w:rPr>
            <w:color w:val="3953A4"/>
            <w:sz w:val="22"/>
            <w:u w:val="single" w:color="3953A4"/>
          </w:rPr>
          <w:t>Therapy</w:t>
        </w:r>
      </w:hyperlink>
    </w:p>
    <w:p>
      <w:pPr>
        <w:pStyle w:val="ListParagraph"/>
        <w:numPr>
          <w:ilvl w:val="2"/>
          <w:numId w:val="5"/>
        </w:numPr>
        <w:tabs>
          <w:tab w:pos="1198" w:val="left" w:leader="none"/>
          <w:tab w:pos="1199" w:val="left" w:leader="none"/>
        </w:tabs>
        <w:spacing w:line="254" w:lineRule="exact" w:before="0" w:after="0"/>
        <w:ind w:left="1199" w:right="0" w:hanging="360"/>
        <w:jc w:val="left"/>
        <w:rPr>
          <w:sz w:val="22"/>
        </w:rPr>
      </w:pPr>
      <w:hyperlink r:id="rId251">
        <w:r>
          <w:rPr>
            <w:color w:val="3953A4"/>
            <w:sz w:val="22"/>
            <w:u w:val="single" w:color="3953A4"/>
          </w:rPr>
          <w:t>Substance use</w:t>
        </w:r>
        <w:r>
          <w:rPr>
            <w:color w:val="3953A4"/>
            <w:spacing w:val="-1"/>
            <w:sz w:val="22"/>
            <w:u w:val="single" w:color="3953A4"/>
          </w:rPr>
          <w:t> </w:t>
        </w:r>
        <w:r>
          <w:rPr>
            <w:color w:val="3953A4"/>
            <w:sz w:val="22"/>
            <w:u w:val="single" w:color="3953A4"/>
          </w:rPr>
          <w:t>disorder counseling</w:t>
        </w:r>
      </w:hyperlink>
    </w:p>
    <w:p>
      <w:pPr>
        <w:pStyle w:val="ListParagraph"/>
        <w:numPr>
          <w:ilvl w:val="1"/>
          <w:numId w:val="5"/>
        </w:numPr>
        <w:tabs>
          <w:tab w:pos="838" w:val="left" w:leader="none"/>
          <w:tab w:pos="839" w:val="left" w:leader="none"/>
        </w:tabs>
        <w:spacing w:line="264" w:lineRule="auto" w:before="128" w:after="0"/>
        <w:ind w:left="838" w:right="1488" w:hanging="360"/>
        <w:jc w:val="left"/>
        <w:rPr>
          <w:rFonts w:ascii="Symbol" w:hAnsi="Symbol"/>
          <w:color w:val="010202"/>
          <w:sz w:val="22"/>
        </w:rPr>
      </w:pPr>
      <w:r>
        <w:rPr>
          <w:color w:val="010202"/>
          <w:spacing w:val="-3"/>
          <w:sz w:val="22"/>
        </w:rPr>
        <w:t>Interstate Medical Licensure Compact is</w:t>
      </w:r>
      <w:r>
        <w:rPr>
          <w:color w:val="010202"/>
          <w:spacing w:val="-2"/>
          <w:sz w:val="22"/>
        </w:rPr>
        <w:t> </w:t>
      </w:r>
      <w:r>
        <w:rPr>
          <w:color w:val="010202"/>
          <w:spacing w:val="-4"/>
          <w:sz w:val="22"/>
        </w:rPr>
        <w:t>an</w:t>
      </w:r>
      <w:r>
        <w:rPr>
          <w:color w:val="010202"/>
          <w:spacing w:val="-9"/>
          <w:sz w:val="22"/>
        </w:rPr>
        <w:t> </w:t>
      </w:r>
      <w:r>
        <w:rPr>
          <w:color w:val="010202"/>
          <w:spacing w:val="-4"/>
          <w:sz w:val="22"/>
        </w:rPr>
        <w:t>agreement</w:t>
      </w:r>
      <w:r>
        <w:rPr>
          <w:color w:val="010202"/>
          <w:spacing w:val="-8"/>
          <w:sz w:val="22"/>
        </w:rPr>
        <w:t> </w:t>
      </w:r>
      <w:r>
        <w:rPr>
          <w:color w:val="010202"/>
          <w:spacing w:val="-4"/>
          <w:sz w:val="22"/>
        </w:rPr>
        <w:t>across</w:t>
      </w:r>
      <w:r>
        <w:rPr>
          <w:color w:val="010202"/>
          <w:spacing w:val="-9"/>
          <w:sz w:val="22"/>
        </w:rPr>
        <w:t> </w:t>
      </w:r>
      <w:r>
        <w:rPr>
          <w:color w:val="010202"/>
          <w:spacing w:val="-4"/>
          <w:sz w:val="22"/>
        </w:rPr>
        <w:t>participating</w:t>
      </w:r>
      <w:r>
        <w:rPr>
          <w:color w:val="010202"/>
          <w:spacing w:val="-8"/>
          <w:sz w:val="22"/>
        </w:rPr>
        <w:t> </w:t>
      </w:r>
      <w:r>
        <w:rPr>
          <w:color w:val="010202"/>
          <w:spacing w:val="-3"/>
          <w:sz w:val="22"/>
        </w:rPr>
        <w:t>states</w:t>
      </w:r>
      <w:r>
        <w:rPr>
          <w:color w:val="010202"/>
          <w:spacing w:val="-9"/>
          <w:sz w:val="22"/>
        </w:rPr>
        <w:t> </w:t>
      </w:r>
      <w:r>
        <w:rPr>
          <w:color w:val="010202"/>
          <w:spacing w:val="-3"/>
          <w:sz w:val="22"/>
        </w:rPr>
        <w:t>to</w:t>
      </w:r>
    </w:p>
    <w:p>
      <w:pPr>
        <w:pStyle w:val="BodyText"/>
        <w:spacing w:line="266" w:lineRule="auto" w:before="1"/>
        <w:ind w:left="838" w:right="805"/>
      </w:pPr>
      <w:r>
        <w:rPr>
          <w:color w:val="010202"/>
          <w:spacing w:val="-4"/>
        </w:rPr>
        <w:t>simplify</w:t>
      </w:r>
      <w:r>
        <w:rPr>
          <w:color w:val="010202"/>
          <w:spacing w:val="-9"/>
        </w:rPr>
        <w:t> </w:t>
      </w:r>
      <w:r>
        <w:rPr>
          <w:color w:val="010202"/>
          <w:spacing w:val="-4"/>
        </w:rPr>
        <w:t>licensing</w:t>
      </w:r>
      <w:r>
        <w:rPr>
          <w:color w:val="010202"/>
          <w:spacing w:val="-9"/>
        </w:rPr>
        <w:t> </w:t>
      </w:r>
      <w:r>
        <w:rPr>
          <w:color w:val="010202"/>
          <w:spacing w:val="-4"/>
        </w:rPr>
        <w:t>across</w:t>
      </w:r>
      <w:r>
        <w:rPr>
          <w:color w:val="010202"/>
          <w:spacing w:val="-9"/>
        </w:rPr>
        <w:t> </w:t>
      </w:r>
      <w:r>
        <w:rPr>
          <w:color w:val="010202"/>
          <w:spacing w:val="-4"/>
        </w:rPr>
        <w:t>state</w:t>
      </w:r>
      <w:r>
        <w:rPr>
          <w:color w:val="010202"/>
          <w:spacing w:val="-8"/>
        </w:rPr>
        <w:t> </w:t>
      </w:r>
      <w:r>
        <w:rPr>
          <w:color w:val="010202"/>
          <w:spacing w:val="-4"/>
        </w:rPr>
        <w:t>lines;</w:t>
      </w:r>
      <w:r>
        <w:rPr>
          <w:color w:val="010202"/>
          <w:spacing w:val="-9"/>
        </w:rPr>
        <w:t> </w:t>
      </w:r>
      <w:r>
        <w:rPr>
          <w:color w:val="010202"/>
          <w:spacing w:val="-3"/>
        </w:rPr>
        <w:t>Psychology</w:t>
      </w:r>
      <w:r>
        <w:rPr>
          <w:color w:val="010202"/>
          <w:spacing w:val="-52"/>
        </w:rPr>
        <w:t> </w:t>
      </w:r>
      <w:r>
        <w:rPr>
          <w:color w:val="010202"/>
          <w:spacing w:val="-5"/>
        </w:rPr>
        <w:t>Interjurisdictional </w:t>
      </w:r>
      <w:r>
        <w:rPr>
          <w:color w:val="010202"/>
          <w:spacing w:val="-4"/>
        </w:rPr>
        <w:t>Compact (PSYPACT) allows</w:t>
      </w:r>
      <w:r>
        <w:rPr>
          <w:color w:val="010202"/>
          <w:spacing w:val="-52"/>
        </w:rPr>
        <w:t> </w:t>
      </w:r>
      <w:r>
        <w:rPr>
          <w:color w:val="010202"/>
          <w:spacing w:val="-5"/>
        </w:rPr>
        <w:t>psychologists </w:t>
      </w:r>
      <w:r>
        <w:rPr>
          <w:color w:val="010202"/>
          <w:spacing w:val="-4"/>
        </w:rPr>
        <w:t>in PSYPACT states to practices</w:t>
      </w:r>
      <w:r>
        <w:rPr>
          <w:color w:val="010202"/>
          <w:spacing w:val="-3"/>
        </w:rPr>
        <w:t> </w:t>
      </w:r>
      <w:r>
        <w:rPr>
          <w:color w:val="010202"/>
          <w:spacing w:val="-5"/>
        </w:rPr>
        <w:t>telepsychology</w:t>
      </w:r>
      <w:r>
        <w:rPr>
          <w:color w:val="010202"/>
          <w:spacing w:val="-8"/>
        </w:rPr>
        <w:t> </w:t>
      </w:r>
      <w:r>
        <w:rPr>
          <w:color w:val="010202"/>
          <w:spacing w:val="-5"/>
        </w:rPr>
        <w:t>in</w:t>
      </w:r>
      <w:r>
        <w:rPr>
          <w:color w:val="010202"/>
          <w:spacing w:val="-8"/>
        </w:rPr>
        <w:t> </w:t>
      </w:r>
      <w:r>
        <w:rPr>
          <w:color w:val="010202"/>
          <w:spacing w:val="-5"/>
        </w:rPr>
        <w:t>other</w:t>
      </w:r>
      <w:r>
        <w:rPr>
          <w:color w:val="010202"/>
          <w:spacing w:val="-8"/>
        </w:rPr>
        <w:t> </w:t>
      </w:r>
      <w:r>
        <w:rPr>
          <w:color w:val="010202"/>
          <w:spacing w:val="-4"/>
        </w:rPr>
        <w:t>PSYPACT</w:t>
      </w:r>
      <w:r>
        <w:rPr>
          <w:color w:val="010202"/>
          <w:spacing w:val="-11"/>
        </w:rPr>
        <w:t> </w:t>
      </w:r>
      <w:r>
        <w:rPr>
          <w:color w:val="010202"/>
          <w:spacing w:val="-4"/>
        </w:rPr>
        <w:t>states.</w:t>
      </w:r>
      <w:r>
        <w:rPr>
          <w:color w:val="010202"/>
          <w:spacing w:val="-4"/>
          <w:vertAlign w:val="superscript"/>
        </w:rPr>
        <w:t>58</w:t>
      </w:r>
    </w:p>
    <w:p>
      <w:pPr>
        <w:pStyle w:val="ListParagraph"/>
        <w:numPr>
          <w:ilvl w:val="1"/>
          <w:numId w:val="5"/>
        </w:numPr>
        <w:tabs>
          <w:tab w:pos="839" w:val="left" w:leader="none"/>
          <w:tab w:pos="840" w:val="left" w:leader="none"/>
        </w:tabs>
        <w:spacing w:line="264" w:lineRule="auto" w:before="28" w:after="0"/>
        <w:ind w:left="839" w:right="993" w:hanging="360"/>
        <w:jc w:val="left"/>
        <w:rPr>
          <w:rFonts w:ascii="Symbol" w:hAnsi="Symbol"/>
          <w:color w:val="010202"/>
          <w:sz w:val="22"/>
        </w:rPr>
      </w:pPr>
      <w:r>
        <w:rPr>
          <w:color w:val="010202"/>
          <w:sz w:val="22"/>
        </w:rPr>
        <w:t>The </w:t>
      </w:r>
      <w:r>
        <w:rPr>
          <w:b/>
          <w:color w:val="010202"/>
          <w:sz w:val="22"/>
        </w:rPr>
        <w:t>Centers for Medicare and Medicaid</w:t>
      </w:r>
      <w:r>
        <w:rPr>
          <w:b/>
          <w:color w:val="010202"/>
          <w:spacing w:val="1"/>
          <w:sz w:val="22"/>
        </w:rPr>
        <w:t> </w:t>
      </w:r>
      <w:r>
        <w:rPr>
          <w:b/>
          <w:color w:val="010202"/>
          <w:sz w:val="22"/>
        </w:rPr>
        <w:t>Services (CMS) </w:t>
      </w:r>
      <w:r>
        <w:rPr>
          <w:color w:val="010202"/>
          <w:sz w:val="22"/>
        </w:rPr>
        <w:t>maintains a</w:t>
      </w:r>
      <w:r>
        <w:rPr>
          <w:color w:val="3953A4"/>
          <w:sz w:val="22"/>
        </w:rPr>
        <w:t> </w:t>
      </w:r>
      <w:hyperlink r:id="rId252">
        <w:r>
          <w:rPr>
            <w:color w:val="3953A4"/>
            <w:sz w:val="22"/>
            <w:u w:val="single" w:color="3953A4"/>
          </w:rPr>
          <w:t>website</w:t>
        </w:r>
      </w:hyperlink>
      <w:r>
        <w:rPr>
          <w:color w:val="3953A4"/>
          <w:sz w:val="22"/>
        </w:rPr>
        <w:t> </w:t>
      </w:r>
      <w:r>
        <w:rPr>
          <w:color w:val="010202"/>
          <w:sz w:val="22"/>
        </w:rPr>
        <w:t>that lists</w:t>
      </w:r>
      <w:r>
        <w:rPr>
          <w:color w:val="010202"/>
          <w:spacing w:val="-52"/>
          <w:sz w:val="22"/>
        </w:rPr>
        <w:t> </w:t>
      </w:r>
      <w:r>
        <w:rPr>
          <w:color w:val="010202"/>
          <w:sz w:val="22"/>
        </w:rPr>
        <w:t>waivers</w:t>
      </w:r>
      <w:r>
        <w:rPr>
          <w:color w:val="010202"/>
          <w:spacing w:val="-4"/>
          <w:sz w:val="22"/>
        </w:rPr>
        <w:t> </w:t>
      </w:r>
      <w:r>
        <w:rPr>
          <w:color w:val="010202"/>
          <w:sz w:val="22"/>
        </w:rPr>
        <w:t>and</w:t>
      </w:r>
      <w:r>
        <w:rPr>
          <w:color w:val="010202"/>
          <w:spacing w:val="-4"/>
          <w:sz w:val="22"/>
        </w:rPr>
        <w:t> </w:t>
      </w:r>
      <w:r>
        <w:rPr>
          <w:color w:val="010202"/>
          <w:sz w:val="22"/>
        </w:rPr>
        <w:t>flexibilities</w:t>
      </w:r>
      <w:r>
        <w:rPr>
          <w:color w:val="010202"/>
          <w:spacing w:val="-4"/>
          <w:sz w:val="22"/>
        </w:rPr>
        <w:t> </w:t>
      </w:r>
      <w:r>
        <w:rPr>
          <w:color w:val="010202"/>
          <w:sz w:val="22"/>
        </w:rPr>
        <w:t>due</w:t>
      </w:r>
      <w:r>
        <w:rPr>
          <w:color w:val="010202"/>
          <w:spacing w:val="-3"/>
          <w:sz w:val="22"/>
        </w:rPr>
        <w:t> </w:t>
      </w:r>
      <w:r>
        <w:rPr>
          <w:color w:val="010202"/>
          <w:sz w:val="22"/>
        </w:rPr>
        <w:t>to</w:t>
      </w:r>
      <w:r>
        <w:rPr>
          <w:color w:val="010202"/>
          <w:spacing w:val="-3"/>
          <w:sz w:val="22"/>
        </w:rPr>
        <w:t> </w:t>
      </w:r>
      <w:r>
        <w:rPr>
          <w:color w:val="010202"/>
          <w:sz w:val="22"/>
        </w:rPr>
        <w:t>COVID-19.</w:t>
      </w:r>
    </w:p>
    <w:p>
      <w:pPr>
        <w:spacing w:after="0" w:line="264" w:lineRule="auto"/>
        <w:jc w:val="left"/>
        <w:rPr>
          <w:rFonts w:ascii="Symbol" w:hAnsi="Symbol"/>
          <w:sz w:val="22"/>
        </w:rPr>
        <w:sectPr>
          <w:type w:val="continuous"/>
          <w:pgSz w:w="12240" w:h="15840"/>
          <w:pgMar w:header="0" w:footer="666" w:top="1500" w:bottom="0" w:left="600" w:right="0"/>
          <w:cols w:num="2" w:equalWidth="0">
            <w:col w:w="5195" w:space="565"/>
            <w:col w:w="5880"/>
          </w:cols>
        </w:sectPr>
      </w:pPr>
    </w:p>
    <w:p>
      <w:pPr>
        <w:pStyle w:val="BodyText"/>
        <w:rPr>
          <w:sz w:val="20"/>
        </w:rPr>
      </w:pPr>
    </w:p>
    <w:p>
      <w:pPr>
        <w:pStyle w:val="BodyText"/>
        <w:rPr>
          <w:sz w:val="20"/>
        </w:rPr>
      </w:pPr>
    </w:p>
    <w:p>
      <w:pPr>
        <w:pStyle w:val="BodyText"/>
        <w:rPr>
          <w:sz w:val="20"/>
        </w:rPr>
      </w:pPr>
    </w:p>
    <w:p>
      <w:pPr>
        <w:pStyle w:val="Heading2"/>
      </w:pPr>
      <w:r>
        <w:rPr>
          <w:color w:val="231F20"/>
        </w:rPr>
        <w:t>Resources</w:t>
      </w:r>
    </w:p>
    <w:p>
      <w:pPr>
        <w:pStyle w:val="BodyText"/>
        <w:rPr>
          <w:rFonts w:ascii="Arial Black"/>
          <w:sz w:val="20"/>
        </w:rPr>
      </w:pPr>
    </w:p>
    <w:p>
      <w:pPr>
        <w:pStyle w:val="BodyText"/>
        <w:rPr>
          <w:rFonts w:ascii="Arial Black"/>
          <w:sz w:val="20"/>
        </w:rPr>
      </w:pPr>
    </w:p>
    <w:p>
      <w:pPr>
        <w:pStyle w:val="BodyText"/>
        <w:spacing w:before="8"/>
        <w:rPr>
          <w:rFonts w:ascii="Arial Black"/>
          <w:sz w:val="16"/>
        </w:rPr>
      </w:pPr>
    </w:p>
    <w:p>
      <w:pPr>
        <w:spacing w:after="0"/>
        <w:rPr>
          <w:rFonts w:ascii="Arial Black"/>
          <w:sz w:val="16"/>
        </w:rPr>
        <w:sectPr>
          <w:pgSz w:w="12240" w:h="15840"/>
          <w:pgMar w:header="0" w:footer="666" w:top="380" w:bottom="860" w:left="600" w:right="0"/>
        </w:sectPr>
      </w:pPr>
    </w:p>
    <w:p>
      <w:pPr>
        <w:pStyle w:val="BodyText"/>
        <w:spacing w:before="116"/>
        <w:ind w:left="120"/>
      </w:pPr>
      <w:r>
        <w:rPr/>
        <w:pict>
          <v:rect style="position:absolute;margin-left:0pt;margin-top:116.330101pt;width:612pt;height:1pt;mso-position-horizontal-relative:page;mso-position-vertical-relative:page;z-index:-17870336" id="docshape130" filled="true" fillcolor="#ce372e" stroked="false">
            <v:fill type="solid"/>
            <w10:wrap type="none"/>
          </v:rect>
        </w:pict>
      </w:r>
      <w:r>
        <w:rPr>
          <w:color w:val="231F20"/>
        </w:rPr>
        <w:t>Several</w:t>
      </w:r>
      <w:r>
        <w:rPr>
          <w:color w:val="231F20"/>
          <w:spacing w:val="-1"/>
        </w:rPr>
        <w:t> </w:t>
      </w:r>
      <w:r>
        <w:rPr>
          <w:color w:val="231F20"/>
        </w:rPr>
        <w:t>resources are available to help practitioners and</w:t>
      </w:r>
    </w:p>
    <w:p>
      <w:pPr>
        <w:pStyle w:val="BodyText"/>
        <w:spacing w:before="27"/>
        <w:ind w:left="120"/>
      </w:pPr>
      <w:r>
        <w:rPr>
          <w:color w:val="231F20"/>
        </w:rPr>
        <w:t>organizations</w:t>
      </w:r>
      <w:r>
        <w:rPr>
          <w:color w:val="231F20"/>
          <w:spacing w:val="-3"/>
        </w:rPr>
        <w:t> </w:t>
      </w:r>
      <w:r>
        <w:rPr>
          <w:color w:val="231F20"/>
        </w:rPr>
        <w:t>implement</w:t>
      </w:r>
      <w:r>
        <w:rPr>
          <w:color w:val="231F20"/>
          <w:spacing w:val="-3"/>
        </w:rPr>
        <w:t> </w:t>
      </w:r>
      <w:r>
        <w:rPr>
          <w:color w:val="231F20"/>
        </w:rPr>
        <w:t>telehealth-delivered</w:t>
      </w:r>
      <w:r>
        <w:rPr>
          <w:color w:val="231F20"/>
          <w:spacing w:val="-3"/>
        </w:rPr>
        <w:t> </w:t>
      </w:r>
      <w:r>
        <w:rPr>
          <w:color w:val="231F20"/>
        </w:rPr>
        <w:t>services.</w:t>
      </w:r>
    </w:p>
    <w:p>
      <w:pPr>
        <w:pStyle w:val="ListParagraph"/>
        <w:numPr>
          <w:ilvl w:val="1"/>
          <w:numId w:val="5"/>
        </w:numPr>
        <w:tabs>
          <w:tab w:pos="840" w:val="left" w:leader="none"/>
        </w:tabs>
        <w:spacing w:line="264" w:lineRule="auto" w:before="191" w:after="0"/>
        <w:ind w:left="840" w:right="38" w:hanging="361"/>
        <w:jc w:val="both"/>
        <w:rPr>
          <w:rFonts w:ascii="Symbol" w:hAnsi="Symbol"/>
          <w:color w:val="231F20"/>
          <w:sz w:val="22"/>
        </w:rPr>
      </w:pPr>
      <w:hyperlink r:id="rId253">
        <w:r>
          <w:rPr>
            <w:color w:val="3953A4"/>
            <w:spacing w:val="-1"/>
            <w:sz w:val="22"/>
            <w:u w:val="single" w:color="2764B0"/>
          </w:rPr>
          <w:t>Telehealth Implementation </w:t>
        </w:r>
        <w:r>
          <w:rPr>
            <w:color w:val="3953A4"/>
            <w:sz w:val="22"/>
            <w:u w:val="single" w:color="2764B0"/>
          </w:rPr>
          <w:t>Playbook</w:t>
        </w:r>
      </w:hyperlink>
      <w:r>
        <w:rPr>
          <w:color w:val="231F20"/>
          <w:sz w:val="22"/>
        </w:rPr>
        <w:t>, American</w:t>
      </w:r>
      <w:r>
        <w:rPr>
          <w:color w:val="231F20"/>
          <w:spacing w:val="1"/>
          <w:sz w:val="22"/>
        </w:rPr>
        <w:t> </w:t>
      </w:r>
      <w:r>
        <w:rPr>
          <w:color w:val="231F20"/>
          <w:spacing w:val="-1"/>
          <w:sz w:val="22"/>
        </w:rPr>
        <w:t>Medical Association: </w:t>
      </w:r>
      <w:r>
        <w:rPr>
          <w:color w:val="231F20"/>
          <w:sz w:val="22"/>
        </w:rPr>
        <w:t>Guidebook for practices to</w:t>
      </w:r>
      <w:r>
        <w:rPr>
          <w:color w:val="231F20"/>
          <w:spacing w:val="-52"/>
          <w:sz w:val="22"/>
        </w:rPr>
        <w:t> </w:t>
      </w:r>
      <w:r>
        <w:rPr>
          <w:color w:val="231F20"/>
          <w:sz w:val="22"/>
        </w:rPr>
        <w:t>implement new digital solutions.</w:t>
      </w:r>
    </w:p>
    <w:p>
      <w:pPr>
        <w:pStyle w:val="ListParagraph"/>
        <w:numPr>
          <w:ilvl w:val="1"/>
          <w:numId w:val="5"/>
        </w:numPr>
        <w:tabs>
          <w:tab w:pos="841" w:val="left" w:leader="none"/>
        </w:tabs>
        <w:spacing w:line="240" w:lineRule="auto" w:before="34" w:after="0"/>
        <w:ind w:left="840" w:right="0" w:hanging="361"/>
        <w:jc w:val="both"/>
        <w:rPr>
          <w:rFonts w:ascii="Symbol" w:hAnsi="Symbol"/>
          <w:color w:val="010202"/>
          <w:sz w:val="22"/>
        </w:rPr>
      </w:pPr>
      <w:r>
        <w:rPr>
          <w:color w:val="231F20"/>
          <w:sz w:val="22"/>
        </w:rPr>
        <w:t>AMA</w:t>
      </w:r>
      <w:r>
        <w:rPr>
          <w:color w:val="231F20"/>
          <w:spacing w:val="-14"/>
          <w:sz w:val="22"/>
        </w:rPr>
        <w:t> </w:t>
      </w:r>
      <w:r>
        <w:rPr>
          <w:color w:val="231F20"/>
          <w:sz w:val="22"/>
        </w:rPr>
        <w:t>also has a learning</w:t>
      </w:r>
      <w:r>
        <w:rPr>
          <w:color w:val="3953A4"/>
          <w:spacing w:val="-1"/>
          <w:sz w:val="22"/>
        </w:rPr>
        <w:t> </w:t>
      </w:r>
      <w:hyperlink r:id="rId254">
        <w:r>
          <w:rPr>
            <w:color w:val="3953A4"/>
            <w:sz w:val="22"/>
            <w:u w:val="single" w:color="2764B0"/>
          </w:rPr>
          <w:t>module</w:t>
        </w:r>
      </w:hyperlink>
      <w:r>
        <w:rPr>
          <w:color w:val="3953A4"/>
          <w:sz w:val="22"/>
        </w:rPr>
        <w:t> </w:t>
      </w:r>
      <w:r>
        <w:rPr>
          <w:color w:val="231F20"/>
          <w:sz w:val="22"/>
        </w:rPr>
        <w:t>on telehealth.</w:t>
      </w:r>
    </w:p>
    <w:p>
      <w:pPr>
        <w:pStyle w:val="ListParagraph"/>
        <w:numPr>
          <w:ilvl w:val="1"/>
          <w:numId w:val="5"/>
        </w:numPr>
        <w:tabs>
          <w:tab w:pos="839" w:val="left" w:leader="none"/>
          <w:tab w:pos="841" w:val="left" w:leader="none"/>
        </w:tabs>
        <w:spacing w:line="264" w:lineRule="auto" w:before="57" w:after="0"/>
        <w:ind w:left="840" w:right="112" w:hanging="360"/>
        <w:jc w:val="left"/>
        <w:rPr>
          <w:rFonts w:ascii="Symbol" w:hAnsi="Symbol"/>
          <w:color w:val="010202"/>
          <w:sz w:val="22"/>
        </w:rPr>
      </w:pPr>
      <w:r>
        <w:rPr>
          <w:color w:val="231F20"/>
          <w:sz w:val="22"/>
        </w:rPr>
        <w:t>California Telehealth Resource Center has</w:t>
      </w:r>
      <w:r>
        <w:rPr>
          <w:color w:val="231F20"/>
          <w:spacing w:val="1"/>
          <w:sz w:val="22"/>
        </w:rPr>
        <w:t> </w:t>
      </w:r>
      <w:r>
        <w:rPr>
          <w:color w:val="231F20"/>
          <w:sz w:val="22"/>
        </w:rPr>
        <w:t>developed</w:t>
      </w:r>
      <w:r>
        <w:rPr>
          <w:color w:val="231F20"/>
          <w:spacing w:val="-6"/>
          <w:sz w:val="22"/>
        </w:rPr>
        <w:t> </w:t>
      </w:r>
      <w:r>
        <w:rPr>
          <w:color w:val="231F20"/>
          <w:sz w:val="22"/>
        </w:rPr>
        <w:t>a</w:t>
      </w:r>
      <w:r>
        <w:rPr>
          <w:color w:val="3953A4"/>
          <w:spacing w:val="-10"/>
          <w:sz w:val="22"/>
        </w:rPr>
        <w:t> </w:t>
      </w:r>
      <w:hyperlink r:id="rId255">
        <w:r>
          <w:rPr>
            <w:color w:val="3953A4"/>
            <w:sz w:val="22"/>
            <w:u w:val="single" w:color="2764B0"/>
          </w:rPr>
          <w:t>Telehealth</w:t>
        </w:r>
        <w:r>
          <w:rPr>
            <w:color w:val="3953A4"/>
            <w:spacing w:val="-6"/>
            <w:sz w:val="22"/>
            <w:u w:val="single" w:color="2764B0"/>
          </w:rPr>
          <w:t> </w:t>
        </w:r>
        <w:r>
          <w:rPr>
            <w:color w:val="3953A4"/>
            <w:sz w:val="22"/>
            <w:u w:val="single" w:color="2764B0"/>
          </w:rPr>
          <w:t>Program</w:t>
        </w:r>
        <w:r>
          <w:rPr>
            <w:color w:val="3953A4"/>
            <w:spacing w:val="-7"/>
            <w:sz w:val="22"/>
            <w:u w:val="single" w:color="2764B0"/>
          </w:rPr>
          <w:t> </w:t>
        </w:r>
        <w:r>
          <w:rPr>
            <w:color w:val="3953A4"/>
            <w:sz w:val="22"/>
            <w:u w:val="single" w:color="2764B0"/>
          </w:rPr>
          <w:t>Developer</w:t>
        </w:r>
        <w:r>
          <w:rPr>
            <w:color w:val="3953A4"/>
            <w:spacing w:val="-6"/>
            <w:sz w:val="22"/>
            <w:u w:val="single" w:color="2764B0"/>
          </w:rPr>
          <w:t> </w:t>
        </w:r>
        <w:r>
          <w:rPr>
            <w:color w:val="3953A4"/>
            <w:sz w:val="22"/>
            <w:u w:val="single" w:color="2764B0"/>
          </w:rPr>
          <w:t>Kit</w:t>
        </w:r>
      </w:hyperlink>
      <w:r>
        <w:rPr>
          <w:color w:val="010202"/>
          <w:sz w:val="22"/>
        </w:rPr>
        <w:t>,</w:t>
      </w:r>
      <w:r>
        <w:rPr>
          <w:color w:val="010202"/>
          <w:spacing w:val="-52"/>
          <w:sz w:val="22"/>
        </w:rPr>
        <w:t> </w:t>
      </w:r>
      <w:r>
        <w:rPr>
          <w:color w:val="010202"/>
          <w:sz w:val="22"/>
        </w:rPr>
        <w:t>a </w:t>
      </w:r>
      <w:r>
        <w:rPr>
          <w:color w:val="231F20"/>
          <w:sz w:val="22"/>
        </w:rPr>
        <w:t>comprehensive overview of how to develop</w:t>
      </w:r>
      <w:r>
        <w:rPr>
          <w:color w:val="231F20"/>
          <w:spacing w:val="1"/>
          <w:sz w:val="22"/>
        </w:rPr>
        <w:t> </w:t>
      </w:r>
      <w:r>
        <w:rPr>
          <w:color w:val="231F20"/>
          <w:sz w:val="22"/>
        </w:rPr>
        <w:t>and implement a telehealth program.</w:t>
      </w:r>
    </w:p>
    <w:p>
      <w:pPr>
        <w:pStyle w:val="ListParagraph"/>
        <w:numPr>
          <w:ilvl w:val="1"/>
          <w:numId w:val="5"/>
        </w:numPr>
        <w:tabs>
          <w:tab w:pos="839" w:val="left" w:leader="none"/>
          <w:tab w:pos="841" w:val="left" w:leader="none"/>
        </w:tabs>
        <w:spacing w:line="266" w:lineRule="auto" w:before="36" w:after="0"/>
        <w:ind w:left="840" w:right="416" w:hanging="360"/>
        <w:jc w:val="left"/>
        <w:rPr>
          <w:rFonts w:ascii="Symbol" w:hAnsi="Symbol"/>
          <w:color w:val="010202"/>
          <w:sz w:val="22"/>
        </w:rPr>
      </w:pPr>
      <w:hyperlink r:id="rId256">
        <w:r>
          <w:rPr>
            <w:color w:val="3953A4"/>
            <w:sz w:val="22"/>
            <w:u w:val="single" w:color="3953A4"/>
          </w:rPr>
          <w:t>ProviderBridge.org</w:t>
        </w:r>
      </w:hyperlink>
      <w:r>
        <w:rPr>
          <w:color w:val="3953A4"/>
          <w:sz w:val="22"/>
        </w:rPr>
        <w:t> </w:t>
      </w:r>
      <w:r>
        <w:rPr>
          <w:color w:val="231F20"/>
          <w:sz w:val="22"/>
        </w:rPr>
        <w:t>assists in mobilizing</w:t>
      </w:r>
      <w:r>
        <w:rPr>
          <w:color w:val="231F20"/>
          <w:spacing w:val="1"/>
          <w:sz w:val="22"/>
        </w:rPr>
        <w:t> </w:t>
      </w:r>
      <w:r>
        <w:rPr>
          <w:color w:val="231F20"/>
          <w:sz w:val="22"/>
        </w:rPr>
        <w:t>volunteer healthcare professionals to treat</w:t>
      </w:r>
      <w:r>
        <w:rPr>
          <w:color w:val="231F20"/>
          <w:spacing w:val="1"/>
          <w:sz w:val="22"/>
        </w:rPr>
        <w:t> </w:t>
      </w:r>
      <w:r>
        <w:rPr>
          <w:color w:val="231F20"/>
          <w:sz w:val="22"/>
        </w:rPr>
        <w:t>patients during public health emergencies.</w:t>
      </w:r>
      <w:r>
        <w:rPr>
          <w:color w:val="231F20"/>
          <w:spacing w:val="1"/>
          <w:sz w:val="22"/>
        </w:rPr>
        <w:t> </w:t>
      </w:r>
      <w:r>
        <w:rPr>
          <w:color w:val="231F20"/>
          <w:sz w:val="22"/>
        </w:rPr>
        <w:t>The site supports medical license portability</w:t>
      </w:r>
      <w:r>
        <w:rPr>
          <w:color w:val="231F20"/>
          <w:spacing w:val="-52"/>
          <w:sz w:val="22"/>
        </w:rPr>
        <w:t> </w:t>
      </w:r>
      <w:r>
        <w:rPr>
          <w:color w:val="231F20"/>
          <w:sz w:val="22"/>
        </w:rPr>
        <w:t>to connect healthcare professionals with</w:t>
      </w:r>
      <w:r>
        <w:rPr>
          <w:color w:val="231F20"/>
          <w:spacing w:val="1"/>
          <w:sz w:val="22"/>
        </w:rPr>
        <w:t> </w:t>
      </w:r>
      <w:r>
        <w:rPr>
          <w:color w:val="231F20"/>
          <w:sz w:val="22"/>
        </w:rPr>
        <w:t>state agencies and healthcare entities to</w:t>
      </w:r>
      <w:r>
        <w:rPr>
          <w:color w:val="231F20"/>
          <w:spacing w:val="1"/>
          <w:sz w:val="22"/>
        </w:rPr>
        <w:t> </w:t>
      </w:r>
      <w:r>
        <w:rPr>
          <w:color w:val="231F20"/>
          <w:sz w:val="22"/>
        </w:rPr>
        <w:t>increase access to care for patients in rural</w:t>
      </w:r>
      <w:r>
        <w:rPr>
          <w:color w:val="231F20"/>
          <w:spacing w:val="1"/>
          <w:sz w:val="22"/>
        </w:rPr>
        <w:t> </w:t>
      </w:r>
      <w:r>
        <w:rPr>
          <w:color w:val="231F20"/>
          <w:sz w:val="22"/>
        </w:rPr>
        <w:t>and underserved</w:t>
      </w:r>
      <w:r>
        <w:rPr>
          <w:color w:val="231F20"/>
          <w:spacing w:val="-1"/>
          <w:sz w:val="22"/>
        </w:rPr>
        <w:t> </w:t>
      </w:r>
      <w:r>
        <w:rPr>
          <w:color w:val="231F20"/>
          <w:sz w:val="22"/>
        </w:rPr>
        <w:t>communities.</w:t>
      </w:r>
      <w:r>
        <w:rPr>
          <w:color w:val="231F20"/>
          <w:spacing w:val="-5"/>
          <w:sz w:val="22"/>
        </w:rPr>
        <w:t> </w:t>
      </w:r>
      <w:r>
        <w:rPr>
          <w:color w:val="231F20"/>
          <w:sz w:val="22"/>
        </w:rPr>
        <w:t>The site also</w:t>
      </w:r>
    </w:p>
    <w:p>
      <w:pPr>
        <w:pStyle w:val="BodyText"/>
        <w:spacing w:line="266" w:lineRule="auto"/>
        <w:ind w:left="840" w:right="87"/>
      </w:pPr>
      <w:r>
        <w:rPr>
          <w:color w:val="231F20"/>
        </w:rPr>
        <w:t>provides state-by-state telehealth information</w:t>
      </w:r>
      <w:r>
        <w:rPr>
          <w:color w:val="231F20"/>
          <w:spacing w:val="1"/>
        </w:rPr>
        <w:t> </w:t>
      </w:r>
      <w:r>
        <w:rPr>
          <w:color w:val="231F20"/>
        </w:rPr>
        <w:t>and resources to assist providers with telehealth</w:t>
      </w:r>
      <w:r>
        <w:rPr>
          <w:color w:val="231F20"/>
          <w:spacing w:val="-52"/>
        </w:rPr>
        <w:t> </w:t>
      </w:r>
      <w:r>
        <w:rPr>
          <w:color w:val="231F20"/>
        </w:rPr>
        <w:t>licensure questions.</w:t>
      </w:r>
    </w:p>
    <w:p>
      <w:pPr>
        <w:pStyle w:val="ListParagraph"/>
        <w:numPr>
          <w:ilvl w:val="1"/>
          <w:numId w:val="5"/>
        </w:numPr>
        <w:tabs>
          <w:tab w:pos="839" w:val="left" w:leader="none"/>
          <w:tab w:pos="841" w:val="left" w:leader="none"/>
        </w:tabs>
        <w:spacing w:line="266" w:lineRule="auto" w:before="20" w:after="0"/>
        <w:ind w:left="840" w:right="197" w:hanging="360"/>
        <w:jc w:val="left"/>
        <w:rPr>
          <w:rFonts w:ascii="Symbol" w:hAnsi="Symbol"/>
          <w:color w:val="010202"/>
          <w:sz w:val="22"/>
        </w:rPr>
      </w:pPr>
      <w:hyperlink r:id="rId257">
        <w:r>
          <w:rPr>
            <w:color w:val="3953A4"/>
            <w:sz w:val="22"/>
            <w:u w:val="single" w:color="1770B9"/>
          </w:rPr>
          <w:t>Licensureproject.org</w:t>
        </w:r>
      </w:hyperlink>
      <w:r>
        <w:rPr>
          <w:color w:val="3953A4"/>
          <w:sz w:val="22"/>
        </w:rPr>
        <w:t> </w:t>
      </w:r>
      <w:r>
        <w:rPr>
          <w:color w:val="231F20"/>
          <w:sz w:val="22"/>
        </w:rPr>
        <w:t>provides up-to-date</w:t>
      </w:r>
      <w:r>
        <w:rPr>
          <w:color w:val="231F20"/>
          <w:spacing w:val="1"/>
          <w:sz w:val="22"/>
        </w:rPr>
        <w:t> </w:t>
      </w:r>
      <w:r>
        <w:rPr>
          <w:color w:val="231F20"/>
          <w:sz w:val="22"/>
        </w:rPr>
        <w:t>information on emergency regulation and</w:t>
      </w:r>
      <w:r>
        <w:rPr>
          <w:color w:val="231F20"/>
          <w:spacing w:val="1"/>
          <w:sz w:val="22"/>
        </w:rPr>
        <w:t> </w:t>
      </w:r>
      <w:r>
        <w:rPr>
          <w:color w:val="231F20"/>
          <w:sz w:val="22"/>
        </w:rPr>
        <w:t>licensing for psychologists, occupational</w:t>
      </w:r>
      <w:r>
        <w:rPr>
          <w:color w:val="231F20"/>
          <w:spacing w:val="1"/>
          <w:sz w:val="22"/>
        </w:rPr>
        <w:t> </w:t>
      </w:r>
      <w:r>
        <w:rPr>
          <w:color w:val="231F20"/>
          <w:sz w:val="22"/>
        </w:rPr>
        <w:t>therapists, physician assistants, and social</w:t>
      </w:r>
      <w:r>
        <w:rPr>
          <w:color w:val="231F20"/>
          <w:spacing w:val="1"/>
          <w:sz w:val="22"/>
        </w:rPr>
        <w:t> </w:t>
      </w:r>
      <w:r>
        <w:rPr>
          <w:color w:val="231F20"/>
          <w:sz w:val="22"/>
        </w:rPr>
        <w:t>workers.</w:t>
      </w:r>
      <w:r>
        <w:rPr>
          <w:color w:val="231F20"/>
          <w:spacing w:val="-9"/>
          <w:sz w:val="22"/>
        </w:rPr>
        <w:t> </w:t>
      </w:r>
      <w:r>
        <w:rPr>
          <w:color w:val="231F20"/>
          <w:sz w:val="22"/>
        </w:rPr>
        <w:t>Resources</w:t>
      </w:r>
      <w:r>
        <w:rPr>
          <w:color w:val="231F20"/>
          <w:spacing w:val="-7"/>
          <w:sz w:val="22"/>
        </w:rPr>
        <w:t> </w:t>
      </w:r>
      <w:r>
        <w:rPr>
          <w:color w:val="231F20"/>
          <w:sz w:val="22"/>
        </w:rPr>
        <w:t>include</w:t>
      </w:r>
      <w:r>
        <w:rPr>
          <w:color w:val="231F20"/>
          <w:spacing w:val="-7"/>
          <w:sz w:val="22"/>
        </w:rPr>
        <w:t> </w:t>
      </w:r>
      <w:r>
        <w:rPr>
          <w:color w:val="231F20"/>
          <w:sz w:val="22"/>
        </w:rPr>
        <w:t>state-specific</w:t>
      </w:r>
      <w:r>
        <w:rPr>
          <w:color w:val="231F20"/>
          <w:spacing w:val="-8"/>
          <w:sz w:val="22"/>
        </w:rPr>
        <w:t> </w:t>
      </w:r>
      <w:r>
        <w:rPr>
          <w:color w:val="231F20"/>
          <w:sz w:val="22"/>
        </w:rPr>
        <w:t>tools</w:t>
      </w:r>
      <w:r>
        <w:rPr>
          <w:color w:val="231F20"/>
          <w:spacing w:val="-52"/>
          <w:sz w:val="22"/>
        </w:rPr>
        <w:t> </w:t>
      </w:r>
      <w:r>
        <w:rPr>
          <w:color w:val="231F20"/>
          <w:sz w:val="22"/>
        </w:rPr>
        <w:t>related to licensure and telehealth, as well as</w:t>
      </w:r>
      <w:r>
        <w:rPr>
          <w:color w:val="231F20"/>
          <w:spacing w:val="1"/>
          <w:sz w:val="22"/>
        </w:rPr>
        <w:t> </w:t>
      </w:r>
      <w:r>
        <w:rPr>
          <w:color w:val="231F20"/>
          <w:sz w:val="22"/>
        </w:rPr>
        <w:t>online and phone support.</w:t>
      </w:r>
    </w:p>
    <w:p>
      <w:pPr>
        <w:pStyle w:val="ListParagraph"/>
        <w:numPr>
          <w:ilvl w:val="1"/>
          <w:numId w:val="5"/>
        </w:numPr>
        <w:tabs>
          <w:tab w:pos="839" w:val="left" w:leader="none"/>
          <w:tab w:pos="841" w:val="left" w:leader="none"/>
        </w:tabs>
        <w:spacing w:line="266" w:lineRule="auto" w:before="23" w:after="0"/>
        <w:ind w:left="840" w:right="96" w:hanging="360"/>
        <w:jc w:val="left"/>
        <w:rPr>
          <w:rFonts w:ascii="Symbol" w:hAnsi="Symbol"/>
          <w:color w:val="010202"/>
          <w:sz w:val="22"/>
        </w:rPr>
      </w:pPr>
      <w:hyperlink r:id="rId258">
        <w:r>
          <w:rPr>
            <w:color w:val="3953A4"/>
            <w:spacing w:val="-4"/>
            <w:sz w:val="22"/>
            <w:u w:val="single" w:color="2764B0"/>
          </w:rPr>
          <w:t>In Brief: Rural Behavioral Health: Telehealth</w:t>
        </w:r>
      </w:hyperlink>
      <w:r>
        <w:rPr>
          <w:color w:val="3953A4"/>
          <w:spacing w:val="-3"/>
          <w:sz w:val="22"/>
        </w:rPr>
        <w:t> </w:t>
      </w:r>
      <w:hyperlink r:id="rId258">
        <w:r>
          <w:rPr>
            <w:color w:val="3953A4"/>
            <w:spacing w:val="-3"/>
            <w:sz w:val="22"/>
            <w:u w:val="single" w:color="2764B0"/>
          </w:rPr>
          <w:t>Challenges and Opportunities</w:t>
        </w:r>
        <w:r>
          <w:rPr>
            <w:color w:val="3953A4"/>
            <w:spacing w:val="-3"/>
            <w:sz w:val="22"/>
          </w:rPr>
          <w:t> </w:t>
        </w:r>
      </w:hyperlink>
      <w:r>
        <w:rPr>
          <w:color w:val="231F20"/>
          <w:spacing w:val="-2"/>
          <w:sz w:val="22"/>
        </w:rPr>
        <w:t>This SAMHSA</w:t>
      </w:r>
      <w:r>
        <w:rPr>
          <w:color w:val="231F20"/>
          <w:spacing w:val="-1"/>
          <w:sz w:val="22"/>
        </w:rPr>
        <w:t> </w:t>
      </w:r>
      <w:r>
        <w:rPr>
          <w:color w:val="231F20"/>
          <w:spacing w:val="-4"/>
          <w:sz w:val="22"/>
        </w:rPr>
        <w:t>guide</w:t>
      </w:r>
      <w:r>
        <w:rPr>
          <w:color w:val="231F20"/>
          <w:spacing w:val="-10"/>
          <w:sz w:val="22"/>
        </w:rPr>
        <w:t> </w:t>
      </w:r>
      <w:r>
        <w:rPr>
          <w:color w:val="231F20"/>
          <w:spacing w:val="-4"/>
          <w:sz w:val="22"/>
        </w:rPr>
        <w:t>explores</w:t>
      </w:r>
      <w:r>
        <w:rPr>
          <w:color w:val="231F20"/>
          <w:spacing w:val="-9"/>
          <w:sz w:val="22"/>
        </w:rPr>
        <w:t> </w:t>
      </w:r>
      <w:r>
        <w:rPr>
          <w:color w:val="231F20"/>
          <w:spacing w:val="-3"/>
          <w:sz w:val="22"/>
        </w:rPr>
        <w:t>barriers</w:t>
      </w:r>
      <w:r>
        <w:rPr>
          <w:color w:val="231F20"/>
          <w:spacing w:val="-9"/>
          <w:sz w:val="22"/>
        </w:rPr>
        <w:t> </w:t>
      </w:r>
      <w:r>
        <w:rPr>
          <w:color w:val="231F20"/>
          <w:spacing w:val="-3"/>
          <w:sz w:val="22"/>
        </w:rPr>
        <w:t>to</w:t>
      </w:r>
      <w:r>
        <w:rPr>
          <w:color w:val="231F20"/>
          <w:spacing w:val="-9"/>
          <w:sz w:val="22"/>
        </w:rPr>
        <w:t> </w:t>
      </w:r>
      <w:r>
        <w:rPr>
          <w:color w:val="231F20"/>
          <w:spacing w:val="-3"/>
          <w:sz w:val="22"/>
        </w:rPr>
        <w:t>accessing</w:t>
      </w:r>
      <w:r>
        <w:rPr>
          <w:color w:val="231F20"/>
          <w:spacing w:val="-9"/>
          <w:sz w:val="22"/>
        </w:rPr>
        <w:t> </w:t>
      </w:r>
      <w:r>
        <w:rPr>
          <w:color w:val="231F20"/>
          <w:spacing w:val="-3"/>
          <w:sz w:val="22"/>
        </w:rPr>
        <w:t>substance</w:t>
      </w:r>
      <w:r>
        <w:rPr>
          <w:color w:val="231F20"/>
          <w:spacing w:val="-9"/>
          <w:sz w:val="22"/>
        </w:rPr>
        <w:t> </w:t>
      </w:r>
      <w:r>
        <w:rPr>
          <w:color w:val="231F20"/>
          <w:spacing w:val="-3"/>
          <w:sz w:val="22"/>
        </w:rPr>
        <w:t>use</w:t>
      </w:r>
      <w:r>
        <w:rPr>
          <w:color w:val="231F20"/>
          <w:spacing w:val="-52"/>
          <w:sz w:val="22"/>
        </w:rPr>
        <w:t> </w:t>
      </w:r>
      <w:r>
        <w:rPr>
          <w:color w:val="231F20"/>
          <w:spacing w:val="-3"/>
          <w:sz w:val="22"/>
        </w:rPr>
        <w:t>disorder and mental health treatment services </w:t>
      </w:r>
      <w:r>
        <w:rPr>
          <w:color w:val="231F20"/>
          <w:spacing w:val="-2"/>
          <w:sz w:val="22"/>
        </w:rPr>
        <w:t>in</w:t>
      </w:r>
      <w:r>
        <w:rPr>
          <w:color w:val="231F20"/>
          <w:spacing w:val="-1"/>
          <w:sz w:val="22"/>
        </w:rPr>
        <w:t> </w:t>
      </w:r>
      <w:r>
        <w:rPr>
          <w:color w:val="231F20"/>
          <w:spacing w:val="-4"/>
          <w:sz w:val="22"/>
        </w:rPr>
        <w:t>rural communities, </w:t>
      </w:r>
      <w:r>
        <w:rPr>
          <w:color w:val="231F20"/>
          <w:spacing w:val="-3"/>
          <w:sz w:val="22"/>
        </w:rPr>
        <w:t>and the benefits of telehealth</w:t>
      </w:r>
      <w:r>
        <w:rPr>
          <w:color w:val="231F20"/>
          <w:spacing w:val="-2"/>
          <w:sz w:val="22"/>
        </w:rPr>
        <w:t> </w:t>
      </w:r>
      <w:r>
        <w:rPr>
          <w:color w:val="231F20"/>
          <w:spacing w:val="-4"/>
          <w:sz w:val="22"/>
        </w:rPr>
        <w:t>for</w:t>
      </w:r>
      <w:r>
        <w:rPr>
          <w:color w:val="231F20"/>
          <w:spacing w:val="-10"/>
          <w:sz w:val="22"/>
        </w:rPr>
        <w:t> </w:t>
      </w:r>
      <w:r>
        <w:rPr>
          <w:color w:val="231F20"/>
          <w:spacing w:val="-4"/>
          <w:sz w:val="22"/>
        </w:rPr>
        <w:t>these</w:t>
      </w:r>
      <w:r>
        <w:rPr>
          <w:color w:val="231F20"/>
          <w:spacing w:val="-9"/>
          <w:sz w:val="22"/>
        </w:rPr>
        <w:t> </w:t>
      </w:r>
      <w:r>
        <w:rPr>
          <w:color w:val="231F20"/>
          <w:spacing w:val="-4"/>
          <w:sz w:val="22"/>
        </w:rPr>
        <w:t>communities.</w:t>
      </w:r>
      <w:r>
        <w:rPr>
          <w:color w:val="231F20"/>
          <w:spacing w:val="-9"/>
          <w:sz w:val="22"/>
        </w:rPr>
        <w:t> </w:t>
      </w:r>
      <w:r>
        <w:rPr>
          <w:color w:val="231F20"/>
          <w:spacing w:val="-4"/>
          <w:sz w:val="22"/>
        </w:rPr>
        <w:t>It</w:t>
      </w:r>
      <w:r>
        <w:rPr>
          <w:color w:val="231F20"/>
          <w:spacing w:val="-10"/>
          <w:sz w:val="22"/>
        </w:rPr>
        <w:t> </w:t>
      </w:r>
      <w:r>
        <w:rPr>
          <w:color w:val="231F20"/>
          <w:spacing w:val="-4"/>
          <w:sz w:val="22"/>
        </w:rPr>
        <w:t>assists</w:t>
      </w:r>
      <w:r>
        <w:rPr>
          <w:color w:val="231F20"/>
          <w:spacing w:val="-9"/>
          <w:sz w:val="22"/>
        </w:rPr>
        <w:t> </w:t>
      </w:r>
      <w:r>
        <w:rPr>
          <w:color w:val="231F20"/>
          <w:spacing w:val="-3"/>
          <w:sz w:val="22"/>
        </w:rPr>
        <w:t>practitioners</w:t>
      </w:r>
      <w:r>
        <w:rPr>
          <w:color w:val="231F20"/>
          <w:spacing w:val="-9"/>
          <w:sz w:val="22"/>
        </w:rPr>
        <w:t> </w:t>
      </w:r>
      <w:r>
        <w:rPr>
          <w:color w:val="231F20"/>
          <w:spacing w:val="-3"/>
          <w:sz w:val="22"/>
        </w:rPr>
        <w:t>with</w:t>
      </w:r>
      <w:r>
        <w:rPr>
          <w:color w:val="231F20"/>
          <w:spacing w:val="-52"/>
          <w:sz w:val="22"/>
        </w:rPr>
        <w:t> </w:t>
      </w:r>
      <w:r>
        <w:rPr>
          <w:color w:val="231F20"/>
          <w:spacing w:val="-4"/>
          <w:sz w:val="22"/>
        </w:rPr>
        <w:t>implementing </w:t>
      </w:r>
      <w:r>
        <w:rPr>
          <w:color w:val="231F20"/>
          <w:spacing w:val="-3"/>
          <w:sz w:val="22"/>
        </w:rPr>
        <w:t>telehealth technologies as a means</w:t>
      </w:r>
      <w:r>
        <w:rPr>
          <w:color w:val="231F20"/>
          <w:spacing w:val="-2"/>
          <w:sz w:val="22"/>
        </w:rPr>
        <w:t> </w:t>
      </w:r>
      <w:r>
        <w:rPr>
          <w:color w:val="231F20"/>
          <w:sz w:val="22"/>
        </w:rPr>
        <w:t>to</w:t>
      </w:r>
      <w:r>
        <w:rPr>
          <w:color w:val="231F20"/>
          <w:spacing w:val="-11"/>
          <w:sz w:val="22"/>
        </w:rPr>
        <w:t> </w:t>
      </w:r>
      <w:r>
        <w:rPr>
          <w:color w:val="231F20"/>
          <w:sz w:val="22"/>
        </w:rPr>
        <w:t>increase</w:t>
      </w:r>
      <w:r>
        <w:rPr>
          <w:color w:val="231F20"/>
          <w:spacing w:val="-10"/>
          <w:sz w:val="22"/>
        </w:rPr>
        <w:t> </w:t>
      </w:r>
      <w:r>
        <w:rPr>
          <w:color w:val="231F20"/>
          <w:sz w:val="22"/>
        </w:rPr>
        <w:t>access</w:t>
      </w:r>
      <w:r>
        <w:rPr>
          <w:color w:val="231F20"/>
          <w:spacing w:val="-10"/>
          <w:sz w:val="22"/>
        </w:rPr>
        <w:t> </w:t>
      </w:r>
      <w:r>
        <w:rPr>
          <w:color w:val="231F20"/>
          <w:sz w:val="22"/>
        </w:rPr>
        <w:t>to</w:t>
      </w:r>
      <w:r>
        <w:rPr>
          <w:color w:val="231F20"/>
          <w:spacing w:val="-11"/>
          <w:sz w:val="22"/>
        </w:rPr>
        <w:t> </w:t>
      </w:r>
      <w:r>
        <w:rPr>
          <w:color w:val="231F20"/>
          <w:sz w:val="22"/>
        </w:rPr>
        <w:t>services.</w:t>
      </w:r>
    </w:p>
    <w:p>
      <w:pPr>
        <w:pStyle w:val="ListParagraph"/>
        <w:numPr>
          <w:ilvl w:val="0"/>
          <w:numId w:val="5"/>
        </w:numPr>
        <w:tabs>
          <w:tab w:pos="479" w:val="left" w:leader="none"/>
          <w:tab w:pos="480" w:val="left" w:leader="none"/>
        </w:tabs>
        <w:spacing w:line="264" w:lineRule="auto" w:before="100" w:after="0"/>
        <w:ind w:left="479" w:right="1058" w:hanging="360"/>
        <w:jc w:val="left"/>
        <w:rPr>
          <w:sz w:val="22"/>
        </w:rPr>
      </w:pPr>
      <w:hyperlink r:id="rId259">
        <w:r>
          <w:rPr>
            <w:color w:val="3953A4"/>
            <w:spacing w:val="-2"/>
            <w:sz w:val="22"/>
            <w:u w:val="single" w:color="2764B0"/>
          </w:rPr>
          <w:br w:type="column"/>
        </w:r>
        <w:r>
          <w:rPr>
            <w:color w:val="3953A4"/>
            <w:spacing w:val="-3"/>
            <w:sz w:val="22"/>
            <w:u w:val="single" w:color="2764B0"/>
          </w:rPr>
          <w:t>Supporting</w:t>
        </w:r>
        <w:r>
          <w:rPr>
            <w:color w:val="3953A4"/>
            <w:spacing w:val="-16"/>
            <w:sz w:val="22"/>
            <w:u w:val="single" w:color="2764B0"/>
          </w:rPr>
          <w:t> </w:t>
        </w:r>
        <w:r>
          <w:rPr>
            <w:color w:val="3953A4"/>
            <w:spacing w:val="-3"/>
            <w:sz w:val="22"/>
            <w:u w:val="single" w:color="2764B0"/>
          </w:rPr>
          <w:t>Access</w:t>
        </w:r>
        <w:r>
          <w:rPr>
            <w:color w:val="3953A4"/>
            <w:spacing w:val="-2"/>
            <w:sz w:val="22"/>
            <w:u w:val="single" w:color="2764B0"/>
          </w:rPr>
          <w:t> </w:t>
        </w:r>
        <w:r>
          <w:rPr>
            <w:color w:val="3953A4"/>
            <w:spacing w:val="-3"/>
            <w:sz w:val="22"/>
            <w:u w:val="single" w:color="2764B0"/>
          </w:rPr>
          <w:t>to</w:t>
        </w:r>
        <w:r>
          <w:rPr>
            <w:color w:val="3953A4"/>
            <w:spacing w:val="-6"/>
            <w:sz w:val="22"/>
            <w:u w:val="single" w:color="2764B0"/>
          </w:rPr>
          <w:t> </w:t>
        </w:r>
        <w:r>
          <w:rPr>
            <w:color w:val="3953A4"/>
            <w:spacing w:val="-3"/>
            <w:sz w:val="22"/>
            <w:u w:val="single" w:color="2764B0"/>
          </w:rPr>
          <w:t>Telehealth</w:t>
        </w:r>
        <w:r>
          <w:rPr>
            <w:color w:val="3953A4"/>
            <w:spacing w:val="-2"/>
            <w:sz w:val="22"/>
            <w:u w:val="single" w:color="2764B0"/>
          </w:rPr>
          <w:t> for</w:t>
        </w:r>
        <w:r>
          <w:rPr>
            <w:color w:val="3953A4"/>
            <w:spacing w:val="-16"/>
            <w:sz w:val="22"/>
            <w:u w:val="single" w:color="2764B0"/>
          </w:rPr>
          <w:t> </w:t>
        </w:r>
        <w:r>
          <w:rPr>
            <w:color w:val="3953A4"/>
            <w:spacing w:val="-2"/>
            <w:sz w:val="22"/>
            <w:u w:val="single" w:color="2764B0"/>
          </w:rPr>
          <w:t>Addiction</w:t>
        </w:r>
      </w:hyperlink>
      <w:r>
        <w:rPr>
          <w:color w:val="3953A4"/>
          <w:spacing w:val="-52"/>
          <w:sz w:val="22"/>
        </w:rPr>
        <w:t> </w:t>
      </w:r>
      <w:hyperlink r:id="rId259">
        <w:r>
          <w:rPr>
            <w:color w:val="3953A4"/>
            <w:spacing w:val="-1"/>
            <w:sz w:val="22"/>
            <w:u w:val="single" w:color="2764B0"/>
          </w:rPr>
          <w:t>Services: Regulatory Overview </w:t>
        </w:r>
        <w:r>
          <w:rPr>
            <w:color w:val="3953A4"/>
            <w:sz w:val="22"/>
            <w:u w:val="single" w:color="2764B0"/>
          </w:rPr>
          <w:t>and General</w:t>
        </w:r>
      </w:hyperlink>
      <w:r>
        <w:rPr>
          <w:color w:val="3953A4"/>
          <w:spacing w:val="1"/>
          <w:sz w:val="22"/>
        </w:rPr>
        <w:t> </w:t>
      </w:r>
      <w:hyperlink r:id="rId259">
        <w:r>
          <w:rPr>
            <w:color w:val="3953A4"/>
            <w:spacing w:val="-2"/>
            <w:sz w:val="22"/>
            <w:u w:val="single" w:color="2764B0"/>
          </w:rPr>
          <w:t>Practice</w:t>
        </w:r>
        <w:r>
          <w:rPr>
            <w:color w:val="3953A4"/>
            <w:spacing w:val="-4"/>
            <w:sz w:val="22"/>
            <w:u w:val="single" w:color="2764B0"/>
          </w:rPr>
          <w:t> </w:t>
        </w:r>
        <w:r>
          <w:rPr>
            <w:color w:val="3953A4"/>
            <w:spacing w:val="-2"/>
            <w:sz w:val="22"/>
            <w:u w:val="single" w:color="2764B0"/>
          </w:rPr>
          <w:t>Considerations</w:t>
        </w:r>
      </w:hyperlink>
      <w:r>
        <w:rPr>
          <w:color w:val="231F20"/>
          <w:spacing w:val="-2"/>
          <w:sz w:val="22"/>
        </w:rPr>
        <w:t>,</w:t>
      </w:r>
      <w:r>
        <w:rPr>
          <w:color w:val="231F20"/>
          <w:spacing w:val="-16"/>
          <w:sz w:val="22"/>
        </w:rPr>
        <w:t> </w:t>
      </w:r>
      <w:r>
        <w:rPr>
          <w:color w:val="231F20"/>
          <w:spacing w:val="-2"/>
          <w:sz w:val="22"/>
        </w:rPr>
        <w:t>American</w:t>
      </w:r>
      <w:r>
        <w:rPr>
          <w:color w:val="231F20"/>
          <w:spacing w:val="-4"/>
          <w:sz w:val="22"/>
        </w:rPr>
        <w:t> </w:t>
      </w:r>
      <w:r>
        <w:rPr>
          <w:color w:val="231F20"/>
          <w:spacing w:val="-2"/>
          <w:sz w:val="22"/>
        </w:rPr>
        <w:t>Society</w:t>
      </w:r>
    </w:p>
    <w:p>
      <w:pPr>
        <w:pStyle w:val="BodyText"/>
        <w:spacing w:line="266" w:lineRule="auto" w:before="3"/>
        <w:ind w:left="479" w:right="1159"/>
      </w:pPr>
      <w:r>
        <w:rPr>
          <w:color w:val="231F20"/>
          <w:spacing w:val="-2"/>
        </w:rPr>
        <w:t>of</w:t>
      </w:r>
      <w:r>
        <w:rPr>
          <w:color w:val="231F20"/>
          <w:spacing w:val="-3"/>
        </w:rPr>
        <w:t> </w:t>
      </w:r>
      <w:r>
        <w:rPr>
          <w:color w:val="231F20"/>
          <w:spacing w:val="-2"/>
        </w:rPr>
        <w:t>Addiction</w:t>
      </w:r>
      <w:r>
        <w:rPr>
          <w:color w:val="231F20"/>
          <w:spacing w:val="11"/>
        </w:rPr>
        <w:t> </w:t>
      </w:r>
      <w:r>
        <w:rPr>
          <w:color w:val="231F20"/>
          <w:spacing w:val="-2"/>
        </w:rPr>
        <w:t>Medicine</w:t>
      </w:r>
      <w:r>
        <w:rPr>
          <w:color w:val="231F20"/>
          <w:spacing w:val="11"/>
        </w:rPr>
        <w:t> </w:t>
      </w:r>
      <w:r>
        <w:rPr>
          <w:color w:val="231F20"/>
          <w:spacing w:val="-2"/>
        </w:rPr>
        <w:t>provides</w:t>
      </w:r>
      <w:r>
        <w:rPr>
          <w:color w:val="231F20"/>
          <w:spacing w:val="10"/>
        </w:rPr>
        <w:t> </w:t>
      </w:r>
      <w:r>
        <w:rPr>
          <w:color w:val="231F20"/>
          <w:spacing w:val="-2"/>
        </w:rPr>
        <w:t>guidance</w:t>
      </w:r>
      <w:r>
        <w:rPr>
          <w:color w:val="231F20"/>
          <w:spacing w:val="-1"/>
        </w:rPr>
        <w:t> </w:t>
      </w:r>
      <w:r>
        <w:rPr>
          <w:color w:val="231F20"/>
        </w:rPr>
        <w:t>for clinicians and programs on regulatory</w:t>
      </w:r>
      <w:r>
        <w:rPr>
          <w:color w:val="231F20"/>
          <w:spacing w:val="1"/>
        </w:rPr>
        <w:t> </w:t>
      </w:r>
      <w:r>
        <w:rPr>
          <w:color w:val="231F20"/>
          <w:spacing w:val="-1"/>
        </w:rPr>
        <w:t>and</w:t>
      </w:r>
      <w:r>
        <w:rPr>
          <w:color w:val="231F20"/>
          <w:spacing w:val="-13"/>
        </w:rPr>
        <w:t> </w:t>
      </w:r>
      <w:r>
        <w:rPr>
          <w:color w:val="231F20"/>
          <w:spacing w:val="-1"/>
        </w:rPr>
        <w:t>practice</w:t>
      </w:r>
      <w:r>
        <w:rPr>
          <w:color w:val="231F20"/>
          <w:spacing w:val="-12"/>
        </w:rPr>
        <w:t> </w:t>
      </w:r>
      <w:r>
        <w:rPr>
          <w:color w:val="231F20"/>
          <w:spacing w:val="-1"/>
        </w:rPr>
        <w:t>issues</w:t>
      </w:r>
      <w:r>
        <w:rPr>
          <w:color w:val="231F20"/>
          <w:spacing w:val="-13"/>
        </w:rPr>
        <w:t> </w:t>
      </w:r>
      <w:r>
        <w:rPr>
          <w:color w:val="231F20"/>
          <w:spacing w:val="-1"/>
        </w:rPr>
        <w:t>related</w:t>
      </w:r>
      <w:r>
        <w:rPr>
          <w:color w:val="231F20"/>
          <w:spacing w:val="-12"/>
        </w:rPr>
        <w:t> </w:t>
      </w:r>
      <w:r>
        <w:rPr>
          <w:color w:val="231F20"/>
          <w:spacing w:val="-1"/>
        </w:rPr>
        <w:t>to</w:t>
      </w:r>
      <w:r>
        <w:rPr>
          <w:color w:val="231F20"/>
          <w:spacing w:val="-13"/>
        </w:rPr>
        <w:t> </w:t>
      </w:r>
      <w:r>
        <w:rPr>
          <w:color w:val="231F20"/>
          <w:spacing w:val="-1"/>
        </w:rPr>
        <w:t>using</w:t>
      </w:r>
      <w:r>
        <w:rPr>
          <w:color w:val="231F20"/>
          <w:spacing w:val="-12"/>
        </w:rPr>
        <w:t> </w:t>
      </w:r>
      <w:r>
        <w:rPr>
          <w:color w:val="231F20"/>
        </w:rPr>
        <w:t>telehealth</w:t>
      </w:r>
      <w:r>
        <w:rPr>
          <w:color w:val="231F20"/>
          <w:spacing w:val="-52"/>
        </w:rPr>
        <w:t> </w:t>
      </w:r>
      <w:r>
        <w:rPr>
          <w:color w:val="231F20"/>
        </w:rPr>
        <w:t>to provide substance use treatment during</w:t>
      </w:r>
      <w:r>
        <w:rPr>
          <w:color w:val="231F20"/>
          <w:spacing w:val="1"/>
        </w:rPr>
        <w:t> </w:t>
      </w:r>
      <w:r>
        <w:rPr>
          <w:color w:val="231F20"/>
        </w:rPr>
        <w:t>COVID-19.</w:t>
      </w:r>
    </w:p>
    <w:p>
      <w:pPr>
        <w:pStyle w:val="ListParagraph"/>
        <w:numPr>
          <w:ilvl w:val="0"/>
          <w:numId w:val="5"/>
        </w:numPr>
        <w:tabs>
          <w:tab w:pos="479" w:val="left" w:leader="none"/>
          <w:tab w:pos="480" w:val="left" w:leader="none"/>
        </w:tabs>
        <w:spacing w:line="266" w:lineRule="auto" w:before="27" w:after="0"/>
        <w:ind w:left="479" w:right="826" w:hanging="360"/>
        <w:jc w:val="left"/>
        <w:rPr>
          <w:sz w:val="22"/>
        </w:rPr>
      </w:pPr>
      <w:hyperlink r:id="rId27">
        <w:r>
          <w:rPr>
            <w:color w:val="3953A4"/>
            <w:spacing w:val="-5"/>
            <w:sz w:val="22"/>
            <w:u w:val="single" w:color="2764B0"/>
          </w:rPr>
          <w:t>TIP </w:t>
        </w:r>
        <w:r>
          <w:rPr>
            <w:color w:val="3953A4"/>
            <w:spacing w:val="-4"/>
            <w:sz w:val="22"/>
            <w:u w:val="single" w:color="2764B0"/>
          </w:rPr>
          <w:t>60: Using Technology-Based Therapeutic</w:t>
        </w:r>
      </w:hyperlink>
      <w:r>
        <w:rPr>
          <w:color w:val="3953A4"/>
          <w:spacing w:val="-3"/>
          <w:sz w:val="22"/>
        </w:rPr>
        <w:t> </w:t>
      </w:r>
      <w:hyperlink r:id="rId27">
        <w:r>
          <w:rPr>
            <w:color w:val="3953A4"/>
            <w:spacing w:val="-2"/>
            <w:sz w:val="22"/>
            <w:u w:val="single" w:color="2764B0"/>
          </w:rPr>
          <w:t>Tools in Behavioral Health Services:</w:t>
        </w:r>
        <w:r>
          <w:rPr>
            <w:color w:val="3953A4"/>
            <w:spacing w:val="-2"/>
            <w:sz w:val="22"/>
          </w:rPr>
          <w:t> </w:t>
        </w:r>
      </w:hyperlink>
      <w:r>
        <w:rPr>
          <w:color w:val="231F20"/>
          <w:spacing w:val="-1"/>
          <w:sz w:val="22"/>
        </w:rPr>
        <w:t>This</w:t>
      </w:r>
      <w:r>
        <w:rPr>
          <w:color w:val="231F20"/>
          <w:sz w:val="22"/>
        </w:rPr>
        <w:t> </w:t>
      </w:r>
      <w:r>
        <w:rPr>
          <w:color w:val="231F20"/>
          <w:spacing w:val="-4"/>
          <w:sz w:val="22"/>
        </w:rPr>
        <w:t>SAMHSA manual assists </w:t>
      </w:r>
      <w:r>
        <w:rPr>
          <w:color w:val="231F20"/>
          <w:spacing w:val="-3"/>
          <w:sz w:val="22"/>
        </w:rPr>
        <w:t>clinicians with</w:t>
      </w:r>
      <w:r>
        <w:rPr>
          <w:color w:val="231F20"/>
          <w:spacing w:val="-2"/>
          <w:sz w:val="22"/>
        </w:rPr>
        <w:t> implementing technology-assisted care. </w:t>
      </w:r>
      <w:r>
        <w:rPr>
          <w:color w:val="231F20"/>
          <w:spacing w:val="-1"/>
          <w:sz w:val="22"/>
        </w:rPr>
        <w:t>It</w:t>
      </w:r>
      <w:r>
        <w:rPr>
          <w:color w:val="231F20"/>
          <w:sz w:val="22"/>
        </w:rPr>
        <w:t> </w:t>
      </w:r>
      <w:r>
        <w:rPr>
          <w:color w:val="231F20"/>
          <w:spacing w:val="-3"/>
          <w:sz w:val="22"/>
        </w:rPr>
        <w:t>highlights the importance of using technology-</w:t>
      </w:r>
      <w:r>
        <w:rPr>
          <w:color w:val="231F20"/>
          <w:spacing w:val="-2"/>
          <w:sz w:val="22"/>
        </w:rPr>
        <w:t> </w:t>
      </w:r>
      <w:r>
        <w:rPr>
          <w:color w:val="231F20"/>
          <w:spacing w:val="-4"/>
          <w:sz w:val="22"/>
        </w:rPr>
        <w:t>based</w:t>
      </w:r>
      <w:r>
        <w:rPr>
          <w:color w:val="231F20"/>
          <w:spacing w:val="-10"/>
          <w:sz w:val="22"/>
        </w:rPr>
        <w:t> </w:t>
      </w:r>
      <w:r>
        <w:rPr>
          <w:color w:val="231F20"/>
          <w:spacing w:val="-4"/>
          <w:sz w:val="22"/>
        </w:rPr>
        <w:t>assessments</w:t>
      </w:r>
      <w:r>
        <w:rPr>
          <w:color w:val="231F20"/>
          <w:spacing w:val="-9"/>
          <w:sz w:val="22"/>
        </w:rPr>
        <w:t> </w:t>
      </w:r>
      <w:r>
        <w:rPr>
          <w:color w:val="231F20"/>
          <w:spacing w:val="-4"/>
          <w:sz w:val="22"/>
        </w:rPr>
        <w:t>and</w:t>
      </w:r>
      <w:r>
        <w:rPr>
          <w:color w:val="231F20"/>
          <w:spacing w:val="-9"/>
          <w:sz w:val="22"/>
        </w:rPr>
        <w:t> </w:t>
      </w:r>
      <w:r>
        <w:rPr>
          <w:color w:val="231F20"/>
          <w:spacing w:val="-4"/>
          <w:sz w:val="22"/>
        </w:rPr>
        <w:t>interventions</w:t>
      </w:r>
      <w:r>
        <w:rPr>
          <w:color w:val="231F20"/>
          <w:spacing w:val="-9"/>
          <w:sz w:val="22"/>
        </w:rPr>
        <w:t> </w:t>
      </w:r>
      <w:r>
        <w:rPr>
          <w:color w:val="231F20"/>
          <w:spacing w:val="-3"/>
          <w:sz w:val="22"/>
        </w:rPr>
        <w:t>in</w:t>
      </w:r>
      <w:r>
        <w:rPr>
          <w:color w:val="231F20"/>
          <w:spacing w:val="-9"/>
          <w:sz w:val="22"/>
        </w:rPr>
        <w:t> </w:t>
      </w:r>
      <w:r>
        <w:rPr>
          <w:color w:val="231F20"/>
          <w:spacing w:val="-3"/>
          <w:sz w:val="22"/>
        </w:rPr>
        <w:t>behavioral</w:t>
      </w:r>
      <w:r>
        <w:rPr>
          <w:color w:val="231F20"/>
          <w:spacing w:val="-52"/>
          <w:sz w:val="22"/>
        </w:rPr>
        <w:t> </w:t>
      </w:r>
      <w:r>
        <w:rPr>
          <w:color w:val="231F20"/>
          <w:spacing w:val="-4"/>
          <w:sz w:val="22"/>
        </w:rPr>
        <w:t>health treatment services. </w:t>
      </w:r>
      <w:r>
        <w:rPr>
          <w:color w:val="231F20"/>
          <w:spacing w:val="-3"/>
          <w:sz w:val="22"/>
        </w:rPr>
        <w:t>The manual also</w:t>
      </w:r>
      <w:r>
        <w:rPr>
          <w:color w:val="231F20"/>
          <w:spacing w:val="-2"/>
          <w:sz w:val="22"/>
        </w:rPr>
        <w:t> </w:t>
      </w:r>
      <w:r>
        <w:rPr>
          <w:color w:val="231F20"/>
          <w:spacing w:val="-3"/>
          <w:sz w:val="22"/>
        </w:rPr>
        <w:t>discusses how technology </w:t>
      </w:r>
      <w:r>
        <w:rPr>
          <w:color w:val="231F20"/>
          <w:spacing w:val="-2"/>
          <w:sz w:val="22"/>
        </w:rPr>
        <w:t>reduces barriers to</w:t>
      </w:r>
      <w:r>
        <w:rPr>
          <w:color w:val="231F20"/>
          <w:spacing w:val="-1"/>
          <w:sz w:val="22"/>
        </w:rPr>
        <w:t> </w:t>
      </w:r>
      <w:r>
        <w:rPr>
          <w:color w:val="231F20"/>
          <w:sz w:val="22"/>
        </w:rPr>
        <w:t>accessing</w:t>
      </w:r>
      <w:r>
        <w:rPr>
          <w:color w:val="231F20"/>
          <w:spacing w:val="-9"/>
          <w:sz w:val="22"/>
        </w:rPr>
        <w:t> </w:t>
      </w:r>
      <w:r>
        <w:rPr>
          <w:color w:val="231F20"/>
          <w:sz w:val="22"/>
        </w:rPr>
        <w:t>care.</w:t>
      </w:r>
    </w:p>
    <w:p>
      <w:pPr>
        <w:pStyle w:val="ListParagraph"/>
        <w:numPr>
          <w:ilvl w:val="0"/>
          <w:numId w:val="5"/>
        </w:numPr>
        <w:tabs>
          <w:tab w:pos="479" w:val="left" w:leader="none"/>
          <w:tab w:pos="480" w:val="left" w:leader="none"/>
        </w:tabs>
        <w:spacing w:line="264" w:lineRule="auto" w:before="22" w:after="0"/>
        <w:ind w:left="479" w:right="1319" w:hanging="360"/>
        <w:jc w:val="left"/>
        <w:rPr>
          <w:sz w:val="22"/>
        </w:rPr>
      </w:pPr>
      <w:hyperlink r:id="rId260">
        <w:r>
          <w:rPr>
            <w:color w:val="3953A4"/>
            <w:spacing w:val="-3"/>
            <w:sz w:val="22"/>
            <w:u w:val="single" w:color="3953A4"/>
          </w:rPr>
          <w:t>The Providers Clinical Support </w:t>
        </w:r>
        <w:r>
          <w:rPr>
            <w:color w:val="3953A4"/>
            <w:spacing w:val="-2"/>
            <w:sz w:val="22"/>
            <w:u w:val="single" w:color="3953A4"/>
          </w:rPr>
          <w:t>System</w:t>
        </w:r>
        <w:r>
          <w:rPr>
            <w:color w:val="3953A4"/>
            <w:spacing w:val="-2"/>
            <w:sz w:val="22"/>
          </w:rPr>
          <w:t> </w:t>
        </w:r>
      </w:hyperlink>
      <w:r>
        <w:rPr>
          <w:color w:val="231F20"/>
          <w:spacing w:val="-2"/>
          <w:sz w:val="22"/>
        </w:rPr>
        <w:t>and</w:t>
      </w:r>
      <w:r>
        <w:rPr>
          <w:color w:val="3953A4"/>
          <w:spacing w:val="-52"/>
          <w:sz w:val="22"/>
        </w:rPr>
        <w:t> </w:t>
      </w:r>
      <w:hyperlink r:id="rId261">
        <w:r>
          <w:rPr>
            <w:color w:val="3953A4"/>
            <w:sz w:val="22"/>
            <w:u w:val="single" w:color="3953A4"/>
          </w:rPr>
          <w:t>Opioid Response Network</w:t>
        </w:r>
      </w:hyperlink>
      <w:r>
        <w:rPr>
          <w:color w:val="3953A4"/>
          <w:sz w:val="22"/>
        </w:rPr>
        <w:t> </w:t>
      </w:r>
      <w:r>
        <w:rPr>
          <w:color w:val="231F20"/>
          <w:sz w:val="22"/>
        </w:rPr>
        <w:t>developed a</w:t>
      </w:r>
      <w:r>
        <w:rPr>
          <w:color w:val="3953A4"/>
          <w:spacing w:val="1"/>
          <w:sz w:val="22"/>
        </w:rPr>
        <w:t> </w:t>
      </w:r>
      <w:hyperlink r:id="rId262">
        <w:r>
          <w:rPr>
            <w:color w:val="3953A4"/>
            <w:sz w:val="22"/>
            <w:u w:val="single" w:color="2764B0"/>
          </w:rPr>
          <w:t>Telehealth</w:t>
        </w:r>
        <w:r>
          <w:rPr>
            <w:color w:val="3953A4"/>
            <w:spacing w:val="-12"/>
            <w:sz w:val="22"/>
            <w:u w:val="single" w:color="2764B0"/>
          </w:rPr>
          <w:t> </w:t>
        </w:r>
        <w:r>
          <w:rPr>
            <w:color w:val="3953A4"/>
            <w:sz w:val="22"/>
            <w:u w:val="single" w:color="2764B0"/>
          </w:rPr>
          <w:t>Tipsheet</w:t>
        </w:r>
      </w:hyperlink>
      <w:r>
        <w:rPr>
          <w:color w:val="3953A4"/>
          <w:spacing w:val="-7"/>
          <w:sz w:val="22"/>
        </w:rPr>
        <w:t> </w:t>
      </w:r>
      <w:r>
        <w:rPr>
          <w:color w:val="231F20"/>
          <w:sz w:val="22"/>
        </w:rPr>
        <w:t>for</w:t>
      </w:r>
      <w:r>
        <w:rPr>
          <w:color w:val="231F20"/>
          <w:spacing w:val="-7"/>
          <w:sz w:val="22"/>
        </w:rPr>
        <w:t> </w:t>
      </w:r>
      <w:r>
        <w:rPr>
          <w:color w:val="231F20"/>
          <w:sz w:val="22"/>
        </w:rPr>
        <w:t>treating</w:t>
      </w:r>
      <w:r>
        <w:rPr>
          <w:color w:val="231F20"/>
          <w:spacing w:val="-8"/>
          <w:sz w:val="22"/>
        </w:rPr>
        <w:t> </w:t>
      </w:r>
      <w:r>
        <w:rPr>
          <w:color w:val="231F20"/>
          <w:sz w:val="22"/>
        </w:rPr>
        <w:t>opioid</w:t>
      </w:r>
      <w:r>
        <w:rPr>
          <w:color w:val="231F20"/>
          <w:spacing w:val="-7"/>
          <w:sz w:val="22"/>
        </w:rPr>
        <w:t> </w:t>
      </w:r>
      <w:r>
        <w:rPr>
          <w:color w:val="231F20"/>
          <w:sz w:val="22"/>
        </w:rPr>
        <w:t>use</w:t>
      </w:r>
      <w:r>
        <w:rPr>
          <w:color w:val="231F20"/>
          <w:spacing w:val="-52"/>
          <w:sz w:val="22"/>
        </w:rPr>
        <w:t> </w:t>
      </w:r>
      <w:r>
        <w:rPr>
          <w:color w:val="231F20"/>
          <w:sz w:val="22"/>
        </w:rPr>
        <w:t>disorder over telehealth.</w:t>
      </w:r>
    </w:p>
    <w:p>
      <w:pPr>
        <w:spacing w:after="0" w:line="264" w:lineRule="auto"/>
        <w:jc w:val="left"/>
        <w:rPr>
          <w:sz w:val="22"/>
        </w:rPr>
        <w:sectPr>
          <w:type w:val="continuous"/>
          <w:pgSz w:w="12240" w:h="15840"/>
          <w:pgMar w:header="0" w:footer="666" w:top="1500" w:bottom="0" w:left="600" w:right="0"/>
          <w:cols w:num="2" w:equalWidth="0">
            <w:col w:w="5151" w:space="969"/>
            <w:col w:w="5520"/>
          </w:cols>
        </w:sectPr>
      </w:pPr>
    </w:p>
    <w:p>
      <w:pPr>
        <w:pStyle w:val="BodyText"/>
        <w:rPr>
          <w:sz w:val="20"/>
        </w:rPr>
      </w:pPr>
    </w:p>
    <w:p>
      <w:pPr>
        <w:pStyle w:val="BodyText"/>
        <w:rPr>
          <w:sz w:val="20"/>
        </w:rPr>
      </w:pPr>
    </w:p>
    <w:p>
      <w:pPr>
        <w:pStyle w:val="BodyText"/>
        <w:rPr>
          <w:sz w:val="20"/>
        </w:rPr>
      </w:pPr>
    </w:p>
    <w:p>
      <w:pPr>
        <w:pStyle w:val="Heading2"/>
      </w:pPr>
      <w:r>
        <w:rPr>
          <w:color w:val="231F20"/>
        </w:rPr>
        <w:t>Reference</w:t>
      </w:r>
      <w:r>
        <w:rPr>
          <w:color w:val="231F20"/>
          <w:spacing w:val="-6"/>
        </w:rPr>
        <w:t> </w:t>
      </w:r>
      <w:r>
        <w:rPr>
          <w:color w:val="231F20"/>
        </w:rPr>
        <w:t>List</w:t>
      </w:r>
    </w:p>
    <w:p>
      <w:pPr>
        <w:pStyle w:val="BodyText"/>
        <w:rPr>
          <w:rFonts w:ascii="Arial Black"/>
          <w:sz w:val="20"/>
        </w:rPr>
      </w:pPr>
    </w:p>
    <w:p>
      <w:pPr>
        <w:pStyle w:val="BodyText"/>
        <w:rPr>
          <w:rFonts w:ascii="Arial Black"/>
          <w:sz w:val="20"/>
        </w:rPr>
      </w:pPr>
    </w:p>
    <w:p>
      <w:pPr>
        <w:pStyle w:val="BodyText"/>
        <w:spacing w:before="13"/>
        <w:rPr>
          <w:rFonts w:ascii="Arial Black"/>
          <w:sz w:val="15"/>
        </w:rPr>
      </w:pPr>
    </w:p>
    <w:p>
      <w:pPr>
        <w:spacing w:after="0"/>
        <w:rPr>
          <w:rFonts w:ascii="Arial Black"/>
          <w:sz w:val="15"/>
        </w:rPr>
        <w:sectPr>
          <w:headerReference w:type="default" r:id="rId263"/>
          <w:footerReference w:type="default" r:id="rId264"/>
          <w:pgSz w:w="12240" w:h="15840"/>
          <w:pgMar w:header="0" w:footer="666" w:top="380" w:bottom="860" w:left="600" w:right="0"/>
        </w:sectPr>
      </w:pPr>
    </w:p>
    <w:p>
      <w:pPr>
        <w:spacing w:line="228" w:lineRule="auto" w:before="101"/>
        <w:ind w:left="480" w:right="175" w:hanging="360"/>
        <w:jc w:val="both"/>
        <w:rPr>
          <w:sz w:val="22"/>
        </w:rPr>
      </w:pPr>
      <w:r>
        <w:rPr>
          <w:color w:val="231F20"/>
          <w:sz w:val="22"/>
          <w:vertAlign w:val="superscript"/>
        </w:rPr>
        <w:t>1</w:t>
      </w:r>
      <w:r>
        <w:rPr>
          <w:color w:val="231F20"/>
          <w:sz w:val="22"/>
          <w:vertAlign w:val="baseline"/>
        </w:rPr>
        <w:t>     Anderson, M., Perrin, A., &amp; Jiang, J. (2019). </w:t>
      </w:r>
      <w:r>
        <w:rPr>
          <w:i/>
          <w:color w:val="231F20"/>
          <w:sz w:val="22"/>
          <w:vertAlign w:val="baseline"/>
        </w:rPr>
        <w:t>10%</w:t>
      </w:r>
      <w:r>
        <w:rPr>
          <w:i/>
          <w:color w:val="231F20"/>
          <w:spacing w:val="1"/>
          <w:sz w:val="22"/>
          <w:vertAlign w:val="baseline"/>
        </w:rPr>
        <w:t> </w:t>
      </w:r>
      <w:r>
        <w:rPr>
          <w:i/>
          <w:color w:val="231F20"/>
          <w:sz w:val="22"/>
          <w:vertAlign w:val="baseline"/>
        </w:rPr>
        <w:t>of Americans don’t use the internet: Who are they</w:t>
      </w:r>
      <w:r>
        <w:rPr>
          <w:color w:val="231F20"/>
          <w:sz w:val="22"/>
          <w:vertAlign w:val="baseline"/>
        </w:rPr>
        <w:t>.</w:t>
      </w:r>
      <w:r>
        <w:rPr>
          <w:color w:val="231F20"/>
          <w:spacing w:val="1"/>
          <w:sz w:val="22"/>
          <w:vertAlign w:val="baseline"/>
        </w:rPr>
        <w:t> </w:t>
      </w:r>
      <w:hyperlink r:id="rId92">
        <w:r>
          <w:rPr>
            <w:color w:val="3953A4"/>
            <w:spacing w:val="-1"/>
            <w:sz w:val="22"/>
            <w:u w:val="single" w:color="3953A4"/>
            <w:vertAlign w:val="baseline"/>
          </w:rPr>
          <w:t>https://www.pewresearch.org/fact-tank/2019/04/22/</w:t>
        </w:r>
      </w:hyperlink>
    </w:p>
    <w:p>
      <w:pPr>
        <w:pStyle w:val="BodyText"/>
        <w:spacing w:line="242" w:lineRule="exact"/>
        <w:ind w:left="480"/>
      </w:pPr>
      <w:hyperlink r:id="rId92">
        <w:r>
          <w:rPr>
            <w:color w:val="3953A4"/>
            <w:u w:val="single" w:color="3953A4"/>
          </w:rPr>
          <w:t>some-americans-dont-use-the-internet-who-are-they/</w:t>
        </w:r>
      </w:hyperlink>
    </w:p>
    <w:p>
      <w:pPr>
        <w:pStyle w:val="BodyText"/>
        <w:tabs>
          <w:tab w:pos="479" w:val="left" w:leader="none"/>
        </w:tabs>
        <w:spacing w:line="246" w:lineRule="exact" w:before="77"/>
        <w:ind w:left="120"/>
      </w:pPr>
      <w:r>
        <w:rPr>
          <w:color w:val="231F20"/>
          <w:vertAlign w:val="superscript"/>
        </w:rPr>
        <w:t>2</w:t>
      </w:r>
      <w:r>
        <w:rPr>
          <w:color w:val="231F20"/>
          <w:vertAlign w:val="baseline"/>
        </w:rPr>
        <w:tab/>
        <w:t>Nouri,</w:t>
      </w:r>
      <w:r>
        <w:rPr>
          <w:color w:val="231F20"/>
          <w:spacing w:val="-3"/>
          <w:vertAlign w:val="baseline"/>
        </w:rPr>
        <w:t> </w:t>
      </w:r>
      <w:r>
        <w:rPr>
          <w:color w:val="231F20"/>
          <w:vertAlign w:val="baseline"/>
        </w:rPr>
        <w:t>S.,</w:t>
      </w:r>
      <w:r>
        <w:rPr>
          <w:color w:val="231F20"/>
          <w:spacing w:val="-2"/>
          <w:vertAlign w:val="baseline"/>
        </w:rPr>
        <w:t> </w:t>
      </w:r>
      <w:r>
        <w:rPr>
          <w:color w:val="231F20"/>
          <w:vertAlign w:val="baseline"/>
        </w:rPr>
        <w:t>Khoong,</w:t>
      </w:r>
      <w:r>
        <w:rPr>
          <w:color w:val="231F20"/>
          <w:spacing w:val="-2"/>
          <w:vertAlign w:val="baseline"/>
        </w:rPr>
        <w:t> </w:t>
      </w:r>
      <w:r>
        <w:rPr>
          <w:color w:val="231F20"/>
          <w:vertAlign w:val="baseline"/>
        </w:rPr>
        <w:t>E.</w:t>
      </w:r>
      <w:r>
        <w:rPr>
          <w:color w:val="231F20"/>
          <w:spacing w:val="-2"/>
          <w:vertAlign w:val="baseline"/>
        </w:rPr>
        <w:t> </w:t>
      </w:r>
      <w:r>
        <w:rPr>
          <w:color w:val="231F20"/>
          <w:vertAlign w:val="baseline"/>
        </w:rPr>
        <w:t>C.,</w:t>
      </w:r>
      <w:r>
        <w:rPr>
          <w:color w:val="231F20"/>
          <w:spacing w:val="-2"/>
          <w:vertAlign w:val="baseline"/>
        </w:rPr>
        <w:t> </w:t>
      </w:r>
      <w:r>
        <w:rPr>
          <w:color w:val="231F20"/>
          <w:vertAlign w:val="baseline"/>
        </w:rPr>
        <w:t>Lyles,</w:t>
      </w:r>
      <w:r>
        <w:rPr>
          <w:color w:val="231F20"/>
          <w:spacing w:val="-2"/>
          <w:vertAlign w:val="baseline"/>
        </w:rPr>
        <w:t> </w:t>
      </w:r>
      <w:r>
        <w:rPr>
          <w:color w:val="231F20"/>
          <w:vertAlign w:val="baseline"/>
        </w:rPr>
        <w:t>C.</w:t>
      </w:r>
      <w:r>
        <w:rPr>
          <w:color w:val="231F20"/>
          <w:spacing w:val="-2"/>
          <w:vertAlign w:val="baseline"/>
        </w:rPr>
        <w:t> </w:t>
      </w:r>
      <w:r>
        <w:rPr>
          <w:color w:val="231F20"/>
          <w:vertAlign w:val="baseline"/>
        </w:rPr>
        <w:t>R.,</w:t>
      </w:r>
      <w:r>
        <w:rPr>
          <w:color w:val="231F20"/>
          <w:spacing w:val="-3"/>
          <w:vertAlign w:val="baseline"/>
        </w:rPr>
        <w:t> </w:t>
      </w:r>
      <w:r>
        <w:rPr>
          <w:color w:val="231F20"/>
          <w:vertAlign w:val="baseline"/>
        </w:rPr>
        <w:t>&amp;</w:t>
      </w:r>
      <w:r>
        <w:rPr>
          <w:color w:val="231F20"/>
          <w:spacing w:val="-2"/>
          <w:vertAlign w:val="baseline"/>
        </w:rPr>
        <w:t> </w:t>
      </w:r>
      <w:r>
        <w:rPr>
          <w:color w:val="231F20"/>
          <w:vertAlign w:val="baseline"/>
        </w:rPr>
        <w:t>Karliner,</w:t>
      </w:r>
    </w:p>
    <w:p>
      <w:pPr>
        <w:spacing w:line="228" w:lineRule="auto" w:before="4"/>
        <w:ind w:left="480" w:right="170" w:firstLine="0"/>
        <w:jc w:val="left"/>
        <w:rPr>
          <w:sz w:val="22"/>
        </w:rPr>
      </w:pPr>
      <w:r>
        <w:rPr>
          <w:color w:val="231F20"/>
          <w:sz w:val="22"/>
        </w:rPr>
        <w:t>L. (2020). Addressing equity in telemedicine for</w:t>
      </w:r>
      <w:r>
        <w:rPr>
          <w:color w:val="231F20"/>
          <w:spacing w:val="1"/>
          <w:sz w:val="22"/>
        </w:rPr>
        <w:t> </w:t>
      </w:r>
      <w:r>
        <w:rPr>
          <w:color w:val="231F20"/>
          <w:sz w:val="22"/>
        </w:rPr>
        <w:t>chronic disease management during the COVID-19</w:t>
      </w:r>
      <w:r>
        <w:rPr>
          <w:color w:val="231F20"/>
          <w:spacing w:val="-52"/>
          <w:sz w:val="22"/>
        </w:rPr>
        <w:t> </w:t>
      </w:r>
      <w:r>
        <w:rPr>
          <w:color w:val="231F20"/>
          <w:sz w:val="22"/>
        </w:rPr>
        <w:t>pandemic. </w:t>
      </w:r>
      <w:r>
        <w:rPr>
          <w:i/>
          <w:color w:val="231F20"/>
          <w:sz w:val="22"/>
        </w:rPr>
        <w:t>NEJM Catalyst Innovations in Care</w:t>
      </w:r>
      <w:r>
        <w:rPr>
          <w:i/>
          <w:color w:val="231F20"/>
          <w:spacing w:val="1"/>
          <w:sz w:val="22"/>
        </w:rPr>
        <w:t> </w:t>
      </w:r>
      <w:r>
        <w:rPr>
          <w:i/>
          <w:color w:val="231F20"/>
          <w:sz w:val="22"/>
        </w:rPr>
        <w:t>Delivery, 1</w:t>
      </w:r>
      <w:r>
        <w:rPr>
          <w:color w:val="231F20"/>
          <w:sz w:val="22"/>
        </w:rPr>
        <w:t>(3).</w:t>
      </w:r>
      <w:r>
        <w:rPr>
          <w:color w:val="3953A4"/>
          <w:sz w:val="22"/>
        </w:rPr>
        <w:t> </w:t>
      </w:r>
      <w:hyperlink r:id="rId103">
        <w:r>
          <w:rPr>
            <w:color w:val="3953A4"/>
            <w:sz w:val="22"/>
            <w:u w:val="single" w:color="3953A4"/>
          </w:rPr>
          <w:t>https://catalyst.nejm.org/doi/</w:t>
        </w:r>
      </w:hyperlink>
      <w:r>
        <w:rPr>
          <w:color w:val="3953A4"/>
          <w:spacing w:val="1"/>
          <w:sz w:val="22"/>
        </w:rPr>
        <w:t> </w:t>
      </w:r>
      <w:hyperlink r:id="rId103">
        <w:r>
          <w:rPr>
            <w:color w:val="3953A4"/>
            <w:sz w:val="22"/>
            <w:u w:val="single" w:color="3953A4"/>
          </w:rPr>
          <w:t>full/10.1056/CAT.20.0123</w:t>
        </w:r>
      </w:hyperlink>
    </w:p>
    <w:p>
      <w:pPr>
        <w:tabs>
          <w:tab w:pos="479" w:val="left" w:leader="none"/>
        </w:tabs>
        <w:spacing w:line="228" w:lineRule="auto" w:before="88"/>
        <w:ind w:left="480" w:right="152" w:hanging="360"/>
        <w:jc w:val="left"/>
        <w:rPr>
          <w:sz w:val="22"/>
        </w:rPr>
      </w:pPr>
      <w:r>
        <w:rPr>
          <w:color w:val="231F20"/>
          <w:sz w:val="22"/>
          <w:vertAlign w:val="superscript"/>
        </w:rPr>
        <w:t>3</w:t>
      </w:r>
      <w:r>
        <w:rPr>
          <w:color w:val="231F20"/>
          <w:sz w:val="22"/>
          <w:vertAlign w:val="baseline"/>
        </w:rPr>
        <w:tab/>
      </w:r>
      <w:r>
        <w:rPr>
          <w:color w:val="231F20"/>
          <w:spacing w:val="-4"/>
          <w:sz w:val="22"/>
          <w:vertAlign w:val="baseline"/>
        </w:rPr>
        <w:t>Palimaru, A. I., Sousa, J., Ober, A. J., &amp; Uscher-</w:t>
      </w:r>
      <w:r>
        <w:rPr>
          <w:color w:val="231F20"/>
          <w:spacing w:val="-3"/>
          <w:sz w:val="22"/>
          <w:vertAlign w:val="baseline"/>
        </w:rPr>
        <w:t> </w:t>
      </w:r>
      <w:r>
        <w:rPr>
          <w:color w:val="231F20"/>
          <w:spacing w:val="-4"/>
          <w:sz w:val="22"/>
          <w:vertAlign w:val="baseline"/>
        </w:rPr>
        <w:t>Pines,</w:t>
      </w:r>
      <w:r>
        <w:rPr>
          <w:color w:val="231F20"/>
          <w:spacing w:val="-8"/>
          <w:sz w:val="22"/>
          <w:vertAlign w:val="baseline"/>
        </w:rPr>
        <w:t> </w:t>
      </w:r>
      <w:r>
        <w:rPr>
          <w:color w:val="231F20"/>
          <w:spacing w:val="-4"/>
          <w:sz w:val="22"/>
          <w:vertAlign w:val="baseline"/>
        </w:rPr>
        <w:t>L.</w:t>
      </w:r>
      <w:r>
        <w:rPr>
          <w:color w:val="231F20"/>
          <w:spacing w:val="-8"/>
          <w:sz w:val="22"/>
          <w:vertAlign w:val="baseline"/>
        </w:rPr>
        <w:t> </w:t>
      </w:r>
      <w:r>
        <w:rPr>
          <w:color w:val="231F20"/>
          <w:spacing w:val="-4"/>
          <w:sz w:val="22"/>
          <w:vertAlign w:val="baseline"/>
        </w:rPr>
        <w:t>(2020).</w:t>
      </w:r>
      <w:r>
        <w:rPr>
          <w:color w:val="231F20"/>
          <w:spacing w:val="-8"/>
          <w:sz w:val="22"/>
          <w:vertAlign w:val="baseline"/>
        </w:rPr>
        <w:t> </w:t>
      </w:r>
      <w:r>
        <w:rPr>
          <w:i/>
          <w:color w:val="231F20"/>
          <w:spacing w:val="-4"/>
          <w:sz w:val="22"/>
          <w:vertAlign w:val="baseline"/>
        </w:rPr>
        <w:t>Promising</w:t>
      </w:r>
      <w:r>
        <w:rPr>
          <w:i/>
          <w:color w:val="231F20"/>
          <w:spacing w:val="-8"/>
          <w:sz w:val="22"/>
          <w:vertAlign w:val="baseline"/>
        </w:rPr>
        <w:t> </w:t>
      </w:r>
      <w:r>
        <w:rPr>
          <w:i/>
          <w:color w:val="231F20"/>
          <w:spacing w:val="-4"/>
          <w:sz w:val="22"/>
          <w:vertAlign w:val="baseline"/>
        </w:rPr>
        <w:t>practices</w:t>
      </w:r>
      <w:r>
        <w:rPr>
          <w:i/>
          <w:color w:val="231F20"/>
          <w:spacing w:val="-8"/>
          <w:sz w:val="22"/>
          <w:vertAlign w:val="baseline"/>
        </w:rPr>
        <w:t> </w:t>
      </w:r>
      <w:r>
        <w:rPr>
          <w:i/>
          <w:color w:val="231F20"/>
          <w:spacing w:val="-4"/>
          <w:sz w:val="22"/>
          <w:vertAlign w:val="baseline"/>
        </w:rPr>
        <w:t>for</w:t>
      </w:r>
      <w:r>
        <w:rPr>
          <w:i/>
          <w:color w:val="231F20"/>
          <w:spacing w:val="-8"/>
          <w:sz w:val="22"/>
          <w:vertAlign w:val="baseline"/>
        </w:rPr>
        <w:t> </w:t>
      </w:r>
      <w:r>
        <w:rPr>
          <w:i/>
          <w:color w:val="231F20"/>
          <w:spacing w:val="-4"/>
          <w:sz w:val="22"/>
          <w:vertAlign w:val="baseline"/>
        </w:rPr>
        <w:t>telemedicine</w:t>
      </w:r>
      <w:r>
        <w:rPr>
          <w:i/>
          <w:color w:val="231F20"/>
          <w:spacing w:val="-52"/>
          <w:sz w:val="22"/>
          <w:vertAlign w:val="baseline"/>
        </w:rPr>
        <w:t> </w:t>
      </w:r>
      <w:r>
        <w:rPr>
          <w:i/>
          <w:color w:val="231F20"/>
          <w:spacing w:val="-2"/>
          <w:sz w:val="22"/>
          <w:vertAlign w:val="baseline"/>
        </w:rPr>
        <w:t>implementation</w:t>
      </w:r>
      <w:r>
        <w:rPr>
          <w:color w:val="231F20"/>
          <w:spacing w:val="-2"/>
          <w:sz w:val="22"/>
          <w:vertAlign w:val="baseline"/>
        </w:rPr>
        <w:t>. Santa Monica, Calif.: </w:t>
      </w:r>
      <w:r>
        <w:rPr>
          <w:color w:val="231F20"/>
          <w:spacing w:val="-1"/>
          <w:sz w:val="22"/>
          <w:vertAlign w:val="baseline"/>
        </w:rPr>
        <w:t>RAND</w:t>
      </w:r>
      <w:r>
        <w:rPr>
          <w:color w:val="231F20"/>
          <w:sz w:val="22"/>
          <w:vertAlign w:val="baseline"/>
        </w:rPr>
        <w:t> </w:t>
      </w:r>
      <w:r>
        <w:rPr>
          <w:color w:val="231F20"/>
          <w:spacing w:val="-5"/>
          <w:sz w:val="22"/>
          <w:vertAlign w:val="baseline"/>
        </w:rPr>
        <w:t>Corporation, </w:t>
      </w:r>
      <w:r>
        <w:rPr>
          <w:color w:val="231F20"/>
          <w:spacing w:val="-4"/>
          <w:sz w:val="22"/>
          <w:vertAlign w:val="baseline"/>
        </w:rPr>
        <w:t>RR-A100-4. </w:t>
      </w:r>
      <w:hyperlink r:id="rId265">
        <w:r>
          <w:rPr>
            <w:color w:val="3953A4"/>
            <w:spacing w:val="-4"/>
            <w:sz w:val="22"/>
            <w:u w:val="single" w:color="3953A4"/>
            <w:vertAlign w:val="baseline"/>
          </w:rPr>
          <w:t>https://www.rand.org/pubs/</w:t>
        </w:r>
      </w:hyperlink>
      <w:r>
        <w:rPr>
          <w:color w:val="3953A4"/>
          <w:spacing w:val="-52"/>
          <w:sz w:val="22"/>
          <w:vertAlign w:val="baseline"/>
        </w:rPr>
        <w:t> </w:t>
      </w:r>
      <w:hyperlink r:id="rId265">
        <w:r>
          <w:rPr>
            <w:color w:val="3953A4"/>
            <w:sz w:val="22"/>
            <w:u w:val="single" w:color="3953A4"/>
            <w:vertAlign w:val="baseline"/>
          </w:rPr>
          <w:t>research_reports/RRA100-4.html</w:t>
        </w:r>
      </w:hyperlink>
    </w:p>
    <w:p>
      <w:pPr>
        <w:pStyle w:val="BodyText"/>
        <w:tabs>
          <w:tab w:pos="479" w:val="left" w:leader="none"/>
        </w:tabs>
        <w:spacing w:line="228" w:lineRule="auto" w:before="88"/>
        <w:ind w:left="480" w:right="89" w:hanging="360"/>
      </w:pPr>
      <w:r>
        <w:rPr>
          <w:color w:val="231F20"/>
          <w:vertAlign w:val="superscript"/>
        </w:rPr>
        <w:t>4</w:t>
      </w:r>
      <w:r>
        <w:rPr>
          <w:color w:val="231F20"/>
          <w:vertAlign w:val="baseline"/>
        </w:rPr>
        <w:tab/>
      </w:r>
      <w:r>
        <w:rPr>
          <w:color w:val="231F20"/>
          <w:spacing w:val="-4"/>
          <w:vertAlign w:val="baseline"/>
        </w:rPr>
        <w:t>Morland, L. A., Mackintosh, </w:t>
      </w:r>
      <w:r>
        <w:rPr>
          <w:color w:val="231F20"/>
          <w:spacing w:val="-3"/>
          <w:vertAlign w:val="baseline"/>
        </w:rPr>
        <w:t>M.-A., Greene, C. J.,</w:t>
      </w:r>
      <w:r>
        <w:rPr>
          <w:color w:val="231F20"/>
          <w:spacing w:val="-2"/>
          <w:vertAlign w:val="baseline"/>
        </w:rPr>
        <w:t> </w:t>
      </w:r>
      <w:r>
        <w:rPr>
          <w:color w:val="231F20"/>
          <w:spacing w:val="-3"/>
          <w:vertAlign w:val="baseline"/>
        </w:rPr>
        <w:t>Rosen,</w:t>
      </w:r>
      <w:r>
        <w:rPr>
          <w:color w:val="231F20"/>
          <w:spacing w:val="-11"/>
          <w:vertAlign w:val="baseline"/>
        </w:rPr>
        <w:t> </w:t>
      </w:r>
      <w:r>
        <w:rPr>
          <w:color w:val="231F20"/>
          <w:spacing w:val="-3"/>
          <w:vertAlign w:val="baseline"/>
        </w:rPr>
        <w:t>C.</w:t>
      </w:r>
      <w:r>
        <w:rPr>
          <w:color w:val="231F20"/>
          <w:spacing w:val="-11"/>
          <w:vertAlign w:val="baseline"/>
        </w:rPr>
        <w:t> </w:t>
      </w:r>
      <w:r>
        <w:rPr>
          <w:color w:val="231F20"/>
          <w:spacing w:val="-3"/>
          <w:vertAlign w:val="baseline"/>
        </w:rPr>
        <w:t>S.,</w:t>
      </w:r>
      <w:r>
        <w:rPr>
          <w:color w:val="231F20"/>
          <w:spacing w:val="-11"/>
          <w:vertAlign w:val="baseline"/>
        </w:rPr>
        <w:t> </w:t>
      </w:r>
      <w:r>
        <w:rPr>
          <w:color w:val="231F20"/>
          <w:spacing w:val="-3"/>
          <w:vertAlign w:val="baseline"/>
        </w:rPr>
        <w:t>Chard,</w:t>
      </w:r>
      <w:r>
        <w:rPr>
          <w:color w:val="231F20"/>
          <w:spacing w:val="-10"/>
          <w:vertAlign w:val="baseline"/>
        </w:rPr>
        <w:t> </w:t>
      </w:r>
      <w:r>
        <w:rPr>
          <w:color w:val="231F20"/>
          <w:spacing w:val="-3"/>
          <w:vertAlign w:val="baseline"/>
        </w:rPr>
        <w:t>K.</w:t>
      </w:r>
      <w:r>
        <w:rPr>
          <w:color w:val="231F20"/>
          <w:spacing w:val="-11"/>
          <w:vertAlign w:val="baseline"/>
        </w:rPr>
        <w:t> </w:t>
      </w:r>
      <w:r>
        <w:rPr>
          <w:color w:val="231F20"/>
          <w:spacing w:val="-3"/>
          <w:vertAlign w:val="baseline"/>
        </w:rPr>
        <w:t>M.,</w:t>
      </w:r>
      <w:r>
        <w:rPr>
          <w:color w:val="231F20"/>
          <w:spacing w:val="-11"/>
          <w:vertAlign w:val="baseline"/>
        </w:rPr>
        <w:t> </w:t>
      </w:r>
      <w:r>
        <w:rPr>
          <w:color w:val="231F20"/>
          <w:spacing w:val="-3"/>
          <w:vertAlign w:val="baseline"/>
        </w:rPr>
        <w:t>Resick,</w:t>
      </w:r>
      <w:r>
        <w:rPr>
          <w:color w:val="231F20"/>
          <w:spacing w:val="-10"/>
          <w:vertAlign w:val="baseline"/>
        </w:rPr>
        <w:t> </w:t>
      </w:r>
      <w:r>
        <w:rPr>
          <w:color w:val="231F20"/>
          <w:spacing w:val="-3"/>
          <w:vertAlign w:val="baseline"/>
        </w:rPr>
        <w:t>P.,</w:t>
      </w:r>
      <w:r>
        <w:rPr>
          <w:color w:val="231F20"/>
          <w:spacing w:val="-11"/>
          <w:vertAlign w:val="baseline"/>
        </w:rPr>
        <w:t> </w:t>
      </w:r>
      <w:r>
        <w:rPr>
          <w:color w:val="231F20"/>
          <w:spacing w:val="-3"/>
          <w:vertAlign w:val="baseline"/>
        </w:rPr>
        <w:t>&amp;</w:t>
      </w:r>
      <w:r>
        <w:rPr>
          <w:color w:val="231F20"/>
          <w:spacing w:val="-11"/>
          <w:vertAlign w:val="baseline"/>
        </w:rPr>
        <w:t> </w:t>
      </w:r>
      <w:r>
        <w:rPr>
          <w:color w:val="231F20"/>
          <w:spacing w:val="-2"/>
          <w:vertAlign w:val="baseline"/>
        </w:rPr>
        <w:t>Frueh,</w:t>
      </w:r>
      <w:r>
        <w:rPr>
          <w:color w:val="231F20"/>
          <w:spacing w:val="-10"/>
          <w:vertAlign w:val="baseline"/>
        </w:rPr>
        <w:t> </w:t>
      </w:r>
      <w:r>
        <w:rPr>
          <w:color w:val="231F20"/>
          <w:spacing w:val="-2"/>
          <w:vertAlign w:val="baseline"/>
        </w:rPr>
        <w:t>B.</w:t>
      </w:r>
      <w:r>
        <w:rPr>
          <w:color w:val="231F20"/>
          <w:spacing w:val="-11"/>
          <w:vertAlign w:val="baseline"/>
        </w:rPr>
        <w:t> </w:t>
      </w:r>
      <w:r>
        <w:rPr>
          <w:color w:val="231F20"/>
          <w:spacing w:val="-2"/>
          <w:vertAlign w:val="baseline"/>
        </w:rPr>
        <w:t>C.</w:t>
      </w:r>
      <w:r>
        <w:rPr>
          <w:color w:val="231F20"/>
          <w:spacing w:val="-1"/>
          <w:vertAlign w:val="baseline"/>
        </w:rPr>
        <w:t> </w:t>
      </w:r>
      <w:r>
        <w:rPr>
          <w:color w:val="231F20"/>
          <w:spacing w:val="-4"/>
          <w:vertAlign w:val="baseline"/>
        </w:rPr>
        <w:t>(2014).</w:t>
      </w:r>
      <w:r>
        <w:rPr>
          <w:color w:val="231F20"/>
          <w:spacing w:val="-10"/>
          <w:vertAlign w:val="baseline"/>
        </w:rPr>
        <w:t> </w:t>
      </w:r>
      <w:r>
        <w:rPr>
          <w:color w:val="231F20"/>
          <w:spacing w:val="-4"/>
          <w:vertAlign w:val="baseline"/>
        </w:rPr>
        <w:t>Cognitive</w:t>
      </w:r>
      <w:r>
        <w:rPr>
          <w:color w:val="231F20"/>
          <w:spacing w:val="-9"/>
          <w:vertAlign w:val="baseline"/>
        </w:rPr>
        <w:t> </w:t>
      </w:r>
      <w:r>
        <w:rPr>
          <w:color w:val="231F20"/>
          <w:spacing w:val="-4"/>
          <w:vertAlign w:val="baseline"/>
        </w:rPr>
        <w:t>processing</w:t>
      </w:r>
      <w:r>
        <w:rPr>
          <w:color w:val="231F20"/>
          <w:spacing w:val="-10"/>
          <w:vertAlign w:val="baseline"/>
        </w:rPr>
        <w:t> </w:t>
      </w:r>
      <w:r>
        <w:rPr>
          <w:color w:val="231F20"/>
          <w:spacing w:val="-4"/>
          <w:vertAlign w:val="baseline"/>
        </w:rPr>
        <w:t>therapy</w:t>
      </w:r>
      <w:r>
        <w:rPr>
          <w:color w:val="231F20"/>
          <w:spacing w:val="-9"/>
          <w:vertAlign w:val="baseline"/>
        </w:rPr>
        <w:t> </w:t>
      </w:r>
      <w:r>
        <w:rPr>
          <w:color w:val="231F20"/>
          <w:spacing w:val="-4"/>
          <w:vertAlign w:val="baseline"/>
        </w:rPr>
        <w:t>for</w:t>
      </w:r>
      <w:r>
        <w:rPr>
          <w:color w:val="231F20"/>
          <w:spacing w:val="-10"/>
          <w:vertAlign w:val="baseline"/>
        </w:rPr>
        <w:t> </w:t>
      </w:r>
      <w:r>
        <w:rPr>
          <w:color w:val="231F20"/>
          <w:spacing w:val="-3"/>
          <w:vertAlign w:val="baseline"/>
        </w:rPr>
        <w:t>posttraumatic</w:t>
      </w:r>
      <w:r>
        <w:rPr>
          <w:color w:val="231F20"/>
          <w:spacing w:val="-52"/>
          <w:vertAlign w:val="baseline"/>
        </w:rPr>
        <w:t> </w:t>
      </w:r>
      <w:r>
        <w:rPr>
          <w:color w:val="231F20"/>
          <w:vertAlign w:val="baseline"/>
        </w:rPr>
        <w:t>stress disorder delivered to rural veterans via</w:t>
      </w:r>
      <w:r>
        <w:rPr>
          <w:color w:val="231F20"/>
          <w:spacing w:val="1"/>
          <w:vertAlign w:val="baseline"/>
        </w:rPr>
        <w:t> </w:t>
      </w:r>
      <w:r>
        <w:rPr>
          <w:color w:val="231F20"/>
          <w:spacing w:val="-4"/>
          <w:vertAlign w:val="baseline"/>
        </w:rPr>
        <w:t>telemental</w:t>
      </w:r>
      <w:r>
        <w:rPr>
          <w:color w:val="231F20"/>
          <w:spacing w:val="-6"/>
          <w:vertAlign w:val="baseline"/>
        </w:rPr>
        <w:t> </w:t>
      </w:r>
      <w:r>
        <w:rPr>
          <w:color w:val="231F20"/>
          <w:spacing w:val="-4"/>
          <w:vertAlign w:val="baseline"/>
        </w:rPr>
        <w:t>health:</w:t>
      </w:r>
      <w:r>
        <w:rPr>
          <w:color w:val="231F20"/>
          <w:spacing w:val="-19"/>
          <w:vertAlign w:val="baseline"/>
        </w:rPr>
        <w:t> </w:t>
      </w:r>
      <w:r>
        <w:rPr>
          <w:color w:val="231F20"/>
          <w:spacing w:val="-4"/>
          <w:vertAlign w:val="baseline"/>
        </w:rPr>
        <w:t>A</w:t>
      </w:r>
      <w:r>
        <w:rPr>
          <w:color w:val="231F20"/>
          <w:spacing w:val="-19"/>
          <w:vertAlign w:val="baseline"/>
        </w:rPr>
        <w:t> </w:t>
      </w:r>
      <w:r>
        <w:rPr>
          <w:color w:val="231F20"/>
          <w:spacing w:val="-4"/>
          <w:vertAlign w:val="baseline"/>
        </w:rPr>
        <w:t>randomized</w:t>
      </w:r>
      <w:r>
        <w:rPr>
          <w:color w:val="231F20"/>
          <w:spacing w:val="-6"/>
          <w:vertAlign w:val="baseline"/>
        </w:rPr>
        <w:t> </w:t>
      </w:r>
      <w:r>
        <w:rPr>
          <w:color w:val="231F20"/>
          <w:spacing w:val="-4"/>
          <w:vertAlign w:val="baseline"/>
        </w:rPr>
        <w:t>noninferiority</w:t>
      </w:r>
      <w:r>
        <w:rPr>
          <w:color w:val="231F20"/>
          <w:spacing w:val="-5"/>
          <w:vertAlign w:val="baseline"/>
        </w:rPr>
        <w:t> </w:t>
      </w:r>
      <w:r>
        <w:rPr>
          <w:color w:val="231F20"/>
          <w:spacing w:val="-3"/>
          <w:vertAlign w:val="baseline"/>
        </w:rPr>
        <w:t>clinical</w:t>
      </w:r>
      <w:r>
        <w:rPr>
          <w:color w:val="231F20"/>
          <w:spacing w:val="-52"/>
          <w:vertAlign w:val="baseline"/>
        </w:rPr>
        <w:t> </w:t>
      </w:r>
      <w:r>
        <w:rPr>
          <w:color w:val="231F20"/>
          <w:spacing w:val="-4"/>
          <w:vertAlign w:val="baseline"/>
        </w:rPr>
        <w:t>trial. </w:t>
      </w:r>
      <w:r>
        <w:rPr>
          <w:i/>
          <w:color w:val="231F20"/>
          <w:spacing w:val="-4"/>
          <w:vertAlign w:val="baseline"/>
        </w:rPr>
        <w:t>Journal of Clinical Psychiatry, </w:t>
      </w:r>
      <w:r>
        <w:rPr>
          <w:i/>
          <w:color w:val="231F20"/>
          <w:spacing w:val="-3"/>
          <w:vertAlign w:val="baseline"/>
        </w:rPr>
        <w:t>75</w:t>
      </w:r>
      <w:r>
        <w:rPr>
          <w:color w:val="231F20"/>
          <w:spacing w:val="-3"/>
          <w:vertAlign w:val="baseline"/>
        </w:rPr>
        <w:t>(5), 470-476.</w:t>
      </w:r>
      <w:r>
        <w:rPr>
          <w:color w:val="231F20"/>
          <w:spacing w:val="-2"/>
          <w:vertAlign w:val="baseline"/>
        </w:rPr>
        <w:t> </w:t>
      </w:r>
      <w:hyperlink r:id="rId95">
        <w:r>
          <w:rPr>
            <w:color w:val="3953A4"/>
            <w:u w:val="single" w:color="3953A4"/>
            <w:vertAlign w:val="baseline"/>
          </w:rPr>
          <w:t>https://doi.org/10.4088/JCP.13m08842</w:t>
        </w:r>
      </w:hyperlink>
    </w:p>
    <w:p>
      <w:pPr>
        <w:pStyle w:val="BodyText"/>
        <w:tabs>
          <w:tab w:pos="479" w:val="left" w:leader="none"/>
        </w:tabs>
        <w:spacing w:line="246" w:lineRule="exact" w:before="78"/>
        <w:ind w:left="120"/>
      </w:pPr>
      <w:r>
        <w:rPr>
          <w:color w:val="231F20"/>
          <w:vertAlign w:val="superscript"/>
        </w:rPr>
        <w:t>5</w:t>
      </w:r>
      <w:r>
        <w:rPr>
          <w:color w:val="231F20"/>
          <w:vertAlign w:val="baseline"/>
        </w:rPr>
        <w:tab/>
        <w:t>Choi,</w:t>
      </w:r>
      <w:r>
        <w:rPr>
          <w:color w:val="231F20"/>
          <w:spacing w:val="-2"/>
          <w:vertAlign w:val="baseline"/>
        </w:rPr>
        <w:t> </w:t>
      </w:r>
      <w:r>
        <w:rPr>
          <w:color w:val="231F20"/>
          <w:vertAlign w:val="baseline"/>
        </w:rPr>
        <w:t>N.</w:t>
      </w:r>
      <w:r>
        <w:rPr>
          <w:color w:val="231F20"/>
          <w:spacing w:val="-2"/>
          <w:vertAlign w:val="baseline"/>
        </w:rPr>
        <w:t> </w:t>
      </w:r>
      <w:r>
        <w:rPr>
          <w:color w:val="231F20"/>
          <w:vertAlign w:val="baseline"/>
        </w:rPr>
        <w:t>G.,</w:t>
      </w:r>
      <w:r>
        <w:rPr>
          <w:color w:val="231F20"/>
          <w:spacing w:val="-2"/>
          <w:vertAlign w:val="baseline"/>
        </w:rPr>
        <w:t> </w:t>
      </w:r>
      <w:r>
        <w:rPr>
          <w:color w:val="231F20"/>
          <w:vertAlign w:val="baseline"/>
        </w:rPr>
        <w:t>Hegel,</w:t>
      </w:r>
      <w:r>
        <w:rPr>
          <w:color w:val="231F20"/>
          <w:spacing w:val="-1"/>
          <w:vertAlign w:val="baseline"/>
        </w:rPr>
        <w:t> </w:t>
      </w:r>
      <w:r>
        <w:rPr>
          <w:color w:val="231F20"/>
          <w:vertAlign w:val="baseline"/>
        </w:rPr>
        <w:t>M.</w:t>
      </w:r>
      <w:r>
        <w:rPr>
          <w:color w:val="231F20"/>
          <w:spacing w:val="-6"/>
          <w:vertAlign w:val="baseline"/>
        </w:rPr>
        <w:t> </w:t>
      </w:r>
      <w:r>
        <w:rPr>
          <w:color w:val="231F20"/>
          <w:vertAlign w:val="baseline"/>
        </w:rPr>
        <w:t>T.,</w:t>
      </w:r>
      <w:r>
        <w:rPr>
          <w:color w:val="231F20"/>
          <w:spacing w:val="-1"/>
          <w:vertAlign w:val="baseline"/>
        </w:rPr>
        <w:t> </w:t>
      </w:r>
      <w:r>
        <w:rPr>
          <w:color w:val="231F20"/>
          <w:vertAlign w:val="baseline"/>
        </w:rPr>
        <w:t>Marti,</w:t>
      </w:r>
      <w:r>
        <w:rPr>
          <w:color w:val="231F20"/>
          <w:spacing w:val="-2"/>
          <w:vertAlign w:val="baseline"/>
        </w:rPr>
        <w:t> </w:t>
      </w:r>
      <w:r>
        <w:rPr>
          <w:color w:val="231F20"/>
          <w:vertAlign w:val="baseline"/>
        </w:rPr>
        <w:t>C.</w:t>
      </w:r>
      <w:r>
        <w:rPr>
          <w:color w:val="231F20"/>
          <w:spacing w:val="-2"/>
          <w:vertAlign w:val="baseline"/>
        </w:rPr>
        <w:t> </w:t>
      </w:r>
      <w:r>
        <w:rPr>
          <w:color w:val="231F20"/>
          <w:vertAlign w:val="baseline"/>
        </w:rPr>
        <w:t>N.,</w:t>
      </w:r>
      <w:r>
        <w:rPr>
          <w:color w:val="231F20"/>
          <w:spacing w:val="-1"/>
          <w:vertAlign w:val="baseline"/>
        </w:rPr>
        <w:t> </w:t>
      </w:r>
      <w:r>
        <w:rPr>
          <w:color w:val="231F20"/>
          <w:vertAlign w:val="baseline"/>
        </w:rPr>
        <w:t>Marinucci,</w:t>
      </w:r>
    </w:p>
    <w:p>
      <w:pPr>
        <w:spacing w:line="228" w:lineRule="auto" w:before="4"/>
        <w:ind w:left="480" w:right="136" w:firstLine="0"/>
        <w:jc w:val="left"/>
        <w:rPr>
          <w:sz w:val="22"/>
        </w:rPr>
      </w:pPr>
      <w:r>
        <w:rPr>
          <w:color w:val="231F20"/>
          <w:sz w:val="22"/>
        </w:rPr>
        <w:t>M. L., Sirrianni, L., &amp; Bruce, M. L. (2014).</w:t>
      </w:r>
      <w:r>
        <w:rPr>
          <w:color w:val="231F20"/>
          <w:spacing w:val="1"/>
          <w:sz w:val="22"/>
        </w:rPr>
        <w:t> </w:t>
      </w:r>
      <w:r>
        <w:rPr>
          <w:color w:val="231F20"/>
          <w:sz w:val="22"/>
        </w:rPr>
        <w:t>Telehealth problem-solving therapy for depressed</w:t>
      </w:r>
      <w:r>
        <w:rPr>
          <w:color w:val="231F20"/>
          <w:spacing w:val="1"/>
          <w:sz w:val="22"/>
        </w:rPr>
        <w:t> </w:t>
      </w:r>
      <w:r>
        <w:rPr>
          <w:color w:val="231F20"/>
          <w:sz w:val="22"/>
        </w:rPr>
        <w:t>low-income</w:t>
      </w:r>
      <w:r>
        <w:rPr>
          <w:color w:val="231F20"/>
          <w:spacing w:val="-4"/>
          <w:sz w:val="22"/>
        </w:rPr>
        <w:t> </w:t>
      </w:r>
      <w:r>
        <w:rPr>
          <w:color w:val="231F20"/>
          <w:sz w:val="22"/>
        </w:rPr>
        <w:t>homebound</w:t>
      </w:r>
      <w:r>
        <w:rPr>
          <w:color w:val="231F20"/>
          <w:spacing w:val="-3"/>
          <w:sz w:val="22"/>
        </w:rPr>
        <w:t> </w:t>
      </w:r>
      <w:r>
        <w:rPr>
          <w:color w:val="231F20"/>
          <w:sz w:val="22"/>
        </w:rPr>
        <w:t>older</w:t>
      </w:r>
      <w:r>
        <w:rPr>
          <w:color w:val="231F20"/>
          <w:spacing w:val="-3"/>
          <w:sz w:val="22"/>
        </w:rPr>
        <w:t> </w:t>
      </w:r>
      <w:r>
        <w:rPr>
          <w:color w:val="231F20"/>
          <w:sz w:val="22"/>
        </w:rPr>
        <w:t>adults.</w:t>
      </w:r>
      <w:r>
        <w:rPr>
          <w:color w:val="231F20"/>
          <w:spacing w:val="-4"/>
          <w:sz w:val="22"/>
        </w:rPr>
        <w:t> </w:t>
      </w:r>
      <w:r>
        <w:rPr>
          <w:i/>
          <w:color w:val="231F20"/>
          <w:sz w:val="22"/>
        </w:rPr>
        <w:t>The</w:t>
      </w:r>
      <w:r>
        <w:rPr>
          <w:i/>
          <w:color w:val="231F20"/>
          <w:spacing w:val="-7"/>
          <w:sz w:val="22"/>
        </w:rPr>
        <w:t> </w:t>
      </w:r>
      <w:r>
        <w:rPr>
          <w:i/>
          <w:color w:val="231F20"/>
          <w:sz w:val="22"/>
        </w:rPr>
        <w:t>American</w:t>
      </w:r>
      <w:r>
        <w:rPr>
          <w:i/>
          <w:color w:val="231F20"/>
          <w:spacing w:val="-52"/>
          <w:sz w:val="22"/>
        </w:rPr>
        <w:t> </w:t>
      </w:r>
      <w:r>
        <w:rPr>
          <w:i/>
          <w:color w:val="231F20"/>
          <w:sz w:val="22"/>
        </w:rPr>
        <w:t>Journal of Geriatric Psychiatry, 22</w:t>
      </w:r>
      <w:r>
        <w:rPr>
          <w:color w:val="231F20"/>
          <w:sz w:val="22"/>
        </w:rPr>
        <w:t>(3), 263-271.</w:t>
      </w:r>
      <w:r>
        <w:rPr>
          <w:color w:val="3953A4"/>
          <w:spacing w:val="1"/>
          <w:sz w:val="22"/>
        </w:rPr>
        <w:t> </w:t>
      </w:r>
      <w:hyperlink r:id="rId96">
        <w:r>
          <w:rPr>
            <w:color w:val="3953A4"/>
            <w:sz w:val="22"/>
            <w:u w:val="single" w:color="3953A4"/>
          </w:rPr>
          <w:t>https://pubmed.ncbi.nlm.nih.gov/23567376/</w:t>
        </w:r>
      </w:hyperlink>
    </w:p>
    <w:p>
      <w:pPr>
        <w:pStyle w:val="BodyText"/>
        <w:tabs>
          <w:tab w:pos="479" w:val="left" w:leader="none"/>
        </w:tabs>
        <w:spacing w:line="228" w:lineRule="auto" w:before="88"/>
        <w:ind w:left="479" w:right="320" w:hanging="360"/>
      </w:pPr>
      <w:r>
        <w:rPr>
          <w:color w:val="231F20"/>
          <w:vertAlign w:val="superscript"/>
        </w:rPr>
        <w:t>6</w:t>
      </w:r>
      <w:r>
        <w:rPr>
          <w:color w:val="231F20"/>
          <w:vertAlign w:val="baseline"/>
        </w:rPr>
        <w:tab/>
        <w:t>Engel-Smiht, L. (2020). COVID breathes life into</w:t>
      </w:r>
      <w:r>
        <w:rPr>
          <w:color w:val="231F20"/>
          <w:spacing w:val="-52"/>
          <w:vertAlign w:val="baseline"/>
        </w:rPr>
        <w:t> </w:t>
      </w:r>
      <w:r>
        <w:rPr>
          <w:color w:val="231F20"/>
          <w:vertAlign w:val="baseline"/>
        </w:rPr>
        <w:t>North Carolina’s rural telehealth, but broadband</w:t>
      </w:r>
      <w:r>
        <w:rPr>
          <w:color w:val="231F20"/>
          <w:spacing w:val="1"/>
          <w:vertAlign w:val="baseline"/>
        </w:rPr>
        <w:t> </w:t>
      </w:r>
      <w:r>
        <w:rPr>
          <w:color w:val="231F20"/>
          <w:vertAlign w:val="baseline"/>
        </w:rPr>
        <w:t>remains an</w:t>
      </w:r>
      <w:r>
        <w:rPr>
          <w:color w:val="231F20"/>
          <w:spacing w:val="1"/>
          <w:vertAlign w:val="baseline"/>
        </w:rPr>
        <w:t> </w:t>
      </w:r>
      <w:r>
        <w:rPr>
          <w:color w:val="231F20"/>
          <w:vertAlign w:val="baseline"/>
        </w:rPr>
        <w:t>obstacle.</w:t>
      </w:r>
      <w:r>
        <w:rPr>
          <w:color w:val="231F20"/>
          <w:spacing w:val="1"/>
          <w:vertAlign w:val="baseline"/>
        </w:rPr>
        <w:t> </w:t>
      </w:r>
      <w:r>
        <w:rPr>
          <w:i/>
          <w:color w:val="231F20"/>
          <w:vertAlign w:val="baseline"/>
        </w:rPr>
        <w:t>North</w:t>
      </w:r>
      <w:r>
        <w:rPr>
          <w:i/>
          <w:color w:val="231F20"/>
          <w:spacing w:val="1"/>
          <w:vertAlign w:val="baseline"/>
        </w:rPr>
        <w:t> </w:t>
      </w:r>
      <w:r>
        <w:rPr>
          <w:i/>
          <w:color w:val="231F20"/>
          <w:vertAlign w:val="baseline"/>
        </w:rPr>
        <w:t>Carolina</w:t>
      </w:r>
      <w:r>
        <w:rPr>
          <w:i/>
          <w:color w:val="231F20"/>
          <w:spacing w:val="1"/>
          <w:vertAlign w:val="baseline"/>
        </w:rPr>
        <w:t> </w:t>
      </w:r>
      <w:r>
        <w:rPr>
          <w:i/>
          <w:color w:val="231F20"/>
          <w:vertAlign w:val="baseline"/>
        </w:rPr>
        <w:t>Health</w:t>
      </w:r>
      <w:r>
        <w:rPr>
          <w:i/>
          <w:color w:val="231F20"/>
          <w:spacing w:val="1"/>
          <w:vertAlign w:val="baseline"/>
        </w:rPr>
        <w:t> </w:t>
      </w:r>
      <w:r>
        <w:rPr>
          <w:i/>
          <w:color w:val="231F20"/>
          <w:vertAlign w:val="baseline"/>
        </w:rPr>
        <w:t>News</w:t>
      </w:r>
      <w:r>
        <w:rPr>
          <w:color w:val="231F20"/>
          <w:vertAlign w:val="baseline"/>
        </w:rPr>
        <w:t>. </w:t>
      </w:r>
      <w:hyperlink r:id="rId266">
        <w:r>
          <w:rPr>
            <w:color w:val="3953A4"/>
            <w:u w:val="single" w:color="3953A4"/>
            <w:vertAlign w:val="baseline"/>
          </w:rPr>
          <w:t>https://www.northcarolinahealthnews.</w:t>
        </w:r>
      </w:hyperlink>
      <w:r>
        <w:rPr>
          <w:color w:val="3953A4"/>
          <w:spacing w:val="1"/>
          <w:vertAlign w:val="baseline"/>
        </w:rPr>
        <w:t> </w:t>
      </w:r>
      <w:hyperlink r:id="rId266">
        <w:r>
          <w:rPr>
            <w:color w:val="3953A4"/>
            <w:u w:val="single" w:color="3953A4"/>
            <w:vertAlign w:val="baseline"/>
          </w:rPr>
          <w:t>org/2020/05/14/coronavirus-rural-telehealth/</w:t>
        </w:r>
      </w:hyperlink>
    </w:p>
    <w:p>
      <w:pPr>
        <w:pStyle w:val="BodyText"/>
        <w:tabs>
          <w:tab w:pos="479" w:val="left" w:leader="none"/>
        </w:tabs>
        <w:spacing w:line="246" w:lineRule="exact" w:before="78"/>
        <w:ind w:left="120"/>
      </w:pPr>
      <w:r>
        <w:rPr>
          <w:color w:val="231F20"/>
          <w:vertAlign w:val="superscript"/>
        </w:rPr>
        <w:t>7</w:t>
      </w:r>
      <w:r>
        <w:rPr>
          <w:color w:val="231F20"/>
          <w:vertAlign w:val="baseline"/>
        </w:rPr>
        <w:tab/>
      </w:r>
      <w:r>
        <w:rPr>
          <w:color w:val="231F20"/>
          <w:spacing w:val="-1"/>
          <w:vertAlign w:val="baseline"/>
        </w:rPr>
        <w:t>Schueller, </w:t>
      </w:r>
      <w:r>
        <w:rPr>
          <w:color w:val="231F20"/>
          <w:vertAlign w:val="baseline"/>
        </w:rPr>
        <w:t>S.</w:t>
      </w:r>
      <w:r>
        <w:rPr>
          <w:color w:val="231F20"/>
          <w:spacing w:val="-1"/>
          <w:vertAlign w:val="baseline"/>
        </w:rPr>
        <w:t> </w:t>
      </w:r>
      <w:r>
        <w:rPr>
          <w:color w:val="231F20"/>
          <w:vertAlign w:val="baseline"/>
        </w:rPr>
        <w:t>M.,</w:t>
      </w:r>
      <w:r>
        <w:rPr>
          <w:color w:val="231F20"/>
          <w:spacing w:val="-1"/>
          <w:vertAlign w:val="baseline"/>
        </w:rPr>
        <w:t> </w:t>
      </w:r>
      <w:r>
        <w:rPr>
          <w:color w:val="231F20"/>
          <w:vertAlign w:val="baseline"/>
        </w:rPr>
        <w:t>Glover,</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C.,</w:t>
      </w:r>
      <w:r>
        <w:rPr>
          <w:color w:val="231F20"/>
          <w:spacing w:val="-1"/>
          <w:vertAlign w:val="baseline"/>
        </w:rPr>
        <w:t> </w:t>
      </w:r>
      <w:r>
        <w:rPr>
          <w:color w:val="231F20"/>
          <w:vertAlign w:val="baseline"/>
        </w:rPr>
        <w:t>Rufa,</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K.,</w:t>
      </w:r>
      <w:r>
        <w:rPr>
          <w:color w:val="231F20"/>
          <w:spacing w:val="-1"/>
          <w:vertAlign w:val="baseline"/>
        </w:rPr>
        <w:t> </w:t>
      </w:r>
      <w:r>
        <w:rPr>
          <w:color w:val="231F20"/>
          <w:vertAlign w:val="baseline"/>
        </w:rPr>
        <w:t>Dowdle,</w:t>
      </w:r>
    </w:p>
    <w:p>
      <w:pPr>
        <w:pStyle w:val="BodyText"/>
        <w:spacing w:line="228" w:lineRule="auto" w:before="4"/>
        <w:ind w:left="480" w:right="38"/>
      </w:pPr>
      <w:r>
        <w:rPr>
          <w:color w:val="231F20"/>
        </w:rPr>
        <w:t>C. L., Gross, G. D., Karnik, N. S., &amp; Zalta, A. K.</w:t>
      </w:r>
      <w:r>
        <w:rPr>
          <w:color w:val="231F20"/>
          <w:spacing w:val="1"/>
        </w:rPr>
        <w:t> </w:t>
      </w:r>
      <w:r>
        <w:rPr>
          <w:color w:val="231F20"/>
        </w:rPr>
        <w:t>(2019). A mobile phone–based intervention to</w:t>
      </w:r>
      <w:r>
        <w:rPr>
          <w:color w:val="231F20"/>
          <w:spacing w:val="1"/>
        </w:rPr>
        <w:t> </w:t>
      </w:r>
      <w:r>
        <w:rPr>
          <w:color w:val="231F20"/>
        </w:rPr>
        <w:t>improve mental health among homeless young</w:t>
      </w:r>
      <w:r>
        <w:rPr>
          <w:color w:val="231F20"/>
          <w:spacing w:val="1"/>
        </w:rPr>
        <w:t> </w:t>
      </w:r>
      <w:r>
        <w:rPr>
          <w:color w:val="231F20"/>
        </w:rPr>
        <w:t>adults: Pilot feasibility trial. </w:t>
      </w:r>
      <w:r>
        <w:rPr>
          <w:i/>
          <w:color w:val="231F20"/>
        </w:rPr>
        <w:t>JMIR mHealth and</w:t>
      </w:r>
      <w:r>
        <w:rPr>
          <w:i/>
          <w:color w:val="231F20"/>
          <w:spacing w:val="1"/>
        </w:rPr>
        <w:t> </w:t>
      </w:r>
      <w:r>
        <w:rPr>
          <w:i/>
          <w:color w:val="231F20"/>
        </w:rPr>
        <w:t>uHealth,</w:t>
      </w:r>
      <w:r>
        <w:rPr>
          <w:i/>
          <w:color w:val="231F20"/>
          <w:spacing w:val="-8"/>
        </w:rPr>
        <w:t> </w:t>
      </w:r>
      <w:r>
        <w:rPr>
          <w:i/>
          <w:color w:val="231F20"/>
        </w:rPr>
        <w:t>7</w:t>
      </w:r>
      <w:r>
        <w:rPr>
          <w:color w:val="231F20"/>
        </w:rPr>
        <w:t>(7),</w:t>
      </w:r>
      <w:r>
        <w:rPr>
          <w:color w:val="231F20"/>
          <w:spacing w:val="-7"/>
        </w:rPr>
        <w:t> </w:t>
      </w:r>
      <w:r>
        <w:rPr>
          <w:color w:val="231F20"/>
        </w:rPr>
        <w:t>e12347.</w:t>
      </w:r>
      <w:r>
        <w:rPr>
          <w:color w:val="3953A4"/>
          <w:spacing w:val="-7"/>
        </w:rPr>
        <w:t> </w:t>
      </w:r>
      <w:hyperlink r:id="rId267">
        <w:r>
          <w:rPr>
            <w:color w:val="3953A4"/>
            <w:u w:val="single" w:color="3953A4"/>
          </w:rPr>
          <w:t>https://doi.org/10.2196/12347</w:t>
        </w:r>
      </w:hyperlink>
    </w:p>
    <w:p>
      <w:pPr>
        <w:pStyle w:val="BodyText"/>
        <w:tabs>
          <w:tab w:pos="479" w:val="left" w:leader="none"/>
        </w:tabs>
        <w:spacing w:line="228" w:lineRule="auto" w:before="88"/>
        <w:ind w:left="480" w:right="225" w:hanging="360"/>
      </w:pPr>
      <w:r>
        <w:rPr>
          <w:color w:val="231F20"/>
          <w:vertAlign w:val="superscript"/>
        </w:rPr>
        <w:t>8</w:t>
      </w:r>
      <w:r>
        <w:rPr>
          <w:color w:val="231F20"/>
          <w:vertAlign w:val="baseline"/>
        </w:rPr>
        <w:tab/>
      </w:r>
      <w:r>
        <w:rPr>
          <w:color w:val="231F20"/>
          <w:spacing w:val="-4"/>
          <w:vertAlign w:val="baseline"/>
        </w:rPr>
        <w:t>Brenes, G. A., Miller, M. E., Williamson, </w:t>
      </w:r>
      <w:r>
        <w:rPr>
          <w:color w:val="231F20"/>
          <w:spacing w:val="-3"/>
          <w:vertAlign w:val="baseline"/>
        </w:rPr>
        <w:t>J. D.,</w:t>
      </w:r>
      <w:r>
        <w:rPr>
          <w:color w:val="231F20"/>
          <w:spacing w:val="-2"/>
          <w:vertAlign w:val="baseline"/>
        </w:rPr>
        <w:t> </w:t>
      </w:r>
      <w:r>
        <w:rPr>
          <w:color w:val="231F20"/>
          <w:spacing w:val="-6"/>
          <w:vertAlign w:val="baseline"/>
        </w:rPr>
        <w:t>McCall, W. V., Knudson, </w:t>
      </w:r>
      <w:r>
        <w:rPr>
          <w:color w:val="231F20"/>
          <w:spacing w:val="-5"/>
          <w:vertAlign w:val="baseline"/>
        </w:rPr>
        <w:t>M., &amp; Stanley, M. A.</w:t>
      </w:r>
      <w:r>
        <w:rPr>
          <w:color w:val="231F20"/>
          <w:spacing w:val="-4"/>
          <w:vertAlign w:val="baseline"/>
        </w:rPr>
        <w:t> (2012). A randomized controlled </w:t>
      </w:r>
      <w:r>
        <w:rPr>
          <w:color w:val="231F20"/>
          <w:spacing w:val="-3"/>
          <w:vertAlign w:val="baseline"/>
        </w:rPr>
        <w:t>trial of telephone-</w:t>
      </w:r>
      <w:r>
        <w:rPr>
          <w:color w:val="231F20"/>
          <w:spacing w:val="-2"/>
          <w:vertAlign w:val="baseline"/>
        </w:rPr>
        <w:t> </w:t>
      </w:r>
      <w:r>
        <w:rPr>
          <w:color w:val="231F20"/>
          <w:spacing w:val="-4"/>
          <w:vertAlign w:val="baseline"/>
        </w:rPr>
        <w:t>delivered cognitive-behavioral </w:t>
      </w:r>
      <w:r>
        <w:rPr>
          <w:color w:val="231F20"/>
          <w:spacing w:val="-3"/>
          <w:vertAlign w:val="baseline"/>
        </w:rPr>
        <w:t>therapy for late-life</w:t>
      </w:r>
      <w:r>
        <w:rPr>
          <w:color w:val="231F20"/>
          <w:spacing w:val="-2"/>
          <w:vertAlign w:val="baseline"/>
        </w:rPr>
        <w:t> </w:t>
      </w:r>
      <w:r>
        <w:rPr>
          <w:color w:val="231F20"/>
          <w:spacing w:val="-4"/>
          <w:vertAlign w:val="baseline"/>
        </w:rPr>
        <w:t>anxiety</w:t>
      </w:r>
      <w:r>
        <w:rPr>
          <w:color w:val="231F20"/>
          <w:spacing w:val="-8"/>
          <w:vertAlign w:val="baseline"/>
        </w:rPr>
        <w:t> </w:t>
      </w:r>
      <w:r>
        <w:rPr>
          <w:color w:val="231F20"/>
          <w:spacing w:val="-4"/>
          <w:vertAlign w:val="baseline"/>
        </w:rPr>
        <w:t>disorders.</w:t>
      </w:r>
      <w:r>
        <w:rPr>
          <w:color w:val="231F20"/>
          <w:spacing w:val="-9"/>
          <w:vertAlign w:val="baseline"/>
        </w:rPr>
        <w:t> </w:t>
      </w:r>
      <w:r>
        <w:rPr>
          <w:i/>
          <w:color w:val="231F20"/>
          <w:spacing w:val="-4"/>
          <w:vertAlign w:val="baseline"/>
        </w:rPr>
        <w:t>The</w:t>
      </w:r>
      <w:r>
        <w:rPr>
          <w:i/>
          <w:color w:val="231F20"/>
          <w:spacing w:val="-12"/>
          <w:vertAlign w:val="baseline"/>
        </w:rPr>
        <w:t> </w:t>
      </w:r>
      <w:r>
        <w:rPr>
          <w:i/>
          <w:color w:val="231F20"/>
          <w:spacing w:val="-4"/>
          <w:vertAlign w:val="baseline"/>
        </w:rPr>
        <w:t>American</w:t>
      </w:r>
      <w:r>
        <w:rPr>
          <w:i/>
          <w:color w:val="231F20"/>
          <w:spacing w:val="-8"/>
          <w:vertAlign w:val="baseline"/>
        </w:rPr>
        <w:t> </w:t>
      </w:r>
      <w:r>
        <w:rPr>
          <w:i/>
          <w:color w:val="231F20"/>
          <w:spacing w:val="-4"/>
          <w:vertAlign w:val="baseline"/>
        </w:rPr>
        <w:t>Journal</w:t>
      </w:r>
      <w:r>
        <w:rPr>
          <w:i/>
          <w:color w:val="231F20"/>
          <w:spacing w:val="-8"/>
          <w:vertAlign w:val="baseline"/>
        </w:rPr>
        <w:t> </w:t>
      </w:r>
      <w:r>
        <w:rPr>
          <w:i/>
          <w:color w:val="231F20"/>
          <w:spacing w:val="-4"/>
          <w:vertAlign w:val="baseline"/>
        </w:rPr>
        <w:t>of</w:t>
      </w:r>
      <w:r>
        <w:rPr>
          <w:i/>
          <w:color w:val="231F20"/>
          <w:spacing w:val="-7"/>
          <w:vertAlign w:val="baseline"/>
        </w:rPr>
        <w:t> </w:t>
      </w:r>
      <w:r>
        <w:rPr>
          <w:i/>
          <w:color w:val="231F20"/>
          <w:spacing w:val="-3"/>
          <w:vertAlign w:val="baseline"/>
        </w:rPr>
        <w:t>Geriatric</w:t>
      </w:r>
      <w:r>
        <w:rPr>
          <w:i/>
          <w:color w:val="231F20"/>
          <w:spacing w:val="-52"/>
          <w:vertAlign w:val="baseline"/>
        </w:rPr>
        <w:t> </w:t>
      </w:r>
      <w:r>
        <w:rPr>
          <w:i/>
          <w:color w:val="231F20"/>
          <w:spacing w:val="-4"/>
          <w:vertAlign w:val="baseline"/>
        </w:rPr>
        <w:t>Psychiatry, 20</w:t>
      </w:r>
      <w:r>
        <w:rPr>
          <w:color w:val="231F20"/>
          <w:spacing w:val="-4"/>
          <w:vertAlign w:val="baseline"/>
        </w:rPr>
        <w:t>(8), 707-716. </w:t>
      </w:r>
      <w:hyperlink r:id="rId268">
        <w:r>
          <w:rPr>
            <w:color w:val="3953A4"/>
            <w:spacing w:val="-4"/>
            <w:u w:val="single" w:color="3953A4"/>
            <w:vertAlign w:val="baseline"/>
          </w:rPr>
          <w:t>https://doi.org/10.1097/</w:t>
        </w:r>
      </w:hyperlink>
      <w:r>
        <w:rPr>
          <w:color w:val="3953A4"/>
          <w:spacing w:val="-3"/>
          <w:vertAlign w:val="baseline"/>
        </w:rPr>
        <w:t> </w:t>
      </w:r>
      <w:hyperlink r:id="rId268">
        <w:r>
          <w:rPr>
            <w:color w:val="3953A4"/>
            <w:u w:val="single" w:color="3953A4"/>
            <w:vertAlign w:val="baseline"/>
          </w:rPr>
          <w:t>JGP.0b013e31822ccd3e</w:t>
        </w:r>
      </w:hyperlink>
    </w:p>
    <w:p>
      <w:pPr>
        <w:pStyle w:val="BodyText"/>
        <w:tabs>
          <w:tab w:pos="479" w:val="left" w:leader="none"/>
        </w:tabs>
        <w:spacing w:line="228" w:lineRule="auto" w:before="101"/>
        <w:ind w:left="480" w:right="846" w:hanging="360"/>
      </w:pPr>
      <w:r>
        <w:rPr/>
        <w:br w:type="column"/>
      </w:r>
      <w:r>
        <w:rPr>
          <w:color w:val="231F20"/>
          <w:vertAlign w:val="superscript"/>
        </w:rPr>
        <w:t>9</w:t>
      </w:r>
      <w:r>
        <w:rPr>
          <w:color w:val="231F20"/>
          <w:vertAlign w:val="baseline"/>
        </w:rPr>
        <w:tab/>
        <w:t>Tutty, S., Ludman, E. J., &amp; Simon, G. (2005).</w:t>
      </w:r>
      <w:r>
        <w:rPr>
          <w:color w:val="231F20"/>
          <w:spacing w:val="1"/>
          <w:vertAlign w:val="baseline"/>
        </w:rPr>
        <w:t> </w:t>
      </w:r>
      <w:r>
        <w:rPr>
          <w:color w:val="231F20"/>
          <w:vertAlign w:val="baseline"/>
        </w:rPr>
        <w:t>Feasibility and acceptability of a telephone</w:t>
      </w:r>
      <w:r>
        <w:rPr>
          <w:color w:val="231F20"/>
          <w:spacing w:val="1"/>
          <w:vertAlign w:val="baseline"/>
        </w:rPr>
        <w:t> </w:t>
      </w:r>
      <w:r>
        <w:rPr>
          <w:color w:val="231F20"/>
          <w:vertAlign w:val="baseline"/>
        </w:rPr>
        <w:t>psychotherapy program for depressed adults treated</w:t>
      </w:r>
      <w:r>
        <w:rPr>
          <w:color w:val="231F20"/>
          <w:spacing w:val="-53"/>
          <w:vertAlign w:val="baseline"/>
        </w:rPr>
        <w:t> </w:t>
      </w:r>
      <w:r>
        <w:rPr>
          <w:color w:val="231F20"/>
          <w:vertAlign w:val="baseline"/>
        </w:rPr>
        <w:t>in primary care. </w:t>
      </w:r>
      <w:r>
        <w:rPr>
          <w:i/>
          <w:color w:val="231F20"/>
          <w:vertAlign w:val="baseline"/>
        </w:rPr>
        <w:t>General Hospital Psychiatry,</w:t>
      </w:r>
      <w:r>
        <w:rPr>
          <w:i/>
          <w:color w:val="231F20"/>
          <w:spacing w:val="1"/>
          <w:vertAlign w:val="baseline"/>
        </w:rPr>
        <w:t> </w:t>
      </w:r>
      <w:r>
        <w:rPr>
          <w:i/>
          <w:color w:val="231F20"/>
          <w:vertAlign w:val="baseline"/>
        </w:rPr>
        <w:t>27</w:t>
      </w:r>
      <w:r>
        <w:rPr>
          <w:color w:val="231F20"/>
          <w:vertAlign w:val="baseline"/>
        </w:rPr>
        <w:t>(6), 400-410. </w:t>
      </w:r>
      <w:hyperlink r:id="rId269">
        <w:r>
          <w:rPr>
            <w:color w:val="3953A4"/>
            <w:u w:val="single" w:color="3953A4"/>
            <w:vertAlign w:val="baseline"/>
          </w:rPr>
          <w:t>https://doi.org/10.1016/j.</w:t>
        </w:r>
      </w:hyperlink>
      <w:r>
        <w:rPr>
          <w:color w:val="3953A4"/>
          <w:spacing w:val="1"/>
          <w:vertAlign w:val="baseline"/>
        </w:rPr>
        <w:t> </w:t>
      </w:r>
      <w:hyperlink r:id="rId269">
        <w:r>
          <w:rPr>
            <w:color w:val="3953A4"/>
            <w:u w:val="single" w:color="3953A4"/>
            <w:vertAlign w:val="baseline"/>
          </w:rPr>
          <w:t>genhosppsych.2005.06.009</w:t>
        </w:r>
      </w:hyperlink>
    </w:p>
    <w:p>
      <w:pPr>
        <w:pStyle w:val="BodyText"/>
        <w:tabs>
          <w:tab w:pos="479" w:val="left" w:leader="none"/>
        </w:tabs>
        <w:spacing w:line="228" w:lineRule="auto" w:before="88"/>
        <w:ind w:left="480" w:right="766" w:hanging="360"/>
      </w:pPr>
      <w:r>
        <w:rPr>
          <w:color w:val="231F20"/>
          <w:vertAlign w:val="superscript"/>
        </w:rPr>
        <w:t>10</w:t>
      </w:r>
      <w:r>
        <w:rPr>
          <w:color w:val="231F20"/>
          <w:vertAlign w:val="baseline"/>
        </w:rPr>
        <w:tab/>
        <w:t>Bujnowska-Fedak, M. M., &amp; Grata-Borkowska, U.</w:t>
      </w:r>
      <w:r>
        <w:rPr>
          <w:color w:val="231F20"/>
          <w:spacing w:val="1"/>
          <w:vertAlign w:val="baseline"/>
        </w:rPr>
        <w:t> </w:t>
      </w:r>
      <w:r>
        <w:rPr>
          <w:color w:val="231F20"/>
          <w:vertAlign w:val="baseline"/>
        </w:rPr>
        <w:t>(2015). Use of telemedicine-based care for the aging</w:t>
      </w:r>
      <w:r>
        <w:rPr>
          <w:color w:val="231F20"/>
          <w:spacing w:val="-52"/>
          <w:vertAlign w:val="baseline"/>
        </w:rPr>
        <w:t> </w:t>
      </w:r>
      <w:r>
        <w:rPr>
          <w:color w:val="231F20"/>
          <w:vertAlign w:val="baseline"/>
        </w:rPr>
        <w:t>and elderly: Promises and pitfalls. </w:t>
      </w:r>
      <w:r>
        <w:rPr>
          <w:i/>
          <w:color w:val="231F20"/>
          <w:vertAlign w:val="baseline"/>
        </w:rPr>
        <w:t>Smart Homecare</w:t>
      </w:r>
      <w:r>
        <w:rPr>
          <w:i/>
          <w:color w:val="231F20"/>
          <w:spacing w:val="1"/>
          <w:vertAlign w:val="baseline"/>
        </w:rPr>
        <w:t> </w:t>
      </w:r>
      <w:r>
        <w:rPr>
          <w:i/>
          <w:color w:val="231F20"/>
          <w:vertAlign w:val="baseline"/>
        </w:rPr>
        <w:t>Technology and TeleHealth, 3</w:t>
      </w:r>
      <w:r>
        <w:rPr>
          <w:color w:val="231F20"/>
          <w:vertAlign w:val="baseline"/>
        </w:rPr>
        <w:t>, 91-105. </w:t>
      </w:r>
      <w:hyperlink r:id="rId270">
        <w:r>
          <w:rPr>
            <w:color w:val="3953A4"/>
            <w:u w:val="single" w:color="3953A4"/>
            <w:vertAlign w:val="baseline"/>
          </w:rPr>
          <w:t>https://doi.</w:t>
        </w:r>
      </w:hyperlink>
      <w:r>
        <w:rPr>
          <w:color w:val="3953A4"/>
          <w:spacing w:val="1"/>
          <w:vertAlign w:val="baseline"/>
        </w:rPr>
        <w:t> </w:t>
      </w:r>
      <w:hyperlink r:id="rId270">
        <w:r>
          <w:rPr>
            <w:color w:val="3953A4"/>
            <w:u w:val="single" w:color="3953A4"/>
            <w:vertAlign w:val="baseline"/>
          </w:rPr>
          <w:t>org/10.2147/SHTT.S59498</w:t>
        </w:r>
      </w:hyperlink>
    </w:p>
    <w:p>
      <w:pPr>
        <w:pStyle w:val="BodyText"/>
        <w:tabs>
          <w:tab w:pos="479" w:val="left" w:leader="none"/>
        </w:tabs>
        <w:spacing w:line="228" w:lineRule="auto" w:before="88"/>
        <w:ind w:left="480" w:right="997" w:hanging="360"/>
      </w:pPr>
      <w:r>
        <w:rPr>
          <w:color w:val="231F20"/>
          <w:vertAlign w:val="superscript"/>
        </w:rPr>
        <w:t>11</w:t>
      </w:r>
      <w:r>
        <w:rPr>
          <w:color w:val="231F20"/>
          <w:vertAlign w:val="baseline"/>
        </w:rPr>
        <w:tab/>
        <w:t>Ross, J., Stevenson, F., Lau, R., &amp; Murray, E.</w:t>
      </w:r>
      <w:r>
        <w:rPr>
          <w:color w:val="231F20"/>
          <w:spacing w:val="1"/>
          <w:vertAlign w:val="baseline"/>
        </w:rPr>
        <w:t> </w:t>
      </w:r>
      <w:r>
        <w:rPr>
          <w:color w:val="231F20"/>
          <w:vertAlign w:val="baseline"/>
        </w:rPr>
        <w:t>(2015). Exploring the challenges of implementing</w:t>
      </w:r>
      <w:r>
        <w:rPr>
          <w:color w:val="231F20"/>
          <w:spacing w:val="-52"/>
          <w:vertAlign w:val="baseline"/>
        </w:rPr>
        <w:t> </w:t>
      </w:r>
      <w:r>
        <w:rPr>
          <w:color w:val="231F20"/>
          <w:vertAlign w:val="baseline"/>
        </w:rPr>
        <w:t>e-health: A protocol for an update of a systematic</w:t>
      </w:r>
      <w:r>
        <w:rPr>
          <w:color w:val="231F20"/>
          <w:spacing w:val="-52"/>
          <w:vertAlign w:val="baseline"/>
        </w:rPr>
        <w:t> </w:t>
      </w:r>
      <w:r>
        <w:rPr>
          <w:color w:val="231F20"/>
          <w:vertAlign w:val="baseline"/>
        </w:rPr>
        <w:t>review of reviews. </w:t>
      </w:r>
      <w:r>
        <w:rPr>
          <w:i/>
          <w:color w:val="231F20"/>
          <w:vertAlign w:val="baseline"/>
        </w:rPr>
        <w:t>BMJ open, 5</w:t>
      </w:r>
      <w:r>
        <w:rPr>
          <w:color w:val="231F20"/>
          <w:vertAlign w:val="baseline"/>
        </w:rPr>
        <w:t>(4). </w:t>
      </w:r>
      <w:hyperlink r:id="rId271">
        <w:r>
          <w:rPr>
            <w:color w:val="3953A4"/>
            <w:u w:val="single" w:color="3953A4"/>
            <w:vertAlign w:val="baseline"/>
          </w:rPr>
          <w:t>https://doi.</w:t>
        </w:r>
      </w:hyperlink>
      <w:r>
        <w:rPr>
          <w:color w:val="3953A4"/>
          <w:spacing w:val="1"/>
          <w:vertAlign w:val="baseline"/>
        </w:rPr>
        <w:t> </w:t>
      </w:r>
      <w:hyperlink r:id="rId271">
        <w:r>
          <w:rPr>
            <w:color w:val="3953A4"/>
            <w:u w:val="single" w:color="3953A4"/>
            <w:vertAlign w:val="baseline"/>
          </w:rPr>
          <w:t>org/10.1136/bmjopen-2014-006773</w:t>
        </w:r>
      </w:hyperlink>
    </w:p>
    <w:p>
      <w:pPr>
        <w:pStyle w:val="BodyText"/>
        <w:tabs>
          <w:tab w:pos="479" w:val="left" w:leader="none"/>
        </w:tabs>
        <w:spacing w:line="246" w:lineRule="exact" w:before="78"/>
        <w:ind w:left="120"/>
      </w:pPr>
      <w:r>
        <w:rPr>
          <w:color w:val="231F20"/>
          <w:vertAlign w:val="superscript"/>
        </w:rPr>
        <w:t>12</w:t>
      </w:r>
      <w:r>
        <w:rPr>
          <w:color w:val="231F20"/>
          <w:vertAlign w:val="baseline"/>
        </w:rPr>
        <w:tab/>
      </w:r>
      <w:r>
        <w:rPr>
          <w:color w:val="231F20"/>
          <w:spacing w:val="-5"/>
          <w:vertAlign w:val="baseline"/>
        </w:rPr>
        <w:t>Sanders,</w:t>
      </w:r>
      <w:r>
        <w:rPr>
          <w:color w:val="231F20"/>
          <w:spacing w:val="-8"/>
          <w:vertAlign w:val="baseline"/>
        </w:rPr>
        <w:t> </w:t>
      </w:r>
      <w:r>
        <w:rPr>
          <w:color w:val="231F20"/>
          <w:spacing w:val="-4"/>
          <w:vertAlign w:val="baseline"/>
        </w:rPr>
        <w:t>C.,</w:t>
      </w:r>
      <w:r>
        <w:rPr>
          <w:color w:val="231F20"/>
          <w:spacing w:val="-8"/>
          <w:vertAlign w:val="baseline"/>
        </w:rPr>
        <w:t> </w:t>
      </w:r>
      <w:r>
        <w:rPr>
          <w:color w:val="231F20"/>
          <w:spacing w:val="-4"/>
          <w:vertAlign w:val="baseline"/>
        </w:rPr>
        <w:t>Rogers,</w:t>
      </w:r>
      <w:r>
        <w:rPr>
          <w:color w:val="231F20"/>
          <w:spacing w:val="-21"/>
          <w:vertAlign w:val="baseline"/>
        </w:rPr>
        <w:t> </w:t>
      </w:r>
      <w:r>
        <w:rPr>
          <w:color w:val="231F20"/>
          <w:spacing w:val="-4"/>
          <w:vertAlign w:val="baseline"/>
        </w:rPr>
        <w:t>A.,</w:t>
      </w:r>
      <w:r>
        <w:rPr>
          <w:color w:val="231F20"/>
          <w:spacing w:val="-8"/>
          <w:vertAlign w:val="baseline"/>
        </w:rPr>
        <w:t> </w:t>
      </w:r>
      <w:r>
        <w:rPr>
          <w:color w:val="231F20"/>
          <w:spacing w:val="-4"/>
          <w:vertAlign w:val="baseline"/>
        </w:rPr>
        <w:t>Bowen,</w:t>
      </w:r>
      <w:r>
        <w:rPr>
          <w:color w:val="231F20"/>
          <w:spacing w:val="-7"/>
          <w:vertAlign w:val="baseline"/>
        </w:rPr>
        <w:t> </w:t>
      </w:r>
      <w:r>
        <w:rPr>
          <w:color w:val="231F20"/>
          <w:spacing w:val="-4"/>
          <w:vertAlign w:val="baseline"/>
        </w:rPr>
        <w:t>R.,</w:t>
      </w:r>
      <w:r>
        <w:rPr>
          <w:color w:val="231F20"/>
          <w:spacing w:val="-8"/>
          <w:vertAlign w:val="baseline"/>
        </w:rPr>
        <w:t> </w:t>
      </w:r>
      <w:r>
        <w:rPr>
          <w:color w:val="231F20"/>
          <w:spacing w:val="-4"/>
          <w:vertAlign w:val="baseline"/>
        </w:rPr>
        <w:t>Bower,</w:t>
      </w:r>
      <w:r>
        <w:rPr>
          <w:color w:val="231F20"/>
          <w:spacing w:val="-8"/>
          <w:vertAlign w:val="baseline"/>
        </w:rPr>
        <w:t> </w:t>
      </w:r>
      <w:r>
        <w:rPr>
          <w:color w:val="231F20"/>
          <w:spacing w:val="-4"/>
          <w:vertAlign w:val="baseline"/>
        </w:rPr>
        <w:t>P.,</w:t>
      </w:r>
    </w:p>
    <w:p>
      <w:pPr>
        <w:pStyle w:val="BodyText"/>
        <w:spacing w:line="240" w:lineRule="exact"/>
        <w:ind w:left="480"/>
      </w:pPr>
      <w:r>
        <w:rPr>
          <w:color w:val="231F20"/>
          <w:spacing w:val="-4"/>
        </w:rPr>
        <w:t>Hirani,</w:t>
      </w:r>
      <w:r>
        <w:rPr>
          <w:color w:val="231F20"/>
          <w:spacing w:val="-10"/>
        </w:rPr>
        <w:t> </w:t>
      </w:r>
      <w:r>
        <w:rPr>
          <w:color w:val="231F20"/>
          <w:spacing w:val="-4"/>
        </w:rPr>
        <w:t>S.,</w:t>
      </w:r>
      <w:r>
        <w:rPr>
          <w:color w:val="231F20"/>
          <w:spacing w:val="-9"/>
        </w:rPr>
        <w:t> </w:t>
      </w:r>
      <w:r>
        <w:rPr>
          <w:color w:val="231F20"/>
          <w:spacing w:val="-4"/>
        </w:rPr>
        <w:t>Cartwright,</w:t>
      </w:r>
      <w:r>
        <w:rPr>
          <w:color w:val="231F20"/>
          <w:spacing w:val="-9"/>
        </w:rPr>
        <w:t> </w:t>
      </w:r>
      <w:r>
        <w:rPr>
          <w:color w:val="231F20"/>
          <w:spacing w:val="-4"/>
        </w:rPr>
        <w:t>M.,</w:t>
      </w:r>
      <w:r>
        <w:rPr>
          <w:color w:val="231F20"/>
          <w:spacing w:val="-9"/>
        </w:rPr>
        <w:t> </w:t>
      </w:r>
      <w:r>
        <w:rPr>
          <w:color w:val="231F20"/>
          <w:spacing w:val="-4"/>
        </w:rPr>
        <w:t>Fitzpatrick,</w:t>
      </w:r>
      <w:r>
        <w:rPr>
          <w:color w:val="231F20"/>
          <w:spacing w:val="-9"/>
        </w:rPr>
        <w:t> </w:t>
      </w:r>
      <w:r>
        <w:rPr>
          <w:color w:val="231F20"/>
          <w:spacing w:val="-3"/>
        </w:rPr>
        <w:t>R.,</w:t>
      </w:r>
      <w:r>
        <w:rPr>
          <w:color w:val="231F20"/>
          <w:spacing w:val="-9"/>
        </w:rPr>
        <w:t> </w:t>
      </w:r>
      <w:r>
        <w:rPr>
          <w:color w:val="231F20"/>
          <w:spacing w:val="-3"/>
        </w:rPr>
        <w:t>Knapp,</w:t>
      </w:r>
      <w:r>
        <w:rPr>
          <w:color w:val="231F20"/>
          <w:spacing w:val="-10"/>
        </w:rPr>
        <w:t> </w:t>
      </w:r>
      <w:r>
        <w:rPr>
          <w:color w:val="231F20"/>
          <w:spacing w:val="-3"/>
        </w:rPr>
        <w:t>M.,</w:t>
      </w:r>
    </w:p>
    <w:p>
      <w:pPr>
        <w:pStyle w:val="BodyText"/>
        <w:spacing w:line="228" w:lineRule="auto" w:before="4"/>
        <w:ind w:left="480" w:right="1010"/>
        <w:rPr>
          <w:i/>
        </w:rPr>
      </w:pPr>
      <w:r>
        <w:rPr>
          <w:color w:val="231F20"/>
          <w:spacing w:val="-4"/>
        </w:rPr>
        <w:t>Barlow, J., &amp; Hendy, J. (2012). </w:t>
      </w:r>
      <w:r>
        <w:rPr>
          <w:color w:val="231F20"/>
          <w:spacing w:val="-3"/>
        </w:rPr>
        <w:t>Exploring barriers</w:t>
      </w:r>
      <w:r>
        <w:rPr>
          <w:color w:val="231F20"/>
          <w:spacing w:val="-2"/>
        </w:rPr>
        <w:t> to participation and adoption of telehealth </w:t>
      </w:r>
      <w:r>
        <w:rPr>
          <w:color w:val="231F20"/>
          <w:spacing w:val="-1"/>
        </w:rPr>
        <w:t>and</w:t>
      </w:r>
      <w:r>
        <w:rPr>
          <w:color w:val="231F20"/>
        </w:rPr>
        <w:t> </w:t>
      </w:r>
      <w:r>
        <w:rPr>
          <w:color w:val="231F20"/>
          <w:spacing w:val="-4"/>
        </w:rPr>
        <w:t>telecare</w:t>
      </w:r>
      <w:r>
        <w:rPr>
          <w:color w:val="231F20"/>
          <w:spacing w:val="-10"/>
        </w:rPr>
        <w:t> </w:t>
      </w:r>
      <w:r>
        <w:rPr>
          <w:color w:val="231F20"/>
          <w:spacing w:val="-4"/>
        </w:rPr>
        <w:t>within</w:t>
      </w:r>
      <w:r>
        <w:rPr>
          <w:color w:val="231F20"/>
          <w:spacing w:val="-9"/>
        </w:rPr>
        <w:t> </w:t>
      </w:r>
      <w:r>
        <w:rPr>
          <w:color w:val="231F20"/>
          <w:spacing w:val="-3"/>
        </w:rPr>
        <w:t>the</w:t>
      </w:r>
      <w:r>
        <w:rPr>
          <w:color w:val="231F20"/>
          <w:spacing w:val="-9"/>
        </w:rPr>
        <w:t> </w:t>
      </w:r>
      <w:r>
        <w:rPr>
          <w:color w:val="231F20"/>
          <w:spacing w:val="-3"/>
        </w:rPr>
        <w:t>whole</w:t>
      </w:r>
      <w:r>
        <w:rPr>
          <w:color w:val="231F20"/>
          <w:spacing w:val="-9"/>
        </w:rPr>
        <w:t> </w:t>
      </w:r>
      <w:r>
        <w:rPr>
          <w:color w:val="231F20"/>
          <w:spacing w:val="-3"/>
        </w:rPr>
        <w:t>system</w:t>
      </w:r>
      <w:r>
        <w:rPr>
          <w:color w:val="231F20"/>
          <w:spacing w:val="-10"/>
        </w:rPr>
        <w:t> </w:t>
      </w:r>
      <w:r>
        <w:rPr>
          <w:color w:val="231F20"/>
          <w:spacing w:val="-3"/>
        </w:rPr>
        <w:t>demonstrator</w:t>
      </w:r>
      <w:r>
        <w:rPr>
          <w:color w:val="231F20"/>
          <w:spacing w:val="-9"/>
        </w:rPr>
        <w:t> </w:t>
      </w:r>
      <w:r>
        <w:rPr>
          <w:color w:val="231F20"/>
          <w:spacing w:val="-3"/>
        </w:rPr>
        <w:t>trial:</w:t>
      </w:r>
      <w:r>
        <w:rPr>
          <w:color w:val="231F20"/>
          <w:spacing w:val="-52"/>
        </w:rPr>
        <w:t> </w:t>
      </w:r>
      <w:r>
        <w:rPr>
          <w:color w:val="231F20"/>
          <w:spacing w:val="-5"/>
        </w:rPr>
        <w:t>A</w:t>
      </w:r>
      <w:r>
        <w:rPr>
          <w:color w:val="231F20"/>
          <w:spacing w:val="-21"/>
        </w:rPr>
        <w:t> </w:t>
      </w:r>
      <w:r>
        <w:rPr>
          <w:color w:val="231F20"/>
          <w:spacing w:val="-5"/>
        </w:rPr>
        <w:t>qualitative</w:t>
      </w:r>
      <w:r>
        <w:rPr>
          <w:color w:val="231F20"/>
          <w:spacing w:val="-7"/>
        </w:rPr>
        <w:t> </w:t>
      </w:r>
      <w:r>
        <w:rPr>
          <w:color w:val="231F20"/>
          <w:spacing w:val="-5"/>
        </w:rPr>
        <w:t>study.</w:t>
      </w:r>
      <w:r>
        <w:rPr>
          <w:color w:val="231F20"/>
          <w:spacing w:val="-7"/>
        </w:rPr>
        <w:t> </w:t>
      </w:r>
      <w:r>
        <w:rPr>
          <w:i/>
          <w:color w:val="231F20"/>
          <w:spacing w:val="-4"/>
        </w:rPr>
        <w:t>BMC</w:t>
      </w:r>
      <w:r>
        <w:rPr>
          <w:i/>
          <w:color w:val="231F20"/>
          <w:spacing w:val="-7"/>
        </w:rPr>
        <w:t> </w:t>
      </w:r>
      <w:r>
        <w:rPr>
          <w:i/>
          <w:color w:val="231F20"/>
          <w:spacing w:val="-4"/>
        </w:rPr>
        <w:t>Health</w:t>
      </w:r>
      <w:r>
        <w:rPr>
          <w:i/>
          <w:color w:val="231F20"/>
          <w:spacing w:val="-8"/>
        </w:rPr>
        <w:t> </w:t>
      </w:r>
      <w:r>
        <w:rPr>
          <w:i/>
          <w:color w:val="231F20"/>
          <w:spacing w:val="-4"/>
        </w:rPr>
        <w:t>Services</w:t>
      </w:r>
      <w:r>
        <w:rPr>
          <w:i/>
          <w:color w:val="231F20"/>
          <w:spacing w:val="-7"/>
        </w:rPr>
        <w:t> </w:t>
      </w:r>
      <w:r>
        <w:rPr>
          <w:i/>
          <w:color w:val="231F20"/>
          <w:spacing w:val="-4"/>
        </w:rPr>
        <w:t>Research,</w:t>
      </w:r>
    </w:p>
    <w:p>
      <w:pPr>
        <w:pStyle w:val="BodyText"/>
        <w:spacing w:line="241" w:lineRule="exact"/>
        <w:ind w:left="480"/>
      </w:pPr>
      <w:r>
        <w:rPr>
          <w:i/>
          <w:color w:val="231F20"/>
          <w:spacing w:val="-4"/>
        </w:rPr>
        <w:t>12</w:t>
      </w:r>
      <w:r>
        <w:rPr>
          <w:color w:val="231F20"/>
          <w:spacing w:val="-4"/>
        </w:rPr>
        <w:t>(1),</w:t>
      </w:r>
      <w:r>
        <w:rPr>
          <w:color w:val="231F20"/>
          <w:spacing w:val="-10"/>
        </w:rPr>
        <w:t> </w:t>
      </w:r>
      <w:r>
        <w:rPr>
          <w:color w:val="231F20"/>
          <w:spacing w:val="-4"/>
        </w:rPr>
        <w:t>220.</w:t>
      </w:r>
      <w:r>
        <w:rPr>
          <w:color w:val="231F20"/>
          <w:spacing w:val="-9"/>
        </w:rPr>
        <w:t> </w:t>
      </w:r>
      <w:hyperlink r:id="rId272">
        <w:r>
          <w:rPr>
            <w:color w:val="3953A4"/>
            <w:spacing w:val="-4"/>
            <w:u w:val="single" w:color="3953A4"/>
          </w:rPr>
          <w:t>https://doi.org/10.1186/1472-6963-12-220</w:t>
        </w:r>
      </w:hyperlink>
    </w:p>
    <w:p>
      <w:pPr>
        <w:pStyle w:val="BodyText"/>
        <w:tabs>
          <w:tab w:pos="479" w:val="left" w:leader="none"/>
        </w:tabs>
        <w:spacing w:line="228" w:lineRule="auto" w:before="87"/>
        <w:ind w:left="480" w:right="723" w:hanging="360"/>
      </w:pPr>
      <w:r>
        <w:rPr>
          <w:color w:val="231F20"/>
          <w:vertAlign w:val="superscript"/>
        </w:rPr>
        <w:t>13</w:t>
      </w:r>
      <w:r>
        <w:rPr>
          <w:color w:val="231F20"/>
          <w:vertAlign w:val="baseline"/>
        </w:rPr>
        <w:tab/>
        <w:t>Avey,</w:t>
      </w:r>
      <w:r>
        <w:rPr>
          <w:color w:val="231F20"/>
          <w:spacing w:val="-7"/>
          <w:vertAlign w:val="baseline"/>
        </w:rPr>
        <w:t> </w:t>
      </w:r>
      <w:r>
        <w:rPr>
          <w:color w:val="231F20"/>
          <w:vertAlign w:val="baseline"/>
        </w:rPr>
        <w:t>J.</w:t>
      </w:r>
      <w:r>
        <w:rPr>
          <w:color w:val="231F20"/>
          <w:spacing w:val="-7"/>
          <w:vertAlign w:val="baseline"/>
        </w:rPr>
        <w:t> </w:t>
      </w:r>
      <w:r>
        <w:rPr>
          <w:color w:val="231F20"/>
          <w:vertAlign w:val="baseline"/>
        </w:rPr>
        <w:t>P.,</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Hobbs,</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L.</w:t>
      </w:r>
      <w:r>
        <w:rPr>
          <w:color w:val="231F20"/>
          <w:spacing w:val="-7"/>
          <w:vertAlign w:val="baseline"/>
        </w:rPr>
        <w:t> </w:t>
      </w:r>
      <w:r>
        <w:rPr>
          <w:color w:val="231F20"/>
          <w:vertAlign w:val="baseline"/>
        </w:rPr>
        <w:t>(2013).</w:t>
      </w:r>
      <w:r>
        <w:rPr>
          <w:color w:val="231F20"/>
          <w:spacing w:val="-7"/>
          <w:vertAlign w:val="baseline"/>
        </w:rPr>
        <w:t> </w:t>
      </w:r>
      <w:r>
        <w:rPr>
          <w:color w:val="231F20"/>
          <w:vertAlign w:val="baseline"/>
        </w:rPr>
        <w:t>Dial</w:t>
      </w:r>
      <w:r>
        <w:rPr>
          <w:color w:val="231F20"/>
          <w:spacing w:val="-7"/>
          <w:vertAlign w:val="baseline"/>
        </w:rPr>
        <w:t> </w:t>
      </w:r>
      <w:r>
        <w:rPr>
          <w:color w:val="231F20"/>
          <w:vertAlign w:val="baseline"/>
        </w:rPr>
        <w:t>in:</w:t>
      </w:r>
      <w:r>
        <w:rPr>
          <w:color w:val="231F20"/>
          <w:spacing w:val="-7"/>
          <w:vertAlign w:val="baseline"/>
        </w:rPr>
        <w:t> </w:t>
      </w:r>
      <w:r>
        <w:rPr>
          <w:color w:val="231F20"/>
          <w:vertAlign w:val="baseline"/>
        </w:rPr>
        <w:t>Fostering</w:t>
      </w:r>
      <w:r>
        <w:rPr>
          <w:color w:val="231F20"/>
          <w:spacing w:val="-52"/>
          <w:vertAlign w:val="baseline"/>
        </w:rPr>
        <w:t> </w:t>
      </w:r>
      <w:r>
        <w:rPr>
          <w:color w:val="231F20"/>
          <w:vertAlign w:val="baseline"/>
        </w:rPr>
        <w:t>the use of telebehavioral health services in frontier</w:t>
      </w:r>
      <w:r>
        <w:rPr>
          <w:color w:val="231F20"/>
          <w:spacing w:val="1"/>
          <w:vertAlign w:val="baseline"/>
        </w:rPr>
        <w:t> </w:t>
      </w:r>
      <w:r>
        <w:rPr>
          <w:color w:val="231F20"/>
          <w:vertAlign w:val="baseline"/>
        </w:rPr>
        <w:t>Alaska. </w:t>
      </w:r>
      <w:r>
        <w:rPr>
          <w:i/>
          <w:color w:val="231F20"/>
          <w:vertAlign w:val="baseline"/>
        </w:rPr>
        <w:t>Psychological Services, 10</w:t>
      </w:r>
      <w:r>
        <w:rPr>
          <w:color w:val="231F20"/>
          <w:vertAlign w:val="baseline"/>
        </w:rPr>
        <w:t>(3), 289. </w:t>
      </w:r>
      <w:hyperlink r:id="rId55">
        <w:r>
          <w:rPr>
            <w:color w:val="3953A4"/>
            <w:u w:val="single" w:color="3953A4"/>
            <w:vertAlign w:val="baseline"/>
          </w:rPr>
          <w:t>https://</w:t>
        </w:r>
      </w:hyperlink>
      <w:r>
        <w:rPr>
          <w:color w:val="3953A4"/>
          <w:spacing w:val="1"/>
          <w:vertAlign w:val="baseline"/>
        </w:rPr>
        <w:t> </w:t>
      </w:r>
      <w:hyperlink r:id="rId55">
        <w:r>
          <w:rPr>
            <w:color w:val="3953A4"/>
            <w:u w:val="single" w:color="3953A4"/>
            <w:vertAlign w:val="baseline"/>
          </w:rPr>
          <w:t>doi.org/10.1037/a0028231</w:t>
        </w:r>
      </w:hyperlink>
    </w:p>
    <w:p>
      <w:pPr>
        <w:pStyle w:val="BodyText"/>
        <w:tabs>
          <w:tab w:pos="479" w:val="left" w:leader="none"/>
        </w:tabs>
        <w:spacing w:line="228" w:lineRule="auto" w:before="89"/>
        <w:ind w:left="480" w:right="1051" w:hanging="360"/>
      </w:pPr>
      <w:r>
        <w:rPr>
          <w:color w:val="231F20"/>
          <w:vertAlign w:val="superscript"/>
        </w:rPr>
        <w:t>14</w:t>
      </w:r>
      <w:r>
        <w:rPr>
          <w:color w:val="231F20"/>
          <w:vertAlign w:val="baseline"/>
        </w:rPr>
        <w:tab/>
      </w:r>
      <w:r>
        <w:rPr>
          <w:color w:val="231F20"/>
          <w:spacing w:val="-2"/>
          <w:vertAlign w:val="baseline"/>
        </w:rPr>
        <w:t>Williams, </w:t>
      </w:r>
      <w:r>
        <w:rPr>
          <w:color w:val="231F20"/>
          <w:spacing w:val="-1"/>
          <w:vertAlign w:val="baseline"/>
        </w:rPr>
        <w:t>K., Pennathur, P., Bossen, A., &amp;</w:t>
      </w:r>
      <w:r>
        <w:rPr>
          <w:color w:val="231F20"/>
          <w:vertAlign w:val="baseline"/>
        </w:rPr>
        <w:t> </w:t>
      </w:r>
      <w:r>
        <w:rPr>
          <w:color w:val="231F20"/>
          <w:spacing w:val="-1"/>
          <w:vertAlign w:val="baseline"/>
        </w:rPr>
        <w:t>Gloeckner, </w:t>
      </w:r>
      <w:r>
        <w:rPr>
          <w:color w:val="231F20"/>
          <w:vertAlign w:val="baseline"/>
        </w:rPr>
        <w:t>A. (2015). Adapting telemonitoring</w:t>
      </w:r>
      <w:r>
        <w:rPr>
          <w:color w:val="231F20"/>
          <w:spacing w:val="1"/>
          <w:vertAlign w:val="baseline"/>
        </w:rPr>
        <w:t> </w:t>
      </w:r>
      <w:r>
        <w:rPr>
          <w:color w:val="231F20"/>
          <w:spacing w:val="-1"/>
          <w:vertAlign w:val="baseline"/>
        </w:rPr>
        <w:t>technology </w:t>
      </w:r>
      <w:r>
        <w:rPr>
          <w:color w:val="231F20"/>
          <w:vertAlign w:val="baseline"/>
        </w:rPr>
        <w:t>use for older adults: A pilot study.</w:t>
      </w:r>
      <w:r>
        <w:rPr>
          <w:color w:val="231F20"/>
          <w:spacing w:val="1"/>
          <w:vertAlign w:val="baseline"/>
        </w:rPr>
        <w:t> </w:t>
      </w:r>
      <w:r>
        <w:rPr>
          <w:i/>
          <w:color w:val="231F20"/>
          <w:vertAlign w:val="baseline"/>
        </w:rPr>
        <w:t>Research</w:t>
      </w:r>
      <w:r>
        <w:rPr>
          <w:i/>
          <w:color w:val="231F20"/>
          <w:spacing w:val="-7"/>
          <w:vertAlign w:val="baseline"/>
        </w:rPr>
        <w:t> </w:t>
      </w:r>
      <w:r>
        <w:rPr>
          <w:i/>
          <w:color w:val="231F20"/>
          <w:vertAlign w:val="baseline"/>
        </w:rPr>
        <w:t>in</w:t>
      </w:r>
      <w:r>
        <w:rPr>
          <w:i/>
          <w:color w:val="231F20"/>
          <w:spacing w:val="-6"/>
          <w:vertAlign w:val="baseline"/>
        </w:rPr>
        <w:t> </w:t>
      </w:r>
      <w:r>
        <w:rPr>
          <w:i/>
          <w:color w:val="231F20"/>
          <w:vertAlign w:val="baseline"/>
        </w:rPr>
        <w:t>Gerontological</w:t>
      </w:r>
      <w:r>
        <w:rPr>
          <w:i/>
          <w:color w:val="231F20"/>
          <w:spacing w:val="-6"/>
          <w:vertAlign w:val="baseline"/>
        </w:rPr>
        <w:t> </w:t>
      </w:r>
      <w:r>
        <w:rPr>
          <w:i/>
          <w:color w:val="231F20"/>
          <w:vertAlign w:val="baseline"/>
        </w:rPr>
        <w:t>Nursing,</w:t>
      </w:r>
      <w:r>
        <w:rPr>
          <w:i/>
          <w:color w:val="231F20"/>
          <w:spacing w:val="-7"/>
          <w:vertAlign w:val="baseline"/>
        </w:rPr>
        <w:t> </w:t>
      </w:r>
      <w:r>
        <w:rPr>
          <w:i/>
          <w:color w:val="231F20"/>
          <w:vertAlign w:val="baseline"/>
        </w:rPr>
        <w:t>9</w:t>
      </w:r>
      <w:r>
        <w:rPr>
          <w:color w:val="231F20"/>
          <w:vertAlign w:val="baseline"/>
        </w:rPr>
        <w:t>(1),</w:t>
      </w:r>
      <w:r>
        <w:rPr>
          <w:color w:val="231F20"/>
          <w:spacing w:val="-6"/>
          <w:vertAlign w:val="baseline"/>
        </w:rPr>
        <w:t> </w:t>
      </w:r>
      <w:r>
        <w:rPr>
          <w:color w:val="231F20"/>
          <w:vertAlign w:val="baseline"/>
        </w:rPr>
        <w:t>17-23.</w:t>
      </w:r>
      <w:r>
        <w:rPr>
          <w:color w:val="231F20"/>
          <w:spacing w:val="-52"/>
          <w:vertAlign w:val="baseline"/>
        </w:rPr>
        <w:t> </w:t>
      </w:r>
      <w:hyperlink r:id="rId273">
        <w:r>
          <w:rPr>
            <w:color w:val="3953A4"/>
            <w:u w:val="single" w:color="3953A4"/>
            <w:vertAlign w:val="baseline"/>
          </w:rPr>
          <w:t>https://doi.org/10.3928/19404921-20150522-01</w:t>
        </w:r>
      </w:hyperlink>
    </w:p>
    <w:p>
      <w:pPr>
        <w:pStyle w:val="BodyText"/>
        <w:tabs>
          <w:tab w:pos="479" w:val="left" w:leader="none"/>
        </w:tabs>
        <w:spacing w:line="228" w:lineRule="auto" w:before="88"/>
        <w:ind w:left="480" w:right="731" w:hanging="360"/>
      </w:pPr>
      <w:r>
        <w:rPr>
          <w:color w:val="231F20"/>
          <w:vertAlign w:val="superscript"/>
        </w:rPr>
        <w:t>15</w:t>
      </w:r>
      <w:r>
        <w:rPr>
          <w:color w:val="231F20"/>
          <w:vertAlign w:val="baseline"/>
        </w:rPr>
        <w:tab/>
      </w:r>
      <w:r>
        <w:rPr>
          <w:color w:val="231F20"/>
          <w:spacing w:val="-2"/>
          <w:vertAlign w:val="baseline"/>
        </w:rPr>
        <w:t>Beattie, </w:t>
      </w:r>
      <w:r>
        <w:rPr>
          <w:color w:val="231F20"/>
          <w:spacing w:val="-1"/>
          <w:vertAlign w:val="baseline"/>
        </w:rPr>
        <w:t>A., Shaw, A., Kaur, S., &amp; Kessler, D. (2009).</w:t>
      </w:r>
      <w:r>
        <w:rPr>
          <w:color w:val="231F20"/>
          <w:spacing w:val="-52"/>
          <w:vertAlign w:val="baseline"/>
        </w:rPr>
        <w:t> </w:t>
      </w:r>
      <w:r>
        <w:rPr>
          <w:color w:val="231F20"/>
          <w:spacing w:val="-1"/>
          <w:vertAlign w:val="baseline"/>
        </w:rPr>
        <w:t>Primary‐care </w:t>
      </w:r>
      <w:r>
        <w:rPr>
          <w:color w:val="231F20"/>
          <w:vertAlign w:val="baseline"/>
        </w:rPr>
        <w:t>patients’ expectations and experiences</w:t>
      </w:r>
      <w:r>
        <w:rPr>
          <w:color w:val="231F20"/>
          <w:spacing w:val="1"/>
          <w:vertAlign w:val="baseline"/>
        </w:rPr>
        <w:t> </w:t>
      </w:r>
      <w:r>
        <w:rPr>
          <w:color w:val="231F20"/>
          <w:vertAlign w:val="baseline"/>
        </w:rPr>
        <w:t>of online cognitive behavioural therapy for</w:t>
      </w:r>
      <w:r>
        <w:rPr>
          <w:color w:val="231F20"/>
          <w:spacing w:val="1"/>
          <w:vertAlign w:val="baseline"/>
        </w:rPr>
        <w:t> </w:t>
      </w:r>
      <w:r>
        <w:rPr>
          <w:color w:val="231F20"/>
          <w:spacing w:val="-1"/>
          <w:vertAlign w:val="baseline"/>
        </w:rPr>
        <w:t>depression: A qualitative </w:t>
      </w:r>
      <w:r>
        <w:rPr>
          <w:color w:val="231F20"/>
          <w:vertAlign w:val="baseline"/>
        </w:rPr>
        <w:t>study. </w:t>
      </w:r>
      <w:r>
        <w:rPr>
          <w:i/>
          <w:color w:val="231F20"/>
          <w:vertAlign w:val="baseline"/>
        </w:rPr>
        <w:t>Health Expectations,</w:t>
      </w:r>
      <w:r>
        <w:rPr>
          <w:i/>
          <w:color w:val="231F20"/>
          <w:spacing w:val="-52"/>
          <w:vertAlign w:val="baseline"/>
        </w:rPr>
        <w:t> </w:t>
      </w:r>
      <w:r>
        <w:rPr>
          <w:i/>
          <w:color w:val="231F20"/>
          <w:vertAlign w:val="baseline"/>
        </w:rPr>
        <w:t>12</w:t>
      </w:r>
      <w:r>
        <w:rPr>
          <w:color w:val="231F20"/>
          <w:vertAlign w:val="baseline"/>
        </w:rPr>
        <w:t>(1), 45-59. </w:t>
      </w:r>
      <w:hyperlink r:id="rId71">
        <w:r>
          <w:rPr>
            <w:color w:val="3953A4"/>
            <w:u w:val="single" w:color="3953A4"/>
            <w:vertAlign w:val="baseline"/>
          </w:rPr>
          <w:t>https://doi.org/10.1111/j.1369-</w:t>
        </w:r>
      </w:hyperlink>
      <w:r>
        <w:rPr>
          <w:color w:val="3953A4"/>
          <w:spacing w:val="1"/>
          <w:vertAlign w:val="baseline"/>
        </w:rPr>
        <w:t> </w:t>
      </w:r>
      <w:hyperlink r:id="rId71">
        <w:r>
          <w:rPr>
            <w:color w:val="3953A4"/>
            <w:u w:val="single" w:color="3953A4"/>
            <w:vertAlign w:val="baseline"/>
          </w:rPr>
          <w:t>7625.2008.00531.x</w:t>
        </w:r>
      </w:hyperlink>
    </w:p>
    <w:p>
      <w:pPr>
        <w:pStyle w:val="BodyText"/>
        <w:tabs>
          <w:tab w:pos="479" w:val="left" w:leader="none"/>
        </w:tabs>
        <w:spacing w:line="228" w:lineRule="auto" w:before="88"/>
        <w:ind w:left="480" w:right="721" w:hanging="360"/>
      </w:pPr>
      <w:r>
        <w:rPr>
          <w:color w:val="231F20"/>
          <w:vertAlign w:val="superscript"/>
        </w:rPr>
        <w:t>16</w:t>
      </w:r>
      <w:r>
        <w:rPr>
          <w:color w:val="231F20"/>
          <w:vertAlign w:val="baseline"/>
        </w:rPr>
        <w:tab/>
        <w:t>Swinton, J. J., Robinson, W. D., &amp; Bischoff, R. J.</w:t>
      </w:r>
      <w:r>
        <w:rPr>
          <w:color w:val="231F20"/>
          <w:spacing w:val="1"/>
          <w:vertAlign w:val="baseline"/>
        </w:rPr>
        <w:t> </w:t>
      </w:r>
      <w:r>
        <w:rPr>
          <w:color w:val="231F20"/>
          <w:vertAlign w:val="baseline"/>
        </w:rPr>
        <w:t>(2009). Telehealth and rural depression: Physician</w:t>
      </w:r>
      <w:r>
        <w:rPr>
          <w:color w:val="231F20"/>
          <w:spacing w:val="1"/>
          <w:vertAlign w:val="baseline"/>
        </w:rPr>
        <w:t> </w:t>
      </w:r>
      <w:r>
        <w:rPr>
          <w:color w:val="231F20"/>
          <w:vertAlign w:val="baseline"/>
        </w:rPr>
        <w:t>and patient perspectives. </w:t>
      </w:r>
      <w:r>
        <w:rPr>
          <w:i/>
          <w:color w:val="231F20"/>
          <w:vertAlign w:val="baseline"/>
        </w:rPr>
        <w:t>Families, Systems, &amp;</w:t>
      </w:r>
      <w:r>
        <w:rPr>
          <w:i/>
          <w:color w:val="231F20"/>
          <w:spacing w:val="1"/>
          <w:vertAlign w:val="baseline"/>
        </w:rPr>
        <w:t> </w:t>
      </w:r>
      <w:r>
        <w:rPr>
          <w:i/>
          <w:color w:val="231F20"/>
          <w:vertAlign w:val="baseline"/>
        </w:rPr>
        <w:t>Health,</w:t>
      </w:r>
      <w:r>
        <w:rPr>
          <w:i/>
          <w:color w:val="231F20"/>
          <w:spacing w:val="-7"/>
          <w:vertAlign w:val="baseline"/>
        </w:rPr>
        <w:t> </w:t>
      </w:r>
      <w:r>
        <w:rPr>
          <w:i/>
          <w:color w:val="231F20"/>
          <w:vertAlign w:val="baseline"/>
        </w:rPr>
        <w:t>27</w:t>
      </w:r>
      <w:r>
        <w:rPr>
          <w:color w:val="231F20"/>
          <w:vertAlign w:val="baseline"/>
        </w:rPr>
        <w:t>(2),</w:t>
      </w:r>
      <w:r>
        <w:rPr>
          <w:color w:val="231F20"/>
          <w:spacing w:val="-6"/>
          <w:vertAlign w:val="baseline"/>
        </w:rPr>
        <w:t> </w:t>
      </w:r>
      <w:r>
        <w:rPr>
          <w:color w:val="231F20"/>
          <w:vertAlign w:val="baseline"/>
        </w:rPr>
        <w:t>172.</w:t>
      </w:r>
      <w:r>
        <w:rPr>
          <w:color w:val="231F20"/>
          <w:spacing w:val="-7"/>
          <w:vertAlign w:val="baseline"/>
        </w:rPr>
        <w:t> </w:t>
      </w:r>
      <w:hyperlink r:id="rId72">
        <w:r>
          <w:rPr>
            <w:color w:val="3953A4"/>
            <w:u w:val="single" w:color="3953A4"/>
            <w:vertAlign w:val="baseline"/>
          </w:rPr>
          <w:t>https://doi.org/10.1037/a0016014</w:t>
        </w:r>
      </w:hyperlink>
    </w:p>
    <w:p>
      <w:pPr>
        <w:spacing w:after="0" w:line="228" w:lineRule="auto"/>
        <w:sectPr>
          <w:type w:val="continuous"/>
          <w:pgSz w:w="12240" w:h="15840"/>
          <w:pgMar w:header="0" w:footer="666" w:top="1500" w:bottom="0" w:left="600" w:right="0"/>
          <w:cols w:num="2" w:equalWidth="0">
            <w:col w:w="5197" w:space="563"/>
            <w:col w:w="5880"/>
          </w:cols>
        </w:sectPr>
      </w:pPr>
    </w:p>
    <w:p>
      <w:pPr>
        <w:pStyle w:val="BodyText"/>
        <w:rPr>
          <w:sz w:val="20"/>
        </w:rPr>
      </w:pPr>
    </w:p>
    <w:p>
      <w:pPr>
        <w:pStyle w:val="BodyText"/>
        <w:spacing w:before="2"/>
        <w:rPr>
          <w:sz w:val="27"/>
        </w:rPr>
      </w:pPr>
    </w:p>
    <w:p>
      <w:pPr>
        <w:spacing w:after="0"/>
        <w:rPr>
          <w:sz w:val="27"/>
        </w:rPr>
        <w:sectPr>
          <w:headerReference w:type="default" r:id="rId274"/>
          <w:footerReference w:type="default" r:id="rId275"/>
          <w:pgSz w:w="12240" w:h="15840"/>
          <w:pgMar w:header="0" w:footer="666" w:top="380" w:bottom="860" w:left="600" w:right="0"/>
        </w:sectPr>
      </w:pPr>
    </w:p>
    <w:p>
      <w:pPr>
        <w:pStyle w:val="BodyText"/>
        <w:tabs>
          <w:tab w:pos="479" w:val="left" w:leader="none"/>
        </w:tabs>
        <w:spacing w:line="228" w:lineRule="auto" w:before="101"/>
        <w:ind w:left="480" w:right="296" w:hanging="360"/>
      </w:pPr>
      <w:r>
        <w:rPr>
          <w:color w:val="231F20"/>
          <w:vertAlign w:val="superscript"/>
        </w:rPr>
        <w:t>17</w:t>
      </w:r>
      <w:r>
        <w:rPr>
          <w:color w:val="231F20"/>
          <w:vertAlign w:val="baseline"/>
        </w:rPr>
        <w:tab/>
      </w:r>
      <w:r>
        <w:rPr>
          <w:color w:val="231F20"/>
          <w:spacing w:val="-2"/>
          <w:vertAlign w:val="baseline"/>
        </w:rPr>
        <w:t>Turgoose,</w:t>
      </w:r>
      <w:r>
        <w:rPr>
          <w:color w:val="231F20"/>
          <w:spacing w:val="1"/>
          <w:vertAlign w:val="baseline"/>
        </w:rPr>
        <w:t> </w:t>
      </w:r>
      <w:r>
        <w:rPr>
          <w:color w:val="231F20"/>
          <w:spacing w:val="-1"/>
          <w:vertAlign w:val="baseline"/>
        </w:rPr>
        <w:t>D.,</w:t>
      </w:r>
      <w:r>
        <w:rPr>
          <w:color w:val="231F20"/>
          <w:spacing w:val="-13"/>
          <w:vertAlign w:val="baseline"/>
        </w:rPr>
        <w:t> </w:t>
      </w:r>
      <w:r>
        <w:rPr>
          <w:color w:val="231F20"/>
          <w:spacing w:val="-1"/>
          <w:vertAlign w:val="baseline"/>
        </w:rPr>
        <w:t>Ashwick,</w:t>
      </w:r>
      <w:r>
        <w:rPr>
          <w:color w:val="231F20"/>
          <w:spacing w:val="1"/>
          <w:vertAlign w:val="baseline"/>
        </w:rPr>
        <w:t> </w:t>
      </w:r>
      <w:r>
        <w:rPr>
          <w:color w:val="231F20"/>
          <w:spacing w:val="-1"/>
          <w:vertAlign w:val="baseline"/>
        </w:rPr>
        <w:t>R.,</w:t>
      </w:r>
      <w:r>
        <w:rPr>
          <w:color w:val="231F20"/>
          <w:spacing w:val="1"/>
          <w:vertAlign w:val="baseline"/>
        </w:rPr>
        <w:t> </w:t>
      </w:r>
      <w:r>
        <w:rPr>
          <w:color w:val="231F20"/>
          <w:spacing w:val="-1"/>
          <w:vertAlign w:val="baseline"/>
        </w:rPr>
        <w:t>&amp;</w:t>
      </w:r>
      <w:r>
        <w:rPr>
          <w:color w:val="231F20"/>
          <w:spacing w:val="1"/>
          <w:vertAlign w:val="baseline"/>
        </w:rPr>
        <w:t> </w:t>
      </w:r>
      <w:r>
        <w:rPr>
          <w:color w:val="231F20"/>
          <w:spacing w:val="-1"/>
          <w:vertAlign w:val="baseline"/>
        </w:rPr>
        <w:t>Murphy,</w:t>
      </w:r>
      <w:r>
        <w:rPr>
          <w:color w:val="231F20"/>
          <w:spacing w:val="1"/>
          <w:vertAlign w:val="baseline"/>
        </w:rPr>
        <w:t> </w:t>
      </w:r>
      <w:r>
        <w:rPr>
          <w:color w:val="231F20"/>
          <w:spacing w:val="-1"/>
          <w:vertAlign w:val="baseline"/>
        </w:rPr>
        <w:t>D.</w:t>
      </w:r>
      <w:r>
        <w:rPr>
          <w:color w:val="231F20"/>
          <w:spacing w:val="1"/>
          <w:vertAlign w:val="baseline"/>
        </w:rPr>
        <w:t> </w:t>
      </w:r>
      <w:r>
        <w:rPr>
          <w:color w:val="231F20"/>
          <w:spacing w:val="-1"/>
          <w:vertAlign w:val="baseline"/>
        </w:rPr>
        <w:t>(2018).</w:t>
      </w:r>
      <w:r>
        <w:rPr>
          <w:color w:val="231F20"/>
          <w:spacing w:val="-52"/>
          <w:vertAlign w:val="baseline"/>
        </w:rPr>
        <w:t> </w:t>
      </w:r>
      <w:r>
        <w:rPr>
          <w:color w:val="231F20"/>
          <w:vertAlign w:val="baseline"/>
        </w:rPr>
        <w:t>Systematic review of lessons learned from</w:t>
      </w:r>
      <w:r>
        <w:rPr>
          <w:color w:val="231F20"/>
          <w:spacing w:val="1"/>
          <w:vertAlign w:val="baseline"/>
        </w:rPr>
        <w:t> </w:t>
      </w:r>
      <w:r>
        <w:rPr>
          <w:color w:val="231F20"/>
          <w:vertAlign w:val="baseline"/>
        </w:rPr>
        <w:t>delivering tele-therapy to veterans with post-</w:t>
      </w:r>
      <w:r>
        <w:rPr>
          <w:color w:val="231F20"/>
          <w:spacing w:val="1"/>
          <w:vertAlign w:val="baseline"/>
        </w:rPr>
        <w:t> </w:t>
      </w:r>
      <w:r>
        <w:rPr>
          <w:color w:val="231F20"/>
          <w:vertAlign w:val="baseline"/>
        </w:rPr>
        <w:t>traumatic</w:t>
      </w:r>
      <w:r>
        <w:rPr>
          <w:color w:val="231F20"/>
          <w:spacing w:val="-7"/>
          <w:vertAlign w:val="baseline"/>
        </w:rPr>
        <w:t> </w:t>
      </w:r>
      <w:r>
        <w:rPr>
          <w:color w:val="231F20"/>
          <w:vertAlign w:val="baseline"/>
        </w:rPr>
        <w:t>stress</w:t>
      </w:r>
      <w:r>
        <w:rPr>
          <w:color w:val="231F20"/>
          <w:spacing w:val="-6"/>
          <w:vertAlign w:val="baseline"/>
        </w:rPr>
        <w:t> </w:t>
      </w:r>
      <w:r>
        <w:rPr>
          <w:color w:val="231F20"/>
          <w:vertAlign w:val="baseline"/>
        </w:rPr>
        <w:t>disorder.</w:t>
      </w:r>
      <w:r>
        <w:rPr>
          <w:color w:val="231F20"/>
          <w:spacing w:val="-6"/>
          <w:vertAlign w:val="baseline"/>
        </w:rPr>
        <w:t> </w:t>
      </w:r>
      <w:r>
        <w:rPr>
          <w:i/>
          <w:color w:val="231F20"/>
          <w:vertAlign w:val="baseline"/>
        </w:rPr>
        <w:t>Journal</w:t>
      </w:r>
      <w:r>
        <w:rPr>
          <w:i/>
          <w:color w:val="231F20"/>
          <w:spacing w:val="-7"/>
          <w:vertAlign w:val="baseline"/>
        </w:rPr>
        <w:t> </w:t>
      </w:r>
      <w:r>
        <w:rPr>
          <w:i/>
          <w:color w:val="231F20"/>
          <w:vertAlign w:val="baseline"/>
        </w:rPr>
        <w:t>of</w:t>
      </w:r>
      <w:r>
        <w:rPr>
          <w:i/>
          <w:color w:val="231F20"/>
          <w:spacing w:val="-6"/>
          <w:vertAlign w:val="baseline"/>
        </w:rPr>
        <w:t> </w:t>
      </w:r>
      <w:r>
        <w:rPr>
          <w:i/>
          <w:color w:val="231F20"/>
          <w:vertAlign w:val="baseline"/>
        </w:rPr>
        <w:t>Telemedicine</w:t>
      </w:r>
      <w:r>
        <w:rPr>
          <w:i/>
          <w:color w:val="231F20"/>
          <w:spacing w:val="-52"/>
          <w:vertAlign w:val="baseline"/>
        </w:rPr>
        <w:t> </w:t>
      </w:r>
      <w:r>
        <w:rPr>
          <w:i/>
          <w:color w:val="231F20"/>
          <w:vertAlign w:val="baseline"/>
        </w:rPr>
        <w:t>and Telecare, 24</w:t>
      </w:r>
      <w:r>
        <w:rPr>
          <w:color w:val="231F20"/>
          <w:vertAlign w:val="baseline"/>
        </w:rPr>
        <w:t>(9), 575-585. </w:t>
      </w:r>
      <w:hyperlink r:id="rId89">
        <w:r>
          <w:rPr>
            <w:color w:val="3953A4"/>
            <w:u w:val="single" w:color="3953A4"/>
            <w:vertAlign w:val="baseline"/>
          </w:rPr>
          <w:t>https://doi.</w:t>
        </w:r>
      </w:hyperlink>
      <w:r>
        <w:rPr>
          <w:color w:val="3953A4"/>
          <w:spacing w:val="1"/>
          <w:vertAlign w:val="baseline"/>
        </w:rPr>
        <w:t> </w:t>
      </w:r>
      <w:hyperlink r:id="rId89">
        <w:r>
          <w:rPr>
            <w:color w:val="3953A4"/>
            <w:u w:val="single" w:color="3953A4"/>
            <w:vertAlign w:val="baseline"/>
          </w:rPr>
          <w:t>org/10.1177/1357633X17730443</w:t>
        </w:r>
      </w:hyperlink>
    </w:p>
    <w:p>
      <w:pPr>
        <w:pStyle w:val="BodyText"/>
        <w:tabs>
          <w:tab w:pos="479" w:val="left" w:leader="none"/>
        </w:tabs>
        <w:spacing w:line="228" w:lineRule="auto" w:before="88"/>
        <w:ind w:left="480" w:right="123" w:hanging="360"/>
      </w:pPr>
      <w:r>
        <w:rPr>
          <w:color w:val="231F20"/>
          <w:vertAlign w:val="superscript"/>
        </w:rPr>
        <w:t>18</w:t>
      </w:r>
      <w:r>
        <w:rPr>
          <w:color w:val="231F20"/>
          <w:vertAlign w:val="baseline"/>
        </w:rPr>
        <w:tab/>
      </w:r>
      <w:r>
        <w:rPr>
          <w:color w:val="231F20"/>
          <w:spacing w:val="-1"/>
          <w:vertAlign w:val="baseline"/>
        </w:rPr>
        <w:t>Uscher-Pines, </w:t>
      </w:r>
      <w:r>
        <w:rPr>
          <w:color w:val="231F20"/>
          <w:vertAlign w:val="baseline"/>
        </w:rPr>
        <w:t>L., Raja, P., Mehrotra, A., &amp;</w:t>
      </w:r>
      <w:r>
        <w:rPr>
          <w:color w:val="231F20"/>
          <w:spacing w:val="1"/>
          <w:vertAlign w:val="baseline"/>
        </w:rPr>
        <w:t> </w:t>
      </w:r>
      <w:r>
        <w:rPr>
          <w:color w:val="231F20"/>
          <w:vertAlign w:val="baseline"/>
        </w:rPr>
        <w:t>Huskamp, H. (2020). Health center implementation</w:t>
      </w:r>
      <w:r>
        <w:rPr>
          <w:color w:val="231F20"/>
          <w:spacing w:val="-52"/>
          <w:vertAlign w:val="baseline"/>
        </w:rPr>
        <w:t> </w:t>
      </w:r>
      <w:r>
        <w:rPr>
          <w:color w:val="231F20"/>
          <w:vertAlign w:val="baseline"/>
        </w:rPr>
        <w:t>of telemedicine for opioid use disorders: A</w:t>
      </w:r>
      <w:r>
        <w:rPr>
          <w:color w:val="231F20"/>
          <w:spacing w:val="1"/>
          <w:vertAlign w:val="baseline"/>
        </w:rPr>
        <w:t> </w:t>
      </w:r>
      <w:r>
        <w:rPr>
          <w:color w:val="231F20"/>
          <w:vertAlign w:val="baseline"/>
        </w:rPr>
        <w:t>qualitative assessment of adopters and nonadopters.</w:t>
      </w:r>
      <w:r>
        <w:rPr>
          <w:color w:val="231F20"/>
          <w:spacing w:val="-52"/>
          <w:vertAlign w:val="baseline"/>
        </w:rPr>
        <w:t> </w:t>
      </w:r>
      <w:r>
        <w:rPr>
          <w:i/>
          <w:color w:val="231F20"/>
          <w:vertAlign w:val="baseline"/>
        </w:rPr>
        <w:t>Journal of Substance Abuse Treatment</w:t>
      </w:r>
      <w:r>
        <w:rPr>
          <w:color w:val="231F20"/>
          <w:vertAlign w:val="baseline"/>
        </w:rPr>
        <w:t>, 108037.</w:t>
      </w:r>
      <w:r>
        <w:rPr>
          <w:color w:val="231F20"/>
          <w:spacing w:val="1"/>
          <w:vertAlign w:val="baseline"/>
        </w:rPr>
        <w:t> </w:t>
      </w:r>
      <w:hyperlink r:id="rId57">
        <w:r>
          <w:rPr>
            <w:color w:val="3953A4"/>
            <w:u w:val="single" w:color="3953A4"/>
            <w:vertAlign w:val="baseline"/>
          </w:rPr>
          <w:t>https://doi.org/10.1016/j.jsat.2020.108037</w:t>
        </w:r>
      </w:hyperlink>
    </w:p>
    <w:p>
      <w:pPr>
        <w:pStyle w:val="BodyText"/>
        <w:tabs>
          <w:tab w:pos="479" w:val="left" w:leader="none"/>
        </w:tabs>
        <w:spacing w:line="228" w:lineRule="auto" w:before="88"/>
        <w:ind w:left="480" w:right="450" w:hanging="360"/>
      </w:pPr>
      <w:r>
        <w:rPr>
          <w:color w:val="231F20"/>
          <w:vertAlign w:val="superscript"/>
        </w:rPr>
        <w:t>19</w:t>
      </w:r>
      <w:r>
        <w:rPr>
          <w:color w:val="231F20"/>
          <w:vertAlign w:val="baseline"/>
        </w:rPr>
        <w:tab/>
      </w:r>
      <w:r>
        <w:rPr>
          <w:color w:val="231F20"/>
          <w:spacing w:val="-1"/>
          <w:vertAlign w:val="baseline"/>
        </w:rPr>
        <w:t>Boggs, J. M., Beck, A., Felder, </w:t>
      </w:r>
      <w:r>
        <w:rPr>
          <w:color w:val="231F20"/>
          <w:vertAlign w:val="baseline"/>
        </w:rPr>
        <w:t>J. N., Dimidjian,</w:t>
      </w:r>
      <w:r>
        <w:rPr>
          <w:color w:val="231F20"/>
          <w:spacing w:val="-52"/>
          <w:vertAlign w:val="baseline"/>
        </w:rPr>
        <w:t> </w:t>
      </w:r>
      <w:r>
        <w:rPr>
          <w:color w:val="231F20"/>
          <w:spacing w:val="-2"/>
          <w:vertAlign w:val="baseline"/>
        </w:rPr>
        <w:t>S., Metcalf, C. A., &amp; Segal, Z. V. </w:t>
      </w:r>
      <w:r>
        <w:rPr>
          <w:color w:val="231F20"/>
          <w:spacing w:val="-1"/>
          <w:vertAlign w:val="baseline"/>
        </w:rPr>
        <w:t>(2014). Web-</w:t>
      </w:r>
      <w:r>
        <w:rPr>
          <w:color w:val="231F20"/>
          <w:vertAlign w:val="baseline"/>
        </w:rPr>
        <w:t> based</w:t>
      </w:r>
      <w:r>
        <w:rPr>
          <w:color w:val="231F20"/>
          <w:spacing w:val="1"/>
          <w:vertAlign w:val="baseline"/>
        </w:rPr>
        <w:t> </w:t>
      </w:r>
      <w:r>
        <w:rPr>
          <w:color w:val="231F20"/>
          <w:vertAlign w:val="baseline"/>
        </w:rPr>
        <w:t>intervention</w:t>
      </w:r>
      <w:r>
        <w:rPr>
          <w:color w:val="231F20"/>
          <w:spacing w:val="2"/>
          <w:vertAlign w:val="baseline"/>
        </w:rPr>
        <w:t> </w:t>
      </w:r>
      <w:r>
        <w:rPr>
          <w:color w:val="231F20"/>
          <w:vertAlign w:val="baseline"/>
        </w:rPr>
        <w:t>in</w:t>
      </w:r>
      <w:r>
        <w:rPr>
          <w:color w:val="231F20"/>
          <w:spacing w:val="2"/>
          <w:vertAlign w:val="baseline"/>
        </w:rPr>
        <w:t> </w:t>
      </w:r>
      <w:r>
        <w:rPr>
          <w:color w:val="231F20"/>
          <w:vertAlign w:val="baseline"/>
        </w:rPr>
        <w:t>mindfulness</w:t>
      </w:r>
      <w:r>
        <w:rPr>
          <w:color w:val="231F20"/>
          <w:spacing w:val="1"/>
          <w:vertAlign w:val="baseline"/>
        </w:rPr>
        <w:t> </w:t>
      </w:r>
      <w:r>
        <w:rPr>
          <w:color w:val="231F20"/>
          <w:vertAlign w:val="baseline"/>
        </w:rPr>
        <w:t>meditation</w:t>
      </w:r>
      <w:r>
        <w:rPr>
          <w:color w:val="231F20"/>
          <w:spacing w:val="1"/>
          <w:vertAlign w:val="baseline"/>
        </w:rPr>
        <w:t> </w:t>
      </w:r>
      <w:r>
        <w:rPr>
          <w:color w:val="231F20"/>
          <w:vertAlign w:val="baseline"/>
        </w:rPr>
        <w:t>for reducing residual depressive symptoms and</w:t>
      </w:r>
    </w:p>
    <w:p>
      <w:pPr>
        <w:spacing w:line="228" w:lineRule="auto" w:before="0"/>
        <w:ind w:left="480" w:right="38" w:firstLine="0"/>
        <w:jc w:val="left"/>
        <w:rPr>
          <w:sz w:val="22"/>
        </w:rPr>
      </w:pPr>
      <w:r>
        <w:rPr>
          <w:color w:val="231F20"/>
          <w:spacing w:val="-1"/>
          <w:sz w:val="22"/>
        </w:rPr>
        <w:t>relapse</w:t>
      </w:r>
      <w:r>
        <w:rPr>
          <w:color w:val="231F20"/>
          <w:sz w:val="22"/>
        </w:rPr>
        <w:t> </w:t>
      </w:r>
      <w:r>
        <w:rPr>
          <w:color w:val="231F20"/>
          <w:spacing w:val="-1"/>
          <w:sz w:val="22"/>
        </w:rPr>
        <w:t>prophylaxis:</w:t>
      </w:r>
      <w:r>
        <w:rPr>
          <w:color w:val="231F20"/>
          <w:spacing w:val="-13"/>
          <w:sz w:val="22"/>
        </w:rPr>
        <w:t> </w:t>
      </w:r>
      <w:r>
        <w:rPr>
          <w:color w:val="231F20"/>
          <w:spacing w:val="-1"/>
          <w:sz w:val="22"/>
        </w:rPr>
        <w:t>A</w:t>
      </w:r>
      <w:r>
        <w:rPr>
          <w:color w:val="231F20"/>
          <w:spacing w:val="-13"/>
          <w:sz w:val="22"/>
        </w:rPr>
        <w:t> </w:t>
      </w:r>
      <w:r>
        <w:rPr>
          <w:color w:val="231F20"/>
          <w:spacing w:val="-1"/>
          <w:sz w:val="22"/>
        </w:rPr>
        <w:t>qualitative</w:t>
      </w:r>
      <w:r>
        <w:rPr>
          <w:color w:val="231F20"/>
          <w:sz w:val="22"/>
        </w:rPr>
        <w:t> study. </w:t>
      </w:r>
      <w:r>
        <w:rPr>
          <w:i/>
          <w:color w:val="231F20"/>
          <w:sz w:val="22"/>
        </w:rPr>
        <w:t>Journal of</w:t>
      </w:r>
      <w:r>
        <w:rPr>
          <w:i/>
          <w:color w:val="231F20"/>
          <w:spacing w:val="-52"/>
          <w:sz w:val="22"/>
        </w:rPr>
        <w:t> </w:t>
      </w:r>
      <w:r>
        <w:rPr>
          <w:i/>
          <w:color w:val="231F20"/>
          <w:sz w:val="22"/>
        </w:rPr>
        <w:t>Medical Internet Research, 16</w:t>
      </w:r>
      <w:r>
        <w:rPr>
          <w:color w:val="231F20"/>
          <w:sz w:val="22"/>
        </w:rPr>
        <w:t>(3), e87. </w:t>
      </w:r>
      <w:hyperlink r:id="rId276">
        <w:r>
          <w:rPr>
            <w:color w:val="3953A4"/>
            <w:sz w:val="22"/>
            <w:u w:val="single" w:color="3953A4"/>
          </w:rPr>
          <w:t>https://doi.</w:t>
        </w:r>
      </w:hyperlink>
      <w:r>
        <w:rPr>
          <w:color w:val="3953A4"/>
          <w:spacing w:val="1"/>
          <w:sz w:val="22"/>
        </w:rPr>
        <w:t> </w:t>
      </w:r>
      <w:hyperlink r:id="rId276">
        <w:r>
          <w:rPr>
            <w:color w:val="3953A4"/>
            <w:sz w:val="22"/>
            <w:u w:val="single" w:color="3953A4"/>
          </w:rPr>
          <w:t>org/10.2196/jmir.3129</w:t>
        </w:r>
      </w:hyperlink>
    </w:p>
    <w:p>
      <w:pPr>
        <w:pStyle w:val="BodyText"/>
        <w:tabs>
          <w:tab w:pos="479" w:val="left" w:leader="none"/>
        </w:tabs>
        <w:spacing w:line="228" w:lineRule="auto" w:before="88"/>
        <w:ind w:left="480" w:right="211" w:hanging="360"/>
      </w:pPr>
      <w:r>
        <w:rPr>
          <w:color w:val="231F20"/>
          <w:vertAlign w:val="superscript"/>
        </w:rPr>
        <w:t>20</w:t>
      </w:r>
      <w:r>
        <w:rPr>
          <w:color w:val="231F20"/>
          <w:vertAlign w:val="baseline"/>
        </w:rPr>
        <w:tab/>
      </w:r>
      <w:r>
        <w:rPr>
          <w:color w:val="231F20"/>
          <w:spacing w:val="-1"/>
          <w:vertAlign w:val="baseline"/>
        </w:rPr>
        <w:t>Van</w:t>
      </w:r>
      <w:r>
        <w:rPr>
          <w:color w:val="231F20"/>
          <w:spacing w:val="-10"/>
          <w:vertAlign w:val="baseline"/>
        </w:rPr>
        <w:t> </w:t>
      </w:r>
      <w:r>
        <w:rPr>
          <w:color w:val="231F20"/>
          <w:vertAlign w:val="baseline"/>
        </w:rPr>
        <w:t>der</w:t>
      </w:r>
      <w:r>
        <w:rPr>
          <w:color w:val="231F20"/>
          <w:spacing w:val="-14"/>
          <w:vertAlign w:val="baseline"/>
        </w:rPr>
        <w:t> </w:t>
      </w:r>
      <w:r>
        <w:rPr>
          <w:color w:val="231F20"/>
          <w:vertAlign w:val="baseline"/>
        </w:rPr>
        <w:t>Vaart,</w:t>
      </w:r>
      <w:r>
        <w:rPr>
          <w:color w:val="231F20"/>
          <w:spacing w:val="-9"/>
          <w:vertAlign w:val="baseline"/>
        </w:rPr>
        <w:t> </w:t>
      </w:r>
      <w:r>
        <w:rPr>
          <w:color w:val="231F20"/>
          <w:vertAlign w:val="baseline"/>
        </w:rPr>
        <w:t>R.,</w:t>
      </w:r>
      <w:r>
        <w:rPr>
          <w:color w:val="231F20"/>
          <w:spacing w:val="-14"/>
          <w:vertAlign w:val="baseline"/>
        </w:rPr>
        <w:t> </w:t>
      </w:r>
      <w:r>
        <w:rPr>
          <w:color w:val="231F20"/>
          <w:vertAlign w:val="baseline"/>
        </w:rPr>
        <w:t>Witting,</w:t>
      </w:r>
      <w:r>
        <w:rPr>
          <w:color w:val="231F20"/>
          <w:spacing w:val="-9"/>
          <w:vertAlign w:val="baseline"/>
        </w:rPr>
        <w:t> </w:t>
      </w:r>
      <w:r>
        <w:rPr>
          <w:color w:val="231F20"/>
          <w:vertAlign w:val="baseline"/>
        </w:rPr>
        <w:t>M.,</w:t>
      </w:r>
      <w:r>
        <w:rPr>
          <w:color w:val="231F20"/>
          <w:spacing w:val="-11"/>
          <w:vertAlign w:val="baseline"/>
        </w:rPr>
        <w:t> </w:t>
      </w:r>
      <w:r>
        <w:rPr>
          <w:color w:val="231F20"/>
          <w:vertAlign w:val="baseline"/>
        </w:rPr>
        <w:t>Riper,</w:t>
      </w:r>
      <w:r>
        <w:rPr>
          <w:color w:val="231F20"/>
          <w:spacing w:val="-9"/>
          <w:vertAlign w:val="baseline"/>
        </w:rPr>
        <w:t> </w:t>
      </w:r>
      <w:r>
        <w:rPr>
          <w:color w:val="231F20"/>
          <w:vertAlign w:val="baseline"/>
        </w:rPr>
        <w:t>H.,</w:t>
      </w:r>
      <w:r>
        <w:rPr>
          <w:color w:val="231F20"/>
          <w:spacing w:val="-11"/>
          <w:vertAlign w:val="baseline"/>
        </w:rPr>
        <w:t> </w:t>
      </w:r>
      <w:r>
        <w:rPr>
          <w:color w:val="231F20"/>
          <w:vertAlign w:val="baseline"/>
        </w:rPr>
        <w:t>Kooistra,</w:t>
      </w:r>
      <w:r>
        <w:rPr>
          <w:color w:val="231F20"/>
          <w:spacing w:val="-52"/>
          <w:vertAlign w:val="baseline"/>
        </w:rPr>
        <w:t> </w:t>
      </w:r>
      <w:r>
        <w:rPr>
          <w:color w:val="231F20"/>
          <w:vertAlign w:val="baseline"/>
        </w:rPr>
        <w:t>L., Bohlmeijer, E. T., &amp; van Gemert-Pijnen, L. J.</w:t>
      </w:r>
      <w:r>
        <w:rPr>
          <w:color w:val="231F20"/>
          <w:spacing w:val="1"/>
          <w:vertAlign w:val="baseline"/>
        </w:rPr>
        <w:t> </w:t>
      </w:r>
      <w:r>
        <w:rPr>
          <w:color w:val="231F20"/>
          <w:vertAlign w:val="baseline"/>
        </w:rPr>
        <w:t>(2014). Blending online therapy into regular face-</w:t>
      </w:r>
      <w:r>
        <w:rPr>
          <w:color w:val="231F20"/>
          <w:spacing w:val="1"/>
          <w:vertAlign w:val="baseline"/>
        </w:rPr>
        <w:t> </w:t>
      </w:r>
      <w:r>
        <w:rPr>
          <w:color w:val="231F20"/>
          <w:vertAlign w:val="baseline"/>
        </w:rPr>
        <w:t>to-face therapy for depression: Content, ratio and</w:t>
      </w:r>
      <w:r>
        <w:rPr>
          <w:color w:val="231F20"/>
          <w:spacing w:val="1"/>
          <w:vertAlign w:val="baseline"/>
        </w:rPr>
        <w:t> </w:t>
      </w:r>
      <w:r>
        <w:rPr>
          <w:color w:val="231F20"/>
          <w:vertAlign w:val="baseline"/>
        </w:rPr>
        <w:t>preconditions according to patients and therapists</w:t>
      </w:r>
      <w:r>
        <w:rPr>
          <w:color w:val="231F20"/>
          <w:spacing w:val="1"/>
          <w:vertAlign w:val="baseline"/>
        </w:rPr>
        <w:t> </w:t>
      </w:r>
      <w:r>
        <w:rPr>
          <w:color w:val="231F20"/>
          <w:vertAlign w:val="baseline"/>
        </w:rPr>
        <w:t>using a Delphi study. </w:t>
      </w:r>
      <w:r>
        <w:rPr>
          <w:i/>
          <w:color w:val="231F20"/>
          <w:vertAlign w:val="baseline"/>
        </w:rPr>
        <w:t>BMC Psychiatry, 14</w:t>
      </w:r>
      <w:r>
        <w:rPr>
          <w:color w:val="231F20"/>
          <w:vertAlign w:val="baseline"/>
        </w:rPr>
        <w:t>(1), 355.</w:t>
      </w:r>
      <w:r>
        <w:rPr>
          <w:color w:val="231F20"/>
          <w:spacing w:val="-52"/>
          <w:vertAlign w:val="baseline"/>
        </w:rPr>
        <w:t> </w:t>
      </w:r>
      <w:hyperlink r:id="rId277">
        <w:r>
          <w:rPr>
            <w:color w:val="3953A4"/>
            <w:u w:val="single" w:color="3953A4"/>
            <w:vertAlign w:val="baseline"/>
          </w:rPr>
          <w:t>https://doi.org/10.1186/s12888-014-0355-z</w:t>
        </w:r>
      </w:hyperlink>
    </w:p>
    <w:p>
      <w:pPr>
        <w:pStyle w:val="BodyText"/>
        <w:tabs>
          <w:tab w:pos="479" w:val="left" w:leader="none"/>
        </w:tabs>
        <w:spacing w:line="228" w:lineRule="auto" w:before="87"/>
        <w:ind w:left="480" w:right="38" w:hanging="360"/>
      </w:pPr>
      <w:r>
        <w:rPr>
          <w:color w:val="231F20"/>
          <w:vertAlign w:val="superscript"/>
        </w:rPr>
        <w:t>21</w:t>
      </w:r>
      <w:r>
        <w:rPr>
          <w:color w:val="231F20"/>
          <w:vertAlign w:val="baseline"/>
        </w:rPr>
        <w:tab/>
        <w:t>Alessi, C. (2020). Clinician burnout during the times</w:t>
      </w:r>
      <w:r>
        <w:rPr>
          <w:color w:val="231F20"/>
          <w:spacing w:val="-52"/>
          <w:vertAlign w:val="baseline"/>
        </w:rPr>
        <w:t> </w:t>
      </w:r>
      <w:r>
        <w:rPr>
          <w:color w:val="231F20"/>
          <w:vertAlign w:val="baseline"/>
        </w:rPr>
        <w:t>of COVID-19. </w:t>
      </w:r>
      <w:r>
        <w:rPr>
          <w:i/>
          <w:color w:val="231F20"/>
          <w:vertAlign w:val="baseline"/>
        </w:rPr>
        <w:t>Healthcare IT News</w:t>
      </w:r>
      <w:r>
        <w:rPr>
          <w:color w:val="231F20"/>
          <w:vertAlign w:val="baseline"/>
        </w:rPr>
        <w:t>. </w:t>
      </w:r>
      <w:hyperlink r:id="rId278">
        <w:r>
          <w:rPr>
            <w:color w:val="3953A4"/>
            <w:u w:val="single" w:color="3953A4"/>
            <w:vertAlign w:val="baseline"/>
          </w:rPr>
          <w:t>https://www.</w:t>
        </w:r>
      </w:hyperlink>
      <w:r>
        <w:rPr>
          <w:color w:val="3953A4"/>
          <w:spacing w:val="1"/>
          <w:vertAlign w:val="baseline"/>
        </w:rPr>
        <w:t> </w:t>
      </w:r>
      <w:hyperlink r:id="rId278">
        <w:r>
          <w:rPr>
            <w:color w:val="3953A4"/>
            <w:u w:val="single" w:color="3953A4"/>
            <w:vertAlign w:val="baseline"/>
          </w:rPr>
          <w:t>healthcareitnews.com/blog/emea/clinician-burnout-</w:t>
        </w:r>
      </w:hyperlink>
      <w:r>
        <w:rPr>
          <w:color w:val="3953A4"/>
          <w:spacing w:val="1"/>
          <w:vertAlign w:val="baseline"/>
        </w:rPr>
        <w:t> </w:t>
      </w:r>
      <w:hyperlink r:id="rId278">
        <w:r>
          <w:rPr>
            <w:color w:val="3953A4"/>
            <w:u w:val="single" w:color="3953A4"/>
            <w:vertAlign w:val="baseline"/>
          </w:rPr>
          <w:t>during-times-covid-19</w:t>
        </w:r>
      </w:hyperlink>
    </w:p>
    <w:p>
      <w:pPr>
        <w:pStyle w:val="BodyText"/>
        <w:tabs>
          <w:tab w:pos="479" w:val="left" w:leader="none"/>
        </w:tabs>
        <w:spacing w:line="228" w:lineRule="auto" w:before="89"/>
        <w:ind w:left="480" w:right="113" w:hanging="360"/>
      </w:pPr>
      <w:r>
        <w:rPr>
          <w:color w:val="231F20"/>
          <w:vertAlign w:val="superscript"/>
        </w:rPr>
        <w:t>22</w:t>
      </w:r>
      <w:r>
        <w:rPr>
          <w:color w:val="231F20"/>
          <w:vertAlign w:val="baseline"/>
        </w:rPr>
        <w:tab/>
      </w:r>
      <w:r>
        <w:rPr>
          <w:color w:val="231F20"/>
          <w:spacing w:val="-1"/>
          <w:vertAlign w:val="baseline"/>
        </w:rPr>
        <w:t>Zenooz, A. M. (2020). Telehealth </w:t>
      </w:r>
      <w:r>
        <w:rPr>
          <w:color w:val="231F20"/>
          <w:vertAlign w:val="baseline"/>
        </w:rPr>
        <w:t>is working for</w:t>
      </w:r>
      <w:r>
        <w:rPr>
          <w:color w:val="231F20"/>
          <w:spacing w:val="1"/>
          <w:vertAlign w:val="baseline"/>
        </w:rPr>
        <w:t> </w:t>
      </w:r>
      <w:r>
        <w:rPr>
          <w:color w:val="231F20"/>
          <w:vertAlign w:val="baseline"/>
        </w:rPr>
        <w:t>patients.</w:t>
      </w:r>
      <w:r>
        <w:rPr>
          <w:color w:val="231F20"/>
          <w:spacing w:val="-4"/>
          <w:vertAlign w:val="baseline"/>
        </w:rPr>
        <w:t> </w:t>
      </w:r>
      <w:r>
        <w:rPr>
          <w:color w:val="231F20"/>
          <w:vertAlign w:val="baseline"/>
        </w:rPr>
        <w:t>But</w:t>
      </w:r>
      <w:r>
        <w:rPr>
          <w:color w:val="231F20"/>
          <w:spacing w:val="-4"/>
          <w:vertAlign w:val="baseline"/>
        </w:rPr>
        <w:t> </w:t>
      </w:r>
      <w:r>
        <w:rPr>
          <w:color w:val="231F20"/>
          <w:vertAlign w:val="baseline"/>
        </w:rPr>
        <w:t>what</w:t>
      </w:r>
      <w:r>
        <w:rPr>
          <w:color w:val="231F20"/>
          <w:spacing w:val="-4"/>
          <w:vertAlign w:val="baseline"/>
        </w:rPr>
        <w:t> </w:t>
      </w:r>
      <w:r>
        <w:rPr>
          <w:color w:val="231F20"/>
          <w:vertAlign w:val="baseline"/>
        </w:rPr>
        <w:t>about</w:t>
      </w:r>
      <w:r>
        <w:rPr>
          <w:color w:val="231F20"/>
          <w:spacing w:val="-4"/>
          <w:vertAlign w:val="baseline"/>
        </w:rPr>
        <w:t> </w:t>
      </w:r>
      <w:r>
        <w:rPr>
          <w:color w:val="231F20"/>
          <w:vertAlign w:val="baseline"/>
        </w:rPr>
        <w:t>doctors?</w:t>
      </w:r>
      <w:r>
        <w:rPr>
          <w:color w:val="231F20"/>
          <w:spacing w:val="-5"/>
          <w:vertAlign w:val="baseline"/>
        </w:rPr>
        <w:t> </w:t>
      </w:r>
      <w:r>
        <w:rPr>
          <w:i/>
          <w:color w:val="231F20"/>
          <w:vertAlign w:val="baseline"/>
        </w:rPr>
        <w:t>Harvard</w:t>
      </w:r>
      <w:r>
        <w:rPr>
          <w:i/>
          <w:color w:val="231F20"/>
          <w:spacing w:val="-3"/>
          <w:vertAlign w:val="baseline"/>
        </w:rPr>
        <w:t> </w:t>
      </w:r>
      <w:r>
        <w:rPr>
          <w:i/>
          <w:color w:val="231F20"/>
          <w:vertAlign w:val="baseline"/>
        </w:rPr>
        <w:t>Business</w:t>
      </w:r>
      <w:r>
        <w:rPr>
          <w:i/>
          <w:color w:val="231F20"/>
          <w:spacing w:val="-52"/>
          <w:vertAlign w:val="baseline"/>
        </w:rPr>
        <w:t> </w:t>
      </w:r>
      <w:r>
        <w:rPr>
          <w:i/>
          <w:color w:val="231F20"/>
          <w:vertAlign w:val="baseline"/>
        </w:rPr>
        <w:t>Review</w:t>
      </w:r>
      <w:r>
        <w:rPr>
          <w:color w:val="231F20"/>
          <w:vertAlign w:val="baseline"/>
        </w:rPr>
        <w:t>. </w:t>
      </w:r>
      <w:hyperlink r:id="rId279">
        <w:r>
          <w:rPr>
            <w:color w:val="3953A4"/>
            <w:u w:val="single" w:color="3953A4"/>
            <w:vertAlign w:val="baseline"/>
          </w:rPr>
          <w:t>https://hbr.org/2020/11/telehealth-is-</w:t>
        </w:r>
      </w:hyperlink>
      <w:r>
        <w:rPr>
          <w:color w:val="3953A4"/>
          <w:spacing w:val="1"/>
          <w:vertAlign w:val="baseline"/>
        </w:rPr>
        <w:t> </w:t>
      </w:r>
      <w:hyperlink r:id="rId279">
        <w:r>
          <w:rPr>
            <w:color w:val="3953A4"/>
            <w:u w:val="single" w:color="3953A4"/>
            <w:vertAlign w:val="baseline"/>
          </w:rPr>
          <w:t>working-for-patients-but-what-about-doctors</w:t>
        </w:r>
      </w:hyperlink>
    </w:p>
    <w:p>
      <w:pPr>
        <w:pStyle w:val="BodyText"/>
        <w:tabs>
          <w:tab w:pos="479" w:val="left" w:leader="none"/>
        </w:tabs>
        <w:spacing w:line="228" w:lineRule="auto" w:before="89"/>
        <w:ind w:left="480" w:right="78" w:hanging="360"/>
      </w:pPr>
      <w:r>
        <w:rPr>
          <w:color w:val="231F20"/>
          <w:vertAlign w:val="superscript"/>
        </w:rPr>
        <w:t>23</w:t>
      </w:r>
      <w:r>
        <w:rPr>
          <w:color w:val="231F20"/>
          <w:vertAlign w:val="baseline"/>
        </w:rPr>
        <w:tab/>
        <w:t>Watzlaf, V. J., Zhou, L., DeAlmeida, D. R., &amp;</w:t>
      </w:r>
      <w:r>
        <w:rPr>
          <w:color w:val="231F20"/>
          <w:spacing w:val="1"/>
          <w:vertAlign w:val="baseline"/>
        </w:rPr>
        <w:t> </w:t>
      </w:r>
      <w:r>
        <w:rPr>
          <w:color w:val="231F20"/>
          <w:vertAlign w:val="baseline"/>
        </w:rPr>
        <w:t>Hartman, L. M. (2017). A systematic review of</w:t>
      </w:r>
      <w:r>
        <w:rPr>
          <w:color w:val="231F20"/>
          <w:spacing w:val="1"/>
          <w:vertAlign w:val="baseline"/>
        </w:rPr>
        <w:t> </w:t>
      </w:r>
      <w:r>
        <w:rPr>
          <w:color w:val="231F20"/>
          <w:vertAlign w:val="baseline"/>
        </w:rPr>
        <w:t>research studies examining telehealth privacy and</w:t>
      </w:r>
      <w:r>
        <w:rPr>
          <w:color w:val="231F20"/>
          <w:spacing w:val="1"/>
          <w:vertAlign w:val="baseline"/>
        </w:rPr>
        <w:t> </w:t>
      </w:r>
      <w:r>
        <w:rPr>
          <w:color w:val="231F20"/>
          <w:vertAlign w:val="baseline"/>
        </w:rPr>
        <w:t>security practices used by healthcare providers.</w:t>
      </w:r>
      <w:r>
        <w:rPr>
          <w:color w:val="231F20"/>
          <w:spacing w:val="1"/>
          <w:vertAlign w:val="baseline"/>
        </w:rPr>
        <w:t> </w:t>
      </w:r>
      <w:r>
        <w:rPr>
          <w:i/>
          <w:color w:val="231F20"/>
          <w:vertAlign w:val="baseline"/>
        </w:rPr>
        <w:t>International</w:t>
      </w:r>
      <w:r>
        <w:rPr>
          <w:i/>
          <w:color w:val="231F20"/>
          <w:spacing w:val="-9"/>
          <w:vertAlign w:val="baseline"/>
        </w:rPr>
        <w:t> </w:t>
      </w:r>
      <w:r>
        <w:rPr>
          <w:i/>
          <w:color w:val="231F20"/>
          <w:vertAlign w:val="baseline"/>
        </w:rPr>
        <w:t>Journal</w:t>
      </w:r>
      <w:r>
        <w:rPr>
          <w:i/>
          <w:color w:val="231F20"/>
          <w:spacing w:val="-8"/>
          <w:vertAlign w:val="baseline"/>
        </w:rPr>
        <w:t> </w:t>
      </w:r>
      <w:r>
        <w:rPr>
          <w:i/>
          <w:color w:val="231F20"/>
          <w:vertAlign w:val="baseline"/>
        </w:rPr>
        <w:t>of</w:t>
      </w:r>
      <w:r>
        <w:rPr>
          <w:i/>
          <w:color w:val="231F20"/>
          <w:spacing w:val="-9"/>
          <w:vertAlign w:val="baseline"/>
        </w:rPr>
        <w:t> </w:t>
      </w:r>
      <w:r>
        <w:rPr>
          <w:i/>
          <w:color w:val="231F20"/>
          <w:vertAlign w:val="baseline"/>
        </w:rPr>
        <w:t>Telerehabilitation,</w:t>
      </w:r>
      <w:r>
        <w:rPr>
          <w:i/>
          <w:color w:val="231F20"/>
          <w:spacing w:val="-8"/>
          <w:vertAlign w:val="baseline"/>
        </w:rPr>
        <w:t> </w:t>
      </w:r>
      <w:r>
        <w:rPr>
          <w:i/>
          <w:color w:val="231F20"/>
          <w:vertAlign w:val="baseline"/>
        </w:rPr>
        <w:t>9</w:t>
      </w:r>
      <w:r>
        <w:rPr>
          <w:color w:val="231F20"/>
          <w:vertAlign w:val="baseline"/>
        </w:rPr>
        <w:t>(2),</w:t>
      </w:r>
      <w:r>
        <w:rPr>
          <w:color w:val="231F20"/>
          <w:spacing w:val="-9"/>
          <w:vertAlign w:val="baseline"/>
        </w:rPr>
        <w:t> </w:t>
      </w:r>
      <w:r>
        <w:rPr>
          <w:color w:val="231F20"/>
          <w:vertAlign w:val="baseline"/>
        </w:rPr>
        <w:t>39.</w:t>
      </w:r>
      <w:r>
        <w:rPr>
          <w:color w:val="231F20"/>
          <w:spacing w:val="-52"/>
          <w:vertAlign w:val="baseline"/>
        </w:rPr>
        <w:t> </w:t>
      </w:r>
      <w:hyperlink r:id="rId280">
        <w:r>
          <w:rPr>
            <w:color w:val="3953A4"/>
            <w:u w:val="single" w:color="3953A4"/>
            <w:vertAlign w:val="baseline"/>
          </w:rPr>
          <w:t>https://doi.org/10.5195/ijt.2017.6231</w:t>
        </w:r>
      </w:hyperlink>
    </w:p>
    <w:p>
      <w:pPr>
        <w:pStyle w:val="BodyText"/>
        <w:tabs>
          <w:tab w:pos="479" w:val="left" w:leader="none"/>
        </w:tabs>
        <w:spacing w:line="228" w:lineRule="auto" w:before="88"/>
        <w:ind w:left="480" w:right="287" w:hanging="360"/>
      </w:pPr>
      <w:r>
        <w:rPr>
          <w:color w:val="231F20"/>
          <w:vertAlign w:val="superscript"/>
        </w:rPr>
        <w:t>24</w:t>
      </w:r>
      <w:r>
        <w:rPr>
          <w:color w:val="231F20"/>
          <w:vertAlign w:val="baseline"/>
        </w:rPr>
        <w:tab/>
        <w:t>Baker,</w:t>
      </w:r>
      <w:r>
        <w:rPr>
          <w:color w:val="231F20"/>
          <w:spacing w:val="-6"/>
          <w:vertAlign w:val="baseline"/>
        </w:rPr>
        <w:t> </w:t>
      </w:r>
      <w:r>
        <w:rPr>
          <w:color w:val="231F20"/>
          <w:vertAlign w:val="baseline"/>
        </w:rPr>
        <w:t>D.</w:t>
      </w:r>
      <w:r>
        <w:rPr>
          <w:color w:val="231F20"/>
          <w:spacing w:val="-5"/>
          <w:vertAlign w:val="baseline"/>
        </w:rPr>
        <w:t> </w:t>
      </w:r>
      <w:r>
        <w:rPr>
          <w:color w:val="231F20"/>
          <w:vertAlign w:val="baseline"/>
        </w:rPr>
        <w:t>C.,</w:t>
      </w:r>
      <w:r>
        <w:rPr>
          <w:color w:val="231F20"/>
          <w:spacing w:val="-6"/>
          <w:vertAlign w:val="baseline"/>
        </w:rPr>
        <w:t> </w:t>
      </w:r>
      <w:r>
        <w:rPr>
          <w:color w:val="231F20"/>
          <w:vertAlign w:val="baseline"/>
        </w:rPr>
        <w:t>&amp;</w:t>
      </w:r>
      <w:r>
        <w:rPr>
          <w:color w:val="231F20"/>
          <w:spacing w:val="-6"/>
          <w:vertAlign w:val="baseline"/>
        </w:rPr>
        <w:t> </w:t>
      </w:r>
      <w:r>
        <w:rPr>
          <w:color w:val="231F20"/>
          <w:vertAlign w:val="baseline"/>
        </w:rPr>
        <w:t>Bufka,</w:t>
      </w:r>
      <w:r>
        <w:rPr>
          <w:color w:val="231F20"/>
          <w:spacing w:val="-5"/>
          <w:vertAlign w:val="baseline"/>
        </w:rPr>
        <w:t> </w:t>
      </w:r>
      <w:r>
        <w:rPr>
          <w:color w:val="231F20"/>
          <w:vertAlign w:val="baseline"/>
        </w:rPr>
        <w:t>L.</w:t>
      </w:r>
      <w:r>
        <w:rPr>
          <w:color w:val="231F20"/>
          <w:spacing w:val="-6"/>
          <w:vertAlign w:val="baseline"/>
        </w:rPr>
        <w:t> </w:t>
      </w:r>
      <w:r>
        <w:rPr>
          <w:color w:val="231F20"/>
          <w:vertAlign w:val="baseline"/>
        </w:rPr>
        <w:t>F.</w:t>
      </w:r>
      <w:r>
        <w:rPr>
          <w:color w:val="231F20"/>
          <w:spacing w:val="-5"/>
          <w:vertAlign w:val="baseline"/>
        </w:rPr>
        <w:t> </w:t>
      </w:r>
      <w:r>
        <w:rPr>
          <w:color w:val="231F20"/>
          <w:vertAlign w:val="baseline"/>
        </w:rPr>
        <w:t>(2011).</w:t>
      </w:r>
      <w:r>
        <w:rPr>
          <w:color w:val="231F20"/>
          <w:spacing w:val="-6"/>
          <w:vertAlign w:val="baseline"/>
        </w:rPr>
        <w:t> </w:t>
      </w:r>
      <w:r>
        <w:rPr>
          <w:color w:val="231F20"/>
          <w:vertAlign w:val="baseline"/>
        </w:rPr>
        <w:t>Preparing</w:t>
      </w:r>
      <w:r>
        <w:rPr>
          <w:color w:val="231F20"/>
          <w:spacing w:val="-5"/>
          <w:vertAlign w:val="baseline"/>
        </w:rPr>
        <w:t> </w:t>
      </w:r>
      <w:r>
        <w:rPr>
          <w:color w:val="231F20"/>
          <w:vertAlign w:val="baseline"/>
        </w:rPr>
        <w:t>for</w:t>
      </w:r>
      <w:r>
        <w:rPr>
          <w:color w:val="231F20"/>
          <w:spacing w:val="-52"/>
          <w:vertAlign w:val="baseline"/>
        </w:rPr>
        <w:t> </w:t>
      </w:r>
      <w:r>
        <w:rPr>
          <w:color w:val="231F20"/>
          <w:vertAlign w:val="baseline"/>
        </w:rPr>
        <w:t>the telehealth world: Navigating legal, regulatory,</w:t>
      </w:r>
      <w:r>
        <w:rPr>
          <w:color w:val="231F20"/>
          <w:spacing w:val="-52"/>
          <w:vertAlign w:val="baseline"/>
        </w:rPr>
        <w:t> </w:t>
      </w:r>
      <w:r>
        <w:rPr>
          <w:color w:val="231F20"/>
          <w:vertAlign w:val="baseline"/>
        </w:rPr>
        <w:t>reimbursement, and ethical issues in an electronic</w:t>
      </w:r>
      <w:r>
        <w:rPr>
          <w:color w:val="231F20"/>
          <w:spacing w:val="-52"/>
          <w:vertAlign w:val="baseline"/>
        </w:rPr>
        <w:t> </w:t>
      </w:r>
      <w:r>
        <w:rPr>
          <w:color w:val="231F20"/>
          <w:vertAlign w:val="baseline"/>
        </w:rPr>
        <w:t>age. </w:t>
      </w:r>
      <w:r>
        <w:rPr>
          <w:i/>
          <w:color w:val="231F20"/>
          <w:vertAlign w:val="baseline"/>
        </w:rPr>
        <w:t>Professional Psychology: Research and</w:t>
      </w:r>
      <w:r>
        <w:rPr>
          <w:i/>
          <w:color w:val="231F20"/>
          <w:spacing w:val="1"/>
          <w:vertAlign w:val="baseline"/>
        </w:rPr>
        <w:t> </w:t>
      </w:r>
      <w:r>
        <w:rPr>
          <w:i/>
          <w:color w:val="231F20"/>
          <w:vertAlign w:val="baseline"/>
        </w:rPr>
        <w:t>Practice, 42</w:t>
      </w:r>
      <w:r>
        <w:rPr>
          <w:color w:val="231F20"/>
          <w:vertAlign w:val="baseline"/>
        </w:rPr>
        <w:t>(6), 405. </w:t>
      </w:r>
      <w:hyperlink r:id="rId281">
        <w:r>
          <w:rPr>
            <w:color w:val="3953A4"/>
            <w:u w:val="single" w:color="3953A4"/>
            <w:vertAlign w:val="baseline"/>
          </w:rPr>
          <w:t>https://doi.org/10.1037/</w:t>
        </w:r>
      </w:hyperlink>
      <w:r>
        <w:rPr>
          <w:color w:val="3953A4"/>
          <w:spacing w:val="1"/>
          <w:vertAlign w:val="baseline"/>
        </w:rPr>
        <w:t> </w:t>
      </w:r>
      <w:hyperlink r:id="rId281">
        <w:r>
          <w:rPr>
            <w:color w:val="3953A4"/>
            <w:u w:val="single" w:color="3953A4"/>
            <w:vertAlign w:val="baseline"/>
          </w:rPr>
          <w:t>a0025037</w:t>
        </w:r>
      </w:hyperlink>
    </w:p>
    <w:p>
      <w:pPr>
        <w:tabs>
          <w:tab w:pos="479" w:val="left" w:leader="none"/>
        </w:tabs>
        <w:spacing w:line="228" w:lineRule="auto" w:before="88"/>
        <w:ind w:left="480" w:right="181" w:hanging="360"/>
        <w:jc w:val="left"/>
        <w:rPr>
          <w:sz w:val="22"/>
        </w:rPr>
      </w:pPr>
      <w:r>
        <w:rPr>
          <w:color w:val="231F20"/>
          <w:sz w:val="22"/>
          <w:vertAlign w:val="superscript"/>
        </w:rPr>
        <w:t>25</w:t>
      </w:r>
      <w:r>
        <w:rPr>
          <w:color w:val="231F20"/>
          <w:sz w:val="22"/>
          <w:vertAlign w:val="baseline"/>
        </w:rPr>
        <w:tab/>
        <w:t>Richardson, J., &amp; Ingoglia, C. (2020). </w:t>
      </w:r>
      <w:r>
        <w:rPr>
          <w:i/>
          <w:color w:val="231F20"/>
          <w:sz w:val="22"/>
          <w:vertAlign w:val="baseline"/>
        </w:rPr>
        <w:t>Best</w:t>
      </w:r>
      <w:r>
        <w:rPr>
          <w:i/>
          <w:color w:val="231F20"/>
          <w:spacing w:val="1"/>
          <w:sz w:val="22"/>
          <w:vertAlign w:val="baseline"/>
        </w:rPr>
        <w:t> </w:t>
      </w:r>
      <w:r>
        <w:rPr>
          <w:i/>
          <w:color w:val="231F20"/>
          <w:sz w:val="22"/>
          <w:vertAlign w:val="baseline"/>
        </w:rPr>
        <w:t>practices for telehealth during COVID-19 public</w:t>
      </w:r>
      <w:r>
        <w:rPr>
          <w:i/>
          <w:color w:val="231F20"/>
          <w:spacing w:val="1"/>
          <w:sz w:val="22"/>
          <w:vertAlign w:val="baseline"/>
        </w:rPr>
        <w:t> </w:t>
      </w:r>
      <w:r>
        <w:rPr>
          <w:i/>
          <w:color w:val="231F20"/>
          <w:sz w:val="22"/>
          <w:vertAlign w:val="baseline"/>
        </w:rPr>
        <w:t>health</w:t>
      </w:r>
      <w:r>
        <w:rPr>
          <w:i/>
          <w:color w:val="231F20"/>
          <w:spacing w:val="-5"/>
          <w:sz w:val="22"/>
          <w:vertAlign w:val="baseline"/>
        </w:rPr>
        <w:t> </w:t>
      </w:r>
      <w:r>
        <w:rPr>
          <w:i/>
          <w:color w:val="231F20"/>
          <w:sz w:val="22"/>
          <w:vertAlign w:val="baseline"/>
        </w:rPr>
        <w:t>emergency</w:t>
      </w:r>
      <w:r>
        <w:rPr>
          <w:color w:val="231F20"/>
          <w:sz w:val="22"/>
          <w:vertAlign w:val="baseline"/>
        </w:rPr>
        <w:t>.</w:t>
      </w:r>
      <w:r>
        <w:rPr>
          <w:color w:val="231F20"/>
          <w:spacing w:val="-5"/>
          <w:sz w:val="22"/>
          <w:vertAlign w:val="baseline"/>
        </w:rPr>
        <w:t> </w:t>
      </w:r>
      <w:r>
        <w:rPr>
          <w:color w:val="231F20"/>
          <w:sz w:val="22"/>
          <w:vertAlign w:val="baseline"/>
        </w:rPr>
        <w:t>National</w:t>
      </w:r>
      <w:r>
        <w:rPr>
          <w:color w:val="231F20"/>
          <w:spacing w:val="-5"/>
          <w:sz w:val="22"/>
          <w:vertAlign w:val="baseline"/>
        </w:rPr>
        <w:t> </w:t>
      </w:r>
      <w:r>
        <w:rPr>
          <w:color w:val="231F20"/>
          <w:sz w:val="22"/>
          <w:vertAlign w:val="baseline"/>
        </w:rPr>
        <w:t>Council</w:t>
      </w:r>
      <w:r>
        <w:rPr>
          <w:color w:val="231F20"/>
          <w:spacing w:val="-4"/>
          <w:sz w:val="22"/>
          <w:vertAlign w:val="baseline"/>
        </w:rPr>
        <w:t> </w:t>
      </w:r>
      <w:r>
        <w:rPr>
          <w:color w:val="231F20"/>
          <w:sz w:val="22"/>
          <w:vertAlign w:val="baseline"/>
        </w:rPr>
        <w:t>for</w:t>
      </w:r>
      <w:r>
        <w:rPr>
          <w:color w:val="231F20"/>
          <w:spacing w:val="-5"/>
          <w:sz w:val="22"/>
          <w:vertAlign w:val="baseline"/>
        </w:rPr>
        <w:t> </w:t>
      </w:r>
      <w:r>
        <w:rPr>
          <w:color w:val="231F20"/>
          <w:sz w:val="22"/>
          <w:vertAlign w:val="baseline"/>
        </w:rPr>
        <w:t>Behavioral</w:t>
      </w:r>
      <w:r>
        <w:rPr>
          <w:color w:val="231F20"/>
          <w:spacing w:val="-52"/>
          <w:sz w:val="22"/>
          <w:vertAlign w:val="baseline"/>
        </w:rPr>
        <w:t> </w:t>
      </w:r>
      <w:r>
        <w:rPr>
          <w:color w:val="231F20"/>
          <w:sz w:val="22"/>
          <w:vertAlign w:val="baseline"/>
        </w:rPr>
        <w:t>Health. </w:t>
      </w:r>
      <w:hyperlink r:id="rId282">
        <w:r>
          <w:rPr>
            <w:color w:val="3953A4"/>
            <w:sz w:val="22"/>
            <w:u w:val="single" w:color="3953A4"/>
            <w:vertAlign w:val="baseline"/>
          </w:rPr>
          <w:t>https://www.thenationalcouncil.org/wp-</w:t>
        </w:r>
      </w:hyperlink>
      <w:r>
        <w:rPr>
          <w:color w:val="3953A4"/>
          <w:spacing w:val="1"/>
          <w:sz w:val="22"/>
          <w:vertAlign w:val="baseline"/>
        </w:rPr>
        <w:t> </w:t>
      </w:r>
      <w:hyperlink r:id="rId282">
        <w:r>
          <w:rPr>
            <w:color w:val="3953A4"/>
            <w:sz w:val="22"/>
            <w:u w:val="single" w:color="3953A4"/>
            <w:vertAlign w:val="baseline"/>
          </w:rPr>
          <w:t>content/uploads/sites/2/2020/03/National-Council-</w:t>
        </w:r>
      </w:hyperlink>
      <w:r>
        <w:rPr>
          <w:color w:val="3953A4"/>
          <w:spacing w:val="-52"/>
          <w:sz w:val="22"/>
          <w:vertAlign w:val="baseline"/>
        </w:rPr>
        <w:t> </w:t>
      </w:r>
      <w:hyperlink r:id="rId282">
        <w:r>
          <w:rPr>
            <w:color w:val="3953A4"/>
            <w:sz w:val="22"/>
            <w:u w:val="single" w:color="3953A4"/>
            <w:vertAlign w:val="baseline"/>
          </w:rPr>
          <w:t>Telehealth-Best-Practices.pdf?daf=375ateTbd56</w:t>
        </w:r>
      </w:hyperlink>
    </w:p>
    <w:p>
      <w:pPr>
        <w:tabs>
          <w:tab w:pos="479" w:val="left" w:leader="none"/>
        </w:tabs>
        <w:spacing w:line="228" w:lineRule="auto" w:before="101"/>
        <w:ind w:left="480" w:right="810" w:hanging="360"/>
        <w:jc w:val="left"/>
        <w:rPr>
          <w:sz w:val="22"/>
        </w:rPr>
      </w:pPr>
      <w:r>
        <w:rPr/>
        <w:br w:type="column"/>
      </w:r>
      <w:r>
        <w:rPr>
          <w:color w:val="231F20"/>
          <w:sz w:val="22"/>
          <w:vertAlign w:val="superscript"/>
        </w:rPr>
        <w:t>26</w:t>
      </w:r>
      <w:r>
        <w:rPr>
          <w:color w:val="231F20"/>
          <w:sz w:val="22"/>
          <w:vertAlign w:val="baseline"/>
        </w:rPr>
        <w:tab/>
        <w:t>Nieman,</w:t>
      </w:r>
      <w:r>
        <w:rPr>
          <w:color w:val="231F20"/>
          <w:spacing w:val="-2"/>
          <w:sz w:val="22"/>
          <w:vertAlign w:val="baseline"/>
        </w:rPr>
        <w:t> </w:t>
      </w:r>
      <w:r>
        <w:rPr>
          <w:color w:val="231F20"/>
          <w:sz w:val="22"/>
          <w:vertAlign w:val="baseline"/>
        </w:rPr>
        <w:t>C.</w:t>
      </w:r>
      <w:r>
        <w:rPr>
          <w:color w:val="231F20"/>
          <w:spacing w:val="-1"/>
          <w:sz w:val="22"/>
          <w:vertAlign w:val="baseline"/>
        </w:rPr>
        <w:t> </w:t>
      </w:r>
      <w:r>
        <w:rPr>
          <w:color w:val="231F20"/>
          <w:sz w:val="22"/>
          <w:vertAlign w:val="baseline"/>
        </w:rPr>
        <w:t>L.,</w:t>
      </w:r>
      <w:r>
        <w:rPr>
          <w:color w:val="231F20"/>
          <w:spacing w:val="-1"/>
          <w:sz w:val="22"/>
          <w:vertAlign w:val="baseline"/>
        </w:rPr>
        <w:t> </w:t>
      </w:r>
      <w:r>
        <w:rPr>
          <w:color w:val="231F20"/>
          <w:sz w:val="22"/>
          <w:vertAlign w:val="baseline"/>
        </w:rPr>
        <w:t>&amp;</w:t>
      </w:r>
      <w:r>
        <w:rPr>
          <w:color w:val="231F20"/>
          <w:spacing w:val="-1"/>
          <w:sz w:val="22"/>
          <w:vertAlign w:val="baseline"/>
        </w:rPr>
        <w:t> </w:t>
      </w:r>
      <w:r>
        <w:rPr>
          <w:color w:val="231F20"/>
          <w:sz w:val="22"/>
          <w:vertAlign w:val="baseline"/>
        </w:rPr>
        <w:t>Oh,</w:t>
      </w:r>
      <w:r>
        <w:rPr>
          <w:color w:val="231F20"/>
          <w:spacing w:val="-2"/>
          <w:sz w:val="22"/>
          <w:vertAlign w:val="baseline"/>
        </w:rPr>
        <w:t> </w:t>
      </w:r>
      <w:r>
        <w:rPr>
          <w:color w:val="231F20"/>
          <w:sz w:val="22"/>
          <w:vertAlign w:val="baseline"/>
        </w:rPr>
        <w:t>E.</w:t>
      </w:r>
      <w:r>
        <w:rPr>
          <w:color w:val="231F20"/>
          <w:spacing w:val="-1"/>
          <w:sz w:val="22"/>
          <w:vertAlign w:val="baseline"/>
        </w:rPr>
        <w:t> </w:t>
      </w:r>
      <w:r>
        <w:rPr>
          <w:color w:val="231F20"/>
          <w:sz w:val="22"/>
          <w:vertAlign w:val="baseline"/>
        </w:rPr>
        <w:t>S.</w:t>
      </w:r>
      <w:r>
        <w:rPr>
          <w:color w:val="231F20"/>
          <w:spacing w:val="-2"/>
          <w:sz w:val="22"/>
          <w:vertAlign w:val="baseline"/>
        </w:rPr>
        <w:t> </w:t>
      </w:r>
      <w:r>
        <w:rPr>
          <w:color w:val="231F20"/>
          <w:sz w:val="22"/>
          <w:vertAlign w:val="baseline"/>
        </w:rPr>
        <w:t>(2020).</w:t>
      </w:r>
      <w:r>
        <w:rPr>
          <w:color w:val="231F20"/>
          <w:spacing w:val="-1"/>
          <w:sz w:val="22"/>
          <w:vertAlign w:val="baseline"/>
        </w:rPr>
        <w:t> </w:t>
      </w:r>
      <w:r>
        <w:rPr>
          <w:i/>
          <w:color w:val="231F20"/>
          <w:sz w:val="22"/>
          <w:vertAlign w:val="baseline"/>
        </w:rPr>
        <w:t>Connecting</w:t>
      </w:r>
      <w:r>
        <w:rPr>
          <w:i/>
          <w:color w:val="231F20"/>
          <w:spacing w:val="-1"/>
          <w:sz w:val="22"/>
          <w:vertAlign w:val="baseline"/>
        </w:rPr>
        <w:t> </w:t>
      </w:r>
      <w:r>
        <w:rPr>
          <w:i/>
          <w:color w:val="231F20"/>
          <w:sz w:val="22"/>
          <w:vertAlign w:val="baseline"/>
        </w:rPr>
        <w:t>with</w:t>
      </w:r>
      <w:r>
        <w:rPr>
          <w:i/>
          <w:color w:val="231F20"/>
          <w:spacing w:val="-52"/>
          <w:sz w:val="22"/>
          <w:vertAlign w:val="baseline"/>
        </w:rPr>
        <w:t> </w:t>
      </w:r>
      <w:r>
        <w:rPr>
          <w:i/>
          <w:color w:val="231F20"/>
          <w:sz w:val="22"/>
          <w:vertAlign w:val="baseline"/>
        </w:rPr>
        <w:t>older adults via telemedicine</w:t>
      </w:r>
      <w:r>
        <w:rPr>
          <w:color w:val="231F20"/>
          <w:sz w:val="22"/>
          <w:vertAlign w:val="baseline"/>
        </w:rPr>
        <w:t>. American College of</w:t>
      </w:r>
      <w:r>
        <w:rPr>
          <w:color w:val="231F20"/>
          <w:spacing w:val="1"/>
          <w:sz w:val="22"/>
          <w:vertAlign w:val="baseline"/>
        </w:rPr>
        <w:t> </w:t>
      </w:r>
      <w:r>
        <w:rPr>
          <w:color w:val="231F20"/>
          <w:sz w:val="22"/>
          <w:vertAlign w:val="baseline"/>
        </w:rPr>
        <w:t>Physicians.</w:t>
      </w:r>
      <w:r>
        <w:rPr>
          <w:color w:val="231F20"/>
          <w:spacing w:val="-1"/>
          <w:sz w:val="22"/>
          <w:vertAlign w:val="baseline"/>
        </w:rPr>
        <w:t> </w:t>
      </w:r>
      <w:hyperlink r:id="rId283">
        <w:r>
          <w:rPr>
            <w:color w:val="3953A4"/>
            <w:sz w:val="22"/>
            <w:u w:val="single" w:color="3953A4"/>
            <w:vertAlign w:val="baseline"/>
          </w:rPr>
          <w:t>https://doi.org/10.7326/M20-1322</w:t>
        </w:r>
      </w:hyperlink>
    </w:p>
    <w:p>
      <w:pPr>
        <w:pStyle w:val="BodyText"/>
        <w:tabs>
          <w:tab w:pos="479" w:val="left" w:leader="none"/>
        </w:tabs>
        <w:spacing w:line="228" w:lineRule="auto" w:before="89"/>
        <w:ind w:left="480" w:right="791" w:hanging="360"/>
      </w:pPr>
      <w:r>
        <w:rPr>
          <w:color w:val="231F20"/>
          <w:vertAlign w:val="superscript"/>
        </w:rPr>
        <w:t>27</w:t>
      </w:r>
      <w:r>
        <w:rPr>
          <w:color w:val="231F20"/>
          <w:vertAlign w:val="baseline"/>
        </w:rPr>
        <w:tab/>
        <w:t>Ardito, R. B., &amp; Rabellino, D. (2011). Therapeutic</w:t>
      </w:r>
      <w:r>
        <w:rPr>
          <w:color w:val="231F20"/>
          <w:spacing w:val="1"/>
          <w:vertAlign w:val="baseline"/>
        </w:rPr>
        <w:t> </w:t>
      </w:r>
      <w:r>
        <w:rPr>
          <w:color w:val="231F20"/>
          <w:vertAlign w:val="baseline"/>
        </w:rPr>
        <w:t>alliance and outcome of psychotherapy: Historical</w:t>
      </w:r>
      <w:r>
        <w:rPr>
          <w:color w:val="231F20"/>
          <w:spacing w:val="1"/>
          <w:vertAlign w:val="baseline"/>
        </w:rPr>
        <w:t> </w:t>
      </w:r>
      <w:r>
        <w:rPr>
          <w:color w:val="231F20"/>
          <w:vertAlign w:val="baseline"/>
        </w:rPr>
        <w:t>excursus, measurements, and prospects for research.</w:t>
      </w:r>
      <w:r>
        <w:rPr>
          <w:color w:val="231F20"/>
          <w:spacing w:val="-53"/>
          <w:vertAlign w:val="baseline"/>
        </w:rPr>
        <w:t> </w:t>
      </w:r>
      <w:r>
        <w:rPr>
          <w:i/>
          <w:color w:val="231F20"/>
          <w:vertAlign w:val="baseline"/>
        </w:rPr>
        <w:t>Frontiers in Psychology, 2</w:t>
      </w:r>
      <w:r>
        <w:rPr>
          <w:color w:val="231F20"/>
          <w:vertAlign w:val="baseline"/>
        </w:rPr>
        <w:t>, 270. </w:t>
      </w:r>
      <w:hyperlink r:id="rId284">
        <w:r>
          <w:rPr>
            <w:color w:val="3953A4"/>
            <w:u w:val="single" w:color="3953A4"/>
            <w:vertAlign w:val="baseline"/>
          </w:rPr>
          <w:t>https://doi.</w:t>
        </w:r>
      </w:hyperlink>
      <w:r>
        <w:rPr>
          <w:color w:val="3953A4"/>
          <w:spacing w:val="1"/>
          <w:vertAlign w:val="baseline"/>
        </w:rPr>
        <w:t> </w:t>
      </w:r>
      <w:hyperlink r:id="rId284">
        <w:r>
          <w:rPr>
            <w:color w:val="3953A4"/>
            <w:u w:val="single" w:color="3953A4"/>
            <w:vertAlign w:val="baseline"/>
          </w:rPr>
          <w:t>org/10.3389/fpsyg.2011.00270</w:t>
        </w:r>
      </w:hyperlink>
    </w:p>
    <w:p>
      <w:pPr>
        <w:tabs>
          <w:tab w:pos="479" w:val="left" w:leader="none"/>
        </w:tabs>
        <w:spacing w:line="228" w:lineRule="auto" w:before="88"/>
        <w:ind w:left="480" w:right="740" w:hanging="360"/>
        <w:jc w:val="left"/>
        <w:rPr>
          <w:sz w:val="22"/>
        </w:rPr>
      </w:pPr>
      <w:r>
        <w:rPr>
          <w:color w:val="231F20"/>
          <w:sz w:val="22"/>
          <w:vertAlign w:val="superscript"/>
        </w:rPr>
        <w:t>28</w:t>
      </w:r>
      <w:r>
        <w:rPr>
          <w:color w:val="231F20"/>
          <w:sz w:val="22"/>
          <w:vertAlign w:val="baseline"/>
        </w:rPr>
        <w:tab/>
        <w:t>Vanderpool, D. (2017). Top 10 myths about</w:t>
      </w:r>
      <w:r>
        <w:rPr>
          <w:color w:val="231F20"/>
          <w:spacing w:val="1"/>
          <w:sz w:val="22"/>
          <w:vertAlign w:val="baseline"/>
        </w:rPr>
        <w:t> </w:t>
      </w:r>
      <w:r>
        <w:rPr>
          <w:color w:val="231F20"/>
          <w:sz w:val="22"/>
          <w:vertAlign w:val="baseline"/>
        </w:rPr>
        <w:t>telepsychiatry.</w:t>
      </w:r>
      <w:r>
        <w:rPr>
          <w:color w:val="231F20"/>
          <w:spacing w:val="-10"/>
          <w:sz w:val="22"/>
          <w:vertAlign w:val="baseline"/>
        </w:rPr>
        <w:t> </w:t>
      </w:r>
      <w:r>
        <w:rPr>
          <w:i/>
          <w:color w:val="231F20"/>
          <w:sz w:val="22"/>
          <w:vertAlign w:val="baseline"/>
        </w:rPr>
        <w:t>Innovations</w:t>
      </w:r>
      <w:r>
        <w:rPr>
          <w:i/>
          <w:color w:val="231F20"/>
          <w:spacing w:val="-9"/>
          <w:sz w:val="22"/>
          <w:vertAlign w:val="baseline"/>
        </w:rPr>
        <w:t> </w:t>
      </w:r>
      <w:r>
        <w:rPr>
          <w:i/>
          <w:color w:val="231F20"/>
          <w:sz w:val="22"/>
          <w:vertAlign w:val="baseline"/>
        </w:rPr>
        <w:t>in</w:t>
      </w:r>
      <w:r>
        <w:rPr>
          <w:i/>
          <w:color w:val="231F20"/>
          <w:spacing w:val="-9"/>
          <w:sz w:val="22"/>
          <w:vertAlign w:val="baseline"/>
        </w:rPr>
        <w:t> </w:t>
      </w:r>
      <w:r>
        <w:rPr>
          <w:i/>
          <w:color w:val="231F20"/>
          <w:sz w:val="22"/>
          <w:vertAlign w:val="baseline"/>
        </w:rPr>
        <w:t>Clinical</w:t>
      </w:r>
      <w:r>
        <w:rPr>
          <w:i/>
          <w:color w:val="231F20"/>
          <w:spacing w:val="-9"/>
          <w:sz w:val="22"/>
          <w:vertAlign w:val="baseline"/>
        </w:rPr>
        <w:t> </w:t>
      </w:r>
      <w:r>
        <w:rPr>
          <w:i/>
          <w:color w:val="231F20"/>
          <w:sz w:val="22"/>
          <w:vertAlign w:val="baseline"/>
        </w:rPr>
        <w:t>Neuroscience,</w:t>
      </w:r>
      <w:r>
        <w:rPr>
          <w:i/>
          <w:color w:val="231F20"/>
          <w:spacing w:val="-52"/>
          <w:sz w:val="22"/>
          <w:vertAlign w:val="baseline"/>
        </w:rPr>
        <w:t> </w:t>
      </w:r>
      <w:r>
        <w:rPr>
          <w:i/>
          <w:color w:val="231F20"/>
          <w:sz w:val="22"/>
          <w:vertAlign w:val="baseline"/>
        </w:rPr>
        <w:t>14</w:t>
      </w:r>
      <w:r>
        <w:rPr>
          <w:color w:val="231F20"/>
          <w:sz w:val="22"/>
          <w:vertAlign w:val="baseline"/>
        </w:rPr>
        <w:t>(9-10), 13. </w:t>
      </w:r>
      <w:hyperlink r:id="rId285">
        <w:r>
          <w:rPr>
            <w:color w:val="3953A4"/>
            <w:sz w:val="22"/>
            <w:u w:val="single" w:color="3953A4"/>
            <w:vertAlign w:val="baseline"/>
          </w:rPr>
          <w:t>https://www.ncbi.nlm.nih.gov/pmc/</w:t>
        </w:r>
      </w:hyperlink>
      <w:r>
        <w:rPr>
          <w:color w:val="3953A4"/>
          <w:spacing w:val="1"/>
          <w:sz w:val="22"/>
          <w:vertAlign w:val="baseline"/>
        </w:rPr>
        <w:t> </w:t>
      </w:r>
      <w:hyperlink r:id="rId285">
        <w:r>
          <w:rPr>
            <w:color w:val="3953A4"/>
            <w:sz w:val="22"/>
            <w:u w:val="single" w:color="3953A4"/>
            <w:vertAlign w:val="baseline"/>
          </w:rPr>
          <w:t>articles/PMC5749954/</w:t>
        </w:r>
      </w:hyperlink>
    </w:p>
    <w:p>
      <w:pPr>
        <w:pStyle w:val="BodyText"/>
        <w:tabs>
          <w:tab w:pos="479" w:val="left" w:leader="none"/>
        </w:tabs>
        <w:spacing w:line="228" w:lineRule="auto" w:before="89"/>
        <w:ind w:left="480" w:right="1490" w:hanging="360"/>
      </w:pPr>
      <w:r>
        <w:rPr>
          <w:color w:val="231F20"/>
          <w:vertAlign w:val="superscript"/>
        </w:rPr>
        <w:t>29</w:t>
      </w:r>
      <w:r>
        <w:rPr>
          <w:color w:val="231F20"/>
          <w:vertAlign w:val="baseline"/>
        </w:rPr>
        <w:tab/>
      </w:r>
      <w:r>
        <w:rPr>
          <w:color w:val="231F20"/>
          <w:spacing w:val="-3"/>
          <w:vertAlign w:val="baseline"/>
        </w:rPr>
        <w:t>Kroll, J., Martinez, R., &amp; Seager van Dyk, </w:t>
      </w:r>
      <w:r>
        <w:rPr>
          <w:color w:val="231F20"/>
          <w:spacing w:val="-2"/>
          <w:vertAlign w:val="baseline"/>
        </w:rPr>
        <w:t>I.</w:t>
      </w:r>
      <w:r>
        <w:rPr>
          <w:color w:val="231F20"/>
          <w:spacing w:val="-1"/>
          <w:vertAlign w:val="baseline"/>
        </w:rPr>
        <w:t> </w:t>
      </w:r>
      <w:r>
        <w:rPr>
          <w:color w:val="231F20"/>
          <w:spacing w:val="-4"/>
          <w:vertAlign w:val="baseline"/>
        </w:rPr>
        <w:t>(2020).</w:t>
      </w:r>
      <w:r>
        <w:rPr>
          <w:color w:val="231F20"/>
          <w:spacing w:val="-10"/>
          <w:vertAlign w:val="baseline"/>
        </w:rPr>
        <w:t> </w:t>
      </w:r>
      <w:r>
        <w:rPr>
          <w:color w:val="231F20"/>
          <w:spacing w:val="-4"/>
          <w:vertAlign w:val="baseline"/>
        </w:rPr>
        <w:t>COVID-19</w:t>
      </w:r>
      <w:r>
        <w:rPr>
          <w:color w:val="231F20"/>
          <w:spacing w:val="-9"/>
          <w:vertAlign w:val="baseline"/>
        </w:rPr>
        <w:t> </w:t>
      </w:r>
      <w:r>
        <w:rPr>
          <w:color w:val="231F20"/>
          <w:spacing w:val="-4"/>
          <w:vertAlign w:val="baseline"/>
        </w:rPr>
        <w:t>tips:</w:t>
      </w:r>
      <w:r>
        <w:rPr>
          <w:color w:val="231F20"/>
          <w:spacing w:val="-9"/>
          <w:vertAlign w:val="baseline"/>
        </w:rPr>
        <w:t> </w:t>
      </w:r>
      <w:r>
        <w:rPr>
          <w:color w:val="231F20"/>
          <w:spacing w:val="-4"/>
          <w:vertAlign w:val="baseline"/>
        </w:rPr>
        <w:t>Building</w:t>
      </w:r>
      <w:r>
        <w:rPr>
          <w:color w:val="231F20"/>
          <w:spacing w:val="-10"/>
          <w:vertAlign w:val="baseline"/>
        </w:rPr>
        <w:t> </w:t>
      </w:r>
      <w:r>
        <w:rPr>
          <w:color w:val="231F20"/>
          <w:spacing w:val="-3"/>
          <w:vertAlign w:val="baseline"/>
        </w:rPr>
        <w:t>rapport</w:t>
      </w:r>
      <w:r>
        <w:rPr>
          <w:color w:val="231F20"/>
          <w:spacing w:val="-9"/>
          <w:vertAlign w:val="baseline"/>
        </w:rPr>
        <w:t> </w:t>
      </w:r>
      <w:r>
        <w:rPr>
          <w:color w:val="231F20"/>
          <w:spacing w:val="-3"/>
          <w:vertAlign w:val="baseline"/>
        </w:rPr>
        <w:t>with</w:t>
      </w:r>
      <w:r>
        <w:rPr>
          <w:color w:val="231F20"/>
          <w:spacing w:val="-52"/>
          <w:vertAlign w:val="baseline"/>
        </w:rPr>
        <w:t> </w:t>
      </w:r>
      <w:r>
        <w:rPr>
          <w:color w:val="231F20"/>
          <w:spacing w:val="-4"/>
          <w:vertAlign w:val="baseline"/>
        </w:rPr>
        <w:t>adults via telehealth. </w:t>
      </w:r>
      <w:hyperlink r:id="rId286">
        <w:r>
          <w:rPr>
            <w:color w:val="3953A4"/>
            <w:spacing w:val="-4"/>
            <w:u w:val="single" w:color="3953A4"/>
            <w:vertAlign w:val="baseline"/>
          </w:rPr>
          <w:t>https://doi.org/10.13140/</w:t>
        </w:r>
      </w:hyperlink>
      <w:r>
        <w:rPr>
          <w:color w:val="3953A4"/>
          <w:spacing w:val="-52"/>
          <w:vertAlign w:val="baseline"/>
        </w:rPr>
        <w:t> </w:t>
      </w:r>
      <w:hyperlink r:id="rId286">
        <w:r>
          <w:rPr>
            <w:color w:val="3953A4"/>
            <w:u w:val="single" w:color="3953A4"/>
            <w:vertAlign w:val="baseline"/>
          </w:rPr>
          <w:t>RG.2.2.24652.97920/1</w:t>
        </w:r>
      </w:hyperlink>
    </w:p>
    <w:p>
      <w:pPr>
        <w:tabs>
          <w:tab w:pos="479" w:val="left" w:leader="none"/>
        </w:tabs>
        <w:spacing w:line="228" w:lineRule="auto" w:before="89"/>
        <w:ind w:left="480" w:right="778" w:hanging="360"/>
        <w:jc w:val="left"/>
        <w:rPr>
          <w:sz w:val="22"/>
        </w:rPr>
      </w:pPr>
      <w:r>
        <w:rPr>
          <w:color w:val="231F20"/>
          <w:sz w:val="22"/>
          <w:vertAlign w:val="superscript"/>
        </w:rPr>
        <w:t>30</w:t>
      </w:r>
      <w:r>
        <w:rPr>
          <w:color w:val="231F20"/>
          <w:sz w:val="22"/>
          <w:vertAlign w:val="baseline"/>
        </w:rPr>
        <w:tab/>
        <w:t>TheraPlatform. (2018). </w:t>
      </w:r>
      <w:r>
        <w:rPr>
          <w:i/>
          <w:color w:val="231F20"/>
          <w:sz w:val="22"/>
          <w:vertAlign w:val="baseline"/>
        </w:rPr>
        <w:t>How to build the therapeutic</w:t>
      </w:r>
      <w:r>
        <w:rPr>
          <w:i/>
          <w:color w:val="231F20"/>
          <w:spacing w:val="-52"/>
          <w:sz w:val="22"/>
          <w:vertAlign w:val="baseline"/>
        </w:rPr>
        <w:t> </w:t>
      </w:r>
      <w:r>
        <w:rPr>
          <w:i/>
          <w:color w:val="231F20"/>
          <w:sz w:val="22"/>
          <w:vertAlign w:val="baseline"/>
        </w:rPr>
        <w:t>relationship in the teletherapy modality</w:t>
      </w:r>
      <w:r>
        <w:rPr>
          <w:color w:val="231F20"/>
          <w:sz w:val="22"/>
          <w:vertAlign w:val="baseline"/>
        </w:rPr>
        <w:t>. </w:t>
      </w:r>
      <w:hyperlink r:id="rId287">
        <w:r>
          <w:rPr>
            <w:color w:val="3953A4"/>
            <w:sz w:val="22"/>
            <w:u w:val="single" w:color="3953A4"/>
            <w:vertAlign w:val="baseline"/>
          </w:rPr>
          <w:t>https://</w:t>
        </w:r>
      </w:hyperlink>
      <w:r>
        <w:rPr>
          <w:color w:val="3953A4"/>
          <w:spacing w:val="1"/>
          <w:sz w:val="22"/>
          <w:vertAlign w:val="baseline"/>
        </w:rPr>
        <w:t> </w:t>
      </w:r>
      <w:hyperlink r:id="rId287">
        <w:r>
          <w:rPr>
            <w:color w:val="3953A4"/>
            <w:spacing w:val="-1"/>
            <w:sz w:val="22"/>
            <w:u w:val="single" w:color="3953A4"/>
            <w:vertAlign w:val="baseline"/>
          </w:rPr>
          <w:t>www.theraplatform.com/blog/266/how-to-build-the-</w:t>
        </w:r>
      </w:hyperlink>
      <w:r>
        <w:rPr>
          <w:color w:val="3953A4"/>
          <w:spacing w:val="-52"/>
          <w:sz w:val="22"/>
          <w:vertAlign w:val="baseline"/>
        </w:rPr>
        <w:t> </w:t>
      </w:r>
      <w:hyperlink r:id="rId287">
        <w:r>
          <w:rPr>
            <w:color w:val="3953A4"/>
            <w:sz w:val="22"/>
            <w:u w:val="single" w:color="3953A4"/>
            <w:vertAlign w:val="baseline"/>
          </w:rPr>
          <w:t>therapeutic-relationship-in-the-teletherapy-modality</w:t>
        </w:r>
      </w:hyperlink>
    </w:p>
    <w:p>
      <w:pPr>
        <w:tabs>
          <w:tab w:pos="479" w:val="left" w:leader="none"/>
        </w:tabs>
        <w:spacing w:line="228" w:lineRule="auto" w:before="88"/>
        <w:ind w:left="480" w:right="958" w:hanging="360"/>
        <w:jc w:val="left"/>
        <w:rPr>
          <w:sz w:val="22"/>
        </w:rPr>
      </w:pPr>
      <w:r>
        <w:rPr>
          <w:color w:val="231F20"/>
          <w:sz w:val="22"/>
          <w:vertAlign w:val="superscript"/>
        </w:rPr>
        <w:t>31</w:t>
      </w:r>
      <w:r>
        <w:rPr>
          <w:color w:val="231F20"/>
          <w:sz w:val="22"/>
          <w:vertAlign w:val="baseline"/>
        </w:rPr>
        <w:tab/>
      </w:r>
      <w:r>
        <w:rPr>
          <w:color w:val="231F20"/>
          <w:spacing w:val="-1"/>
          <w:sz w:val="22"/>
          <w:vertAlign w:val="baseline"/>
        </w:rPr>
        <w:t>American Medical Association. (2020). </w:t>
      </w:r>
      <w:r>
        <w:rPr>
          <w:i/>
          <w:color w:val="231F20"/>
          <w:spacing w:val="-1"/>
          <w:sz w:val="22"/>
          <w:vertAlign w:val="baseline"/>
        </w:rPr>
        <w:t>Telehealth</w:t>
      </w:r>
      <w:r>
        <w:rPr>
          <w:i/>
          <w:color w:val="231F20"/>
          <w:spacing w:val="-52"/>
          <w:sz w:val="22"/>
          <w:vertAlign w:val="baseline"/>
        </w:rPr>
        <w:t> </w:t>
      </w:r>
      <w:r>
        <w:rPr>
          <w:i/>
          <w:color w:val="231F20"/>
          <w:sz w:val="22"/>
          <w:vertAlign w:val="baseline"/>
        </w:rPr>
        <w:t>implementation playbook</w:t>
      </w:r>
      <w:r>
        <w:rPr>
          <w:color w:val="231F20"/>
          <w:sz w:val="22"/>
          <w:vertAlign w:val="baseline"/>
        </w:rPr>
        <w:t>. </w:t>
      </w:r>
      <w:hyperlink r:id="rId288">
        <w:r>
          <w:rPr>
            <w:color w:val="3953A4"/>
            <w:sz w:val="22"/>
            <w:u w:val="single" w:color="3953A4"/>
            <w:vertAlign w:val="baseline"/>
          </w:rPr>
          <w:t>https://www.ama-assn.</w:t>
        </w:r>
      </w:hyperlink>
      <w:r>
        <w:rPr>
          <w:color w:val="3953A4"/>
          <w:spacing w:val="1"/>
          <w:sz w:val="22"/>
          <w:vertAlign w:val="baseline"/>
        </w:rPr>
        <w:t> </w:t>
      </w:r>
      <w:hyperlink r:id="rId288">
        <w:r>
          <w:rPr>
            <w:color w:val="3953A4"/>
            <w:sz w:val="22"/>
            <w:u w:val="single" w:color="3953A4"/>
            <w:vertAlign w:val="baseline"/>
          </w:rPr>
          <w:t>org/amaone/ama-digital-health-implementation-</w:t>
        </w:r>
      </w:hyperlink>
      <w:r>
        <w:rPr>
          <w:color w:val="3953A4"/>
          <w:spacing w:val="1"/>
          <w:sz w:val="22"/>
          <w:vertAlign w:val="baseline"/>
        </w:rPr>
        <w:t> </w:t>
      </w:r>
      <w:hyperlink r:id="rId288">
        <w:r>
          <w:rPr>
            <w:color w:val="3953A4"/>
            <w:sz w:val="22"/>
            <w:u w:val="single" w:color="3953A4"/>
            <w:vertAlign w:val="baseline"/>
          </w:rPr>
          <w:t>playbook</w:t>
        </w:r>
      </w:hyperlink>
    </w:p>
    <w:p>
      <w:pPr>
        <w:tabs>
          <w:tab w:pos="479" w:val="left" w:leader="none"/>
        </w:tabs>
        <w:spacing w:line="228" w:lineRule="auto" w:before="89"/>
        <w:ind w:left="480" w:right="1060" w:hanging="360"/>
        <w:jc w:val="left"/>
        <w:rPr>
          <w:sz w:val="22"/>
        </w:rPr>
      </w:pPr>
      <w:r>
        <w:rPr>
          <w:color w:val="231F20"/>
          <w:sz w:val="22"/>
          <w:vertAlign w:val="superscript"/>
        </w:rPr>
        <w:t>32</w:t>
      </w:r>
      <w:r>
        <w:rPr>
          <w:color w:val="231F20"/>
          <w:sz w:val="22"/>
          <w:vertAlign w:val="baseline"/>
        </w:rPr>
        <w:tab/>
      </w:r>
      <w:r>
        <w:rPr>
          <w:color w:val="231F20"/>
          <w:spacing w:val="-5"/>
          <w:sz w:val="22"/>
          <w:vertAlign w:val="baseline"/>
        </w:rPr>
        <w:t>California </w:t>
      </w:r>
      <w:r>
        <w:rPr>
          <w:color w:val="231F20"/>
          <w:spacing w:val="-4"/>
          <w:sz w:val="22"/>
          <w:vertAlign w:val="baseline"/>
        </w:rPr>
        <w:t>Telehealth Resource Center. (2014). </w:t>
      </w:r>
      <w:r>
        <w:rPr>
          <w:i/>
          <w:color w:val="231F20"/>
          <w:spacing w:val="-4"/>
          <w:sz w:val="22"/>
          <w:vertAlign w:val="baseline"/>
        </w:rPr>
        <w:t>The</w:t>
      </w:r>
      <w:r>
        <w:rPr>
          <w:i/>
          <w:color w:val="231F20"/>
          <w:spacing w:val="-52"/>
          <w:sz w:val="22"/>
          <w:vertAlign w:val="baseline"/>
        </w:rPr>
        <w:t> </w:t>
      </w:r>
      <w:r>
        <w:rPr>
          <w:i/>
          <w:color w:val="231F20"/>
          <w:spacing w:val="-3"/>
          <w:sz w:val="22"/>
          <w:vertAlign w:val="baseline"/>
        </w:rPr>
        <w:t>CTRC telehealth program developer kit</w:t>
      </w:r>
      <w:r>
        <w:rPr>
          <w:color w:val="231F20"/>
          <w:spacing w:val="-3"/>
          <w:sz w:val="22"/>
          <w:vertAlign w:val="baseline"/>
        </w:rPr>
        <w:t>. </w:t>
      </w:r>
      <w:hyperlink r:id="rId255">
        <w:r>
          <w:rPr>
            <w:color w:val="3953A4"/>
            <w:spacing w:val="-3"/>
            <w:sz w:val="22"/>
            <w:u w:val="single" w:color="3953A4"/>
            <w:vertAlign w:val="baseline"/>
          </w:rPr>
          <w:t>https://</w:t>
        </w:r>
      </w:hyperlink>
      <w:r>
        <w:rPr>
          <w:color w:val="3953A4"/>
          <w:spacing w:val="-2"/>
          <w:sz w:val="22"/>
          <w:vertAlign w:val="baseline"/>
        </w:rPr>
        <w:t> </w:t>
      </w:r>
      <w:hyperlink r:id="rId255">
        <w:r>
          <w:rPr>
            <w:color w:val="3953A4"/>
            <w:spacing w:val="-5"/>
            <w:sz w:val="22"/>
            <w:u w:val="single" w:color="3953A4"/>
            <w:vertAlign w:val="baseline"/>
          </w:rPr>
          <w:t>telehealthresourcecenter.org/resources/toolkits/ctrc-</w:t>
        </w:r>
      </w:hyperlink>
      <w:r>
        <w:rPr>
          <w:color w:val="3953A4"/>
          <w:spacing w:val="-52"/>
          <w:sz w:val="22"/>
          <w:vertAlign w:val="baseline"/>
        </w:rPr>
        <w:t> </w:t>
      </w:r>
      <w:hyperlink r:id="rId255">
        <w:r>
          <w:rPr>
            <w:color w:val="3953A4"/>
            <w:sz w:val="22"/>
            <w:u w:val="single" w:color="3953A4"/>
            <w:vertAlign w:val="baseline"/>
          </w:rPr>
          <w:t>telehealth-program-developer-kit/</w:t>
        </w:r>
      </w:hyperlink>
    </w:p>
    <w:p>
      <w:pPr>
        <w:pStyle w:val="BodyText"/>
        <w:tabs>
          <w:tab w:pos="479" w:val="left" w:leader="none"/>
        </w:tabs>
        <w:spacing w:line="228" w:lineRule="auto" w:before="89"/>
        <w:ind w:left="480" w:right="890" w:hanging="360"/>
      </w:pPr>
      <w:r>
        <w:rPr>
          <w:color w:val="231F20"/>
          <w:vertAlign w:val="superscript"/>
        </w:rPr>
        <w:t>33</w:t>
      </w:r>
      <w:r>
        <w:rPr>
          <w:color w:val="231F20"/>
          <w:vertAlign w:val="baseline"/>
        </w:rPr>
        <w:tab/>
        <w:t>American Medical Association. (2019). </w:t>
      </w:r>
      <w:r>
        <w:rPr>
          <w:i/>
          <w:color w:val="231F20"/>
          <w:vertAlign w:val="baseline"/>
        </w:rPr>
        <w:t>AMA</w:t>
      </w:r>
      <w:r>
        <w:rPr>
          <w:i/>
          <w:color w:val="231F20"/>
          <w:spacing w:val="1"/>
          <w:vertAlign w:val="baseline"/>
        </w:rPr>
        <w:t> </w:t>
      </w:r>
      <w:r>
        <w:rPr>
          <w:i/>
          <w:color w:val="231F20"/>
          <w:vertAlign w:val="baseline"/>
        </w:rPr>
        <w:t>telehealth quick guide</w:t>
      </w:r>
      <w:r>
        <w:rPr>
          <w:color w:val="231F20"/>
          <w:vertAlign w:val="baseline"/>
        </w:rPr>
        <w:t>. </w:t>
      </w:r>
      <w:hyperlink r:id="rId245">
        <w:r>
          <w:rPr>
            <w:color w:val="3953A4"/>
            <w:u w:val="single" w:color="3953A4"/>
            <w:vertAlign w:val="baseline"/>
          </w:rPr>
          <w:t>https://www.ama-assn.org/</w:t>
        </w:r>
      </w:hyperlink>
      <w:r>
        <w:rPr>
          <w:color w:val="3953A4"/>
          <w:spacing w:val="1"/>
          <w:vertAlign w:val="baseline"/>
        </w:rPr>
        <w:t> </w:t>
      </w:r>
      <w:hyperlink r:id="rId245">
        <w:r>
          <w:rPr>
            <w:color w:val="3953A4"/>
            <w:u w:val="single" w:color="3953A4"/>
            <w:vertAlign w:val="baseline"/>
          </w:rPr>
          <w:t>practice-management/digital/ama-telehealth-quick-</w:t>
        </w:r>
      </w:hyperlink>
      <w:r>
        <w:rPr>
          <w:color w:val="3953A4"/>
          <w:spacing w:val="-53"/>
          <w:vertAlign w:val="baseline"/>
        </w:rPr>
        <w:t> </w:t>
      </w:r>
      <w:hyperlink r:id="rId245">
        <w:r>
          <w:rPr>
            <w:color w:val="3953A4"/>
            <w:u w:val="single" w:color="3953A4"/>
            <w:vertAlign w:val="baseline"/>
          </w:rPr>
          <w:t>guide</w:t>
        </w:r>
      </w:hyperlink>
    </w:p>
    <w:p>
      <w:pPr>
        <w:tabs>
          <w:tab w:pos="479" w:val="left" w:leader="none"/>
        </w:tabs>
        <w:spacing w:line="228" w:lineRule="auto" w:before="89"/>
        <w:ind w:left="479" w:right="766" w:hanging="360"/>
        <w:jc w:val="left"/>
        <w:rPr>
          <w:sz w:val="22"/>
        </w:rPr>
      </w:pPr>
      <w:r>
        <w:rPr>
          <w:color w:val="231F20"/>
          <w:sz w:val="22"/>
          <w:vertAlign w:val="superscript"/>
        </w:rPr>
        <w:t>34</w:t>
      </w:r>
      <w:r>
        <w:rPr>
          <w:color w:val="231F20"/>
          <w:sz w:val="22"/>
          <w:vertAlign w:val="baseline"/>
        </w:rPr>
        <w:tab/>
        <w:t>American Psychiatric Association. (2017). </w:t>
      </w:r>
      <w:r>
        <w:rPr>
          <w:i/>
          <w:color w:val="231F20"/>
          <w:sz w:val="22"/>
          <w:vertAlign w:val="baseline"/>
        </w:rPr>
        <w:t>Use of</w:t>
      </w:r>
      <w:r>
        <w:rPr>
          <w:i/>
          <w:color w:val="231F20"/>
          <w:spacing w:val="1"/>
          <w:sz w:val="22"/>
          <w:vertAlign w:val="baseline"/>
        </w:rPr>
        <w:t> </w:t>
      </w:r>
      <w:r>
        <w:rPr>
          <w:i/>
          <w:color w:val="231F20"/>
          <w:sz w:val="22"/>
          <w:vertAlign w:val="baseline"/>
        </w:rPr>
        <w:t>telepsychiatry in cross-cultural settings</w:t>
      </w:r>
      <w:r>
        <w:rPr>
          <w:color w:val="231F20"/>
          <w:sz w:val="22"/>
          <w:vertAlign w:val="baseline"/>
        </w:rPr>
        <w:t>. </w:t>
      </w:r>
      <w:hyperlink r:id="rId289">
        <w:r>
          <w:rPr>
            <w:color w:val="3953A4"/>
            <w:sz w:val="22"/>
            <w:u w:val="single" w:color="3953A4"/>
            <w:vertAlign w:val="baseline"/>
          </w:rPr>
          <w:t>https://</w:t>
        </w:r>
      </w:hyperlink>
      <w:r>
        <w:rPr>
          <w:color w:val="3953A4"/>
          <w:spacing w:val="1"/>
          <w:sz w:val="22"/>
          <w:vertAlign w:val="baseline"/>
        </w:rPr>
        <w:t> </w:t>
      </w:r>
      <w:hyperlink r:id="rId289">
        <w:r>
          <w:rPr>
            <w:color w:val="3953A4"/>
            <w:sz w:val="22"/>
            <w:u w:val="single" w:color="3953A4"/>
            <w:vertAlign w:val="baseline"/>
          </w:rPr>
          <w:t>www.psychiatry.org/psychiatrists/practice/</w:t>
        </w:r>
      </w:hyperlink>
      <w:r>
        <w:rPr>
          <w:color w:val="3953A4"/>
          <w:spacing w:val="1"/>
          <w:sz w:val="22"/>
          <w:vertAlign w:val="baseline"/>
        </w:rPr>
        <w:t> </w:t>
      </w:r>
      <w:hyperlink r:id="rId289">
        <w:r>
          <w:rPr>
            <w:color w:val="3953A4"/>
            <w:sz w:val="22"/>
            <w:u w:val="single" w:color="3953A4"/>
            <w:vertAlign w:val="baseline"/>
          </w:rPr>
          <w:t>telepsychiatry/toolkit/use-of-telepsychiatry-in-cross-</w:t>
        </w:r>
      </w:hyperlink>
      <w:r>
        <w:rPr>
          <w:color w:val="3953A4"/>
          <w:spacing w:val="-52"/>
          <w:sz w:val="22"/>
          <w:vertAlign w:val="baseline"/>
        </w:rPr>
        <w:t> </w:t>
      </w:r>
      <w:hyperlink r:id="rId289">
        <w:r>
          <w:rPr>
            <w:color w:val="3953A4"/>
            <w:sz w:val="22"/>
            <w:u w:val="single" w:color="3953A4"/>
            <w:vertAlign w:val="baseline"/>
          </w:rPr>
          <w:t>cultural-settings</w:t>
        </w:r>
      </w:hyperlink>
    </w:p>
    <w:p>
      <w:pPr>
        <w:tabs>
          <w:tab w:pos="479" w:val="left" w:leader="none"/>
        </w:tabs>
        <w:spacing w:line="228" w:lineRule="auto" w:before="88"/>
        <w:ind w:left="480" w:right="765" w:hanging="360"/>
        <w:jc w:val="left"/>
        <w:rPr>
          <w:sz w:val="22"/>
        </w:rPr>
      </w:pPr>
      <w:r>
        <w:rPr>
          <w:color w:val="231F20"/>
          <w:sz w:val="22"/>
          <w:vertAlign w:val="superscript"/>
        </w:rPr>
        <w:t>35</w:t>
      </w:r>
      <w:r>
        <w:rPr>
          <w:color w:val="231F20"/>
          <w:sz w:val="22"/>
          <w:vertAlign w:val="baseline"/>
        </w:rPr>
        <w:tab/>
        <w:t>Center</w:t>
      </w:r>
      <w:r>
        <w:rPr>
          <w:color w:val="231F20"/>
          <w:spacing w:val="-7"/>
          <w:sz w:val="22"/>
          <w:vertAlign w:val="baseline"/>
        </w:rPr>
        <w:t> </w:t>
      </w:r>
      <w:r>
        <w:rPr>
          <w:color w:val="231F20"/>
          <w:sz w:val="22"/>
          <w:vertAlign w:val="baseline"/>
        </w:rPr>
        <w:t>for</w:t>
      </w:r>
      <w:r>
        <w:rPr>
          <w:color w:val="231F20"/>
          <w:spacing w:val="-6"/>
          <w:sz w:val="22"/>
          <w:vertAlign w:val="baseline"/>
        </w:rPr>
        <w:t> </w:t>
      </w:r>
      <w:r>
        <w:rPr>
          <w:color w:val="231F20"/>
          <w:sz w:val="22"/>
          <w:vertAlign w:val="baseline"/>
        </w:rPr>
        <w:t>Connected</w:t>
      </w:r>
      <w:r>
        <w:rPr>
          <w:color w:val="231F20"/>
          <w:spacing w:val="-6"/>
          <w:sz w:val="22"/>
          <w:vertAlign w:val="baseline"/>
        </w:rPr>
        <w:t> </w:t>
      </w:r>
      <w:r>
        <w:rPr>
          <w:color w:val="231F20"/>
          <w:sz w:val="22"/>
          <w:vertAlign w:val="baseline"/>
        </w:rPr>
        <w:t>Health</w:t>
      </w:r>
      <w:r>
        <w:rPr>
          <w:color w:val="231F20"/>
          <w:spacing w:val="-6"/>
          <w:sz w:val="22"/>
          <w:vertAlign w:val="baseline"/>
        </w:rPr>
        <w:t> </w:t>
      </w:r>
      <w:r>
        <w:rPr>
          <w:color w:val="231F20"/>
          <w:sz w:val="22"/>
          <w:vertAlign w:val="baseline"/>
        </w:rPr>
        <w:t>Policy.</w:t>
      </w:r>
      <w:r>
        <w:rPr>
          <w:color w:val="231F20"/>
          <w:spacing w:val="-7"/>
          <w:sz w:val="22"/>
          <w:vertAlign w:val="baseline"/>
        </w:rPr>
        <w:t> </w:t>
      </w:r>
      <w:r>
        <w:rPr>
          <w:color w:val="231F20"/>
          <w:sz w:val="22"/>
          <w:vertAlign w:val="baseline"/>
        </w:rPr>
        <w:t>(2020).</w:t>
      </w:r>
      <w:r>
        <w:rPr>
          <w:color w:val="231F20"/>
          <w:spacing w:val="-6"/>
          <w:sz w:val="22"/>
          <w:vertAlign w:val="baseline"/>
        </w:rPr>
        <w:t> </w:t>
      </w:r>
      <w:r>
        <w:rPr>
          <w:i/>
          <w:color w:val="231F20"/>
          <w:sz w:val="22"/>
          <w:vertAlign w:val="baseline"/>
        </w:rPr>
        <w:t>Current</w:t>
      </w:r>
      <w:r>
        <w:rPr>
          <w:i/>
          <w:color w:val="231F20"/>
          <w:spacing w:val="-52"/>
          <w:sz w:val="22"/>
          <w:vertAlign w:val="baseline"/>
        </w:rPr>
        <w:t> </w:t>
      </w:r>
      <w:r>
        <w:rPr>
          <w:i/>
          <w:color w:val="231F20"/>
          <w:sz w:val="22"/>
          <w:vertAlign w:val="baseline"/>
        </w:rPr>
        <w:t>state laws &amp; reimbursement policies</w:t>
      </w:r>
      <w:r>
        <w:rPr>
          <w:color w:val="231F20"/>
          <w:sz w:val="22"/>
          <w:vertAlign w:val="baseline"/>
        </w:rPr>
        <w:t>. </w:t>
      </w:r>
      <w:hyperlink r:id="rId241">
        <w:r>
          <w:rPr>
            <w:color w:val="3953A4"/>
            <w:sz w:val="22"/>
            <w:u w:val="single" w:color="3953A4"/>
            <w:vertAlign w:val="baseline"/>
          </w:rPr>
          <w:t>https://www.</w:t>
        </w:r>
      </w:hyperlink>
      <w:r>
        <w:rPr>
          <w:color w:val="3953A4"/>
          <w:spacing w:val="1"/>
          <w:sz w:val="22"/>
          <w:vertAlign w:val="baseline"/>
        </w:rPr>
        <w:t> </w:t>
      </w:r>
      <w:hyperlink r:id="rId241">
        <w:r>
          <w:rPr>
            <w:color w:val="3953A4"/>
            <w:sz w:val="22"/>
            <w:u w:val="single" w:color="3953A4"/>
            <w:vertAlign w:val="baseline"/>
          </w:rPr>
          <w:t>cchpca.org/telehealth-policy/current-state-laws-and-</w:t>
        </w:r>
      </w:hyperlink>
      <w:r>
        <w:rPr>
          <w:color w:val="3953A4"/>
          <w:spacing w:val="-52"/>
          <w:sz w:val="22"/>
          <w:vertAlign w:val="baseline"/>
        </w:rPr>
        <w:t> </w:t>
      </w:r>
      <w:hyperlink r:id="rId241">
        <w:r>
          <w:rPr>
            <w:color w:val="3953A4"/>
            <w:sz w:val="22"/>
            <w:u w:val="single" w:color="3953A4"/>
            <w:vertAlign w:val="baseline"/>
          </w:rPr>
          <w:t>reimbursement-policies</w:t>
        </w:r>
      </w:hyperlink>
    </w:p>
    <w:p>
      <w:pPr>
        <w:pStyle w:val="BodyText"/>
        <w:tabs>
          <w:tab w:pos="479" w:val="left" w:leader="none"/>
        </w:tabs>
        <w:spacing w:line="228" w:lineRule="auto" w:before="89"/>
        <w:ind w:left="480" w:right="770" w:hanging="360"/>
      </w:pPr>
      <w:r>
        <w:rPr>
          <w:color w:val="231F20"/>
          <w:vertAlign w:val="superscript"/>
        </w:rPr>
        <w:t>36</w:t>
      </w:r>
      <w:r>
        <w:rPr>
          <w:color w:val="231F20"/>
          <w:vertAlign w:val="baseline"/>
        </w:rPr>
        <w:tab/>
      </w:r>
      <w:r>
        <w:rPr>
          <w:color w:val="231F20"/>
          <w:spacing w:val="-2"/>
          <w:vertAlign w:val="baseline"/>
        </w:rPr>
        <w:t>Lindsay,</w:t>
      </w:r>
      <w:r>
        <w:rPr>
          <w:color w:val="231F20"/>
          <w:spacing w:val="4"/>
          <w:vertAlign w:val="baseline"/>
        </w:rPr>
        <w:t> </w:t>
      </w:r>
      <w:r>
        <w:rPr>
          <w:color w:val="231F20"/>
          <w:spacing w:val="-1"/>
          <w:vertAlign w:val="baseline"/>
        </w:rPr>
        <w:t>J.</w:t>
      </w:r>
      <w:r>
        <w:rPr>
          <w:color w:val="231F20"/>
          <w:spacing w:val="-8"/>
          <w:vertAlign w:val="baseline"/>
        </w:rPr>
        <w:t> </w:t>
      </w:r>
      <w:r>
        <w:rPr>
          <w:color w:val="231F20"/>
          <w:spacing w:val="-1"/>
          <w:vertAlign w:val="baseline"/>
        </w:rPr>
        <w:t>A.,</w:t>
      </w:r>
      <w:r>
        <w:rPr>
          <w:color w:val="231F20"/>
          <w:spacing w:val="4"/>
          <w:vertAlign w:val="baseline"/>
        </w:rPr>
        <w:t> </w:t>
      </w:r>
      <w:r>
        <w:rPr>
          <w:color w:val="231F20"/>
          <w:spacing w:val="-1"/>
          <w:vertAlign w:val="baseline"/>
        </w:rPr>
        <w:t>Day,</w:t>
      </w:r>
      <w:r>
        <w:rPr>
          <w:color w:val="231F20"/>
          <w:spacing w:val="5"/>
          <w:vertAlign w:val="baseline"/>
        </w:rPr>
        <w:t> </w:t>
      </w:r>
      <w:r>
        <w:rPr>
          <w:color w:val="231F20"/>
          <w:spacing w:val="-1"/>
          <w:vertAlign w:val="baseline"/>
        </w:rPr>
        <w:t>S.</w:t>
      </w:r>
      <w:r>
        <w:rPr>
          <w:color w:val="231F20"/>
          <w:spacing w:val="4"/>
          <w:vertAlign w:val="baseline"/>
        </w:rPr>
        <w:t> </w:t>
      </w:r>
      <w:r>
        <w:rPr>
          <w:color w:val="231F20"/>
          <w:spacing w:val="-1"/>
          <w:vertAlign w:val="baseline"/>
        </w:rPr>
        <w:t>C.,</w:t>
      </w:r>
      <w:r>
        <w:rPr>
          <w:color w:val="231F20"/>
          <w:spacing w:val="-8"/>
          <w:vertAlign w:val="baseline"/>
        </w:rPr>
        <w:t> </w:t>
      </w:r>
      <w:r>
        <w:rPr>
          <w:color w:val="231F20"/>
          <w:spacing w:val="-1"/>
          <w:vertAlign w:val="baseline"/>
        </w:rPr>
        <w:t>Amspoker,</w:t>
      </w:r>
      <w:r>
        <w:rPr>
          <w:color w:val="231F20"/>
          <w:spacing w:val="-9"/>
          <w:vertAlign w:val="baseline"/>
        </w:rPr>
        <w:t> </w:t>
      </w:r>
      <w:r>
        <w:rPr>
          <w:color w:val="231F20"/>
          <w:spacing w:val="-1"/>
          <w:vertAlign w:val="baseline"/>
        </w:rPr>
        <w:t>A.</w:t>
      </w:r>
      <w:r>
        <w:rPr>
          <w:color w:val="231F20"/>
          <w:spacing w:val="5"/>
          <w:vertAlign w:val="baseline"/>
        </w:rPr>
        <w:t> </w:t>
      </w:r>
      <w:r>
        <w:rPr>
          <w:color w:val="231F20"/>
          <w:spacing w:val="-1"/>
          <w:vertAlign w:val="baseline"/>
        </w:rPr>
        <w:t>B.,</w:t>
      </w:r>
      <w:r>
        <w:rPr>
          <w:color w:val="231F20"/>
          <w:vertAlign w:val="baseline"/>
        </w:rPr>
        <w:t> </w:t>
      </w:r>
      <w:r>
        <w:rPr>
          <w:color w:val="231F20"/>
          <w:spacing w:val="-1"/>
          <w:vertAlign w:val="baseline"/>
        </w:rPr>
        <w:t>Fletcher, T. L., Hogan, J., </w:t>
      </w:r>
      <w:r>
        <w:rPr>
          <w:color w:val="231F20"/>
          <w:vertAlign w:val="baseline"/>
        </w:rPr>
        <w:t>Day, G., Helm, A.,</w:t>
      </w:r>
      <w:r>
        <w:rPr>
          <w:color w:val="231F20"/>
          <w:spacing w:val="1"/>
          <w:vertAlign w:val="baseline"/>
        </w:rPr>
        <w:t> </w:t>
      </w:r>
      <w:r>
        <w:rPr>
          <w:color w:val="231F20"/>
          <w:spacing w:val="-1"/>
          <w:vertAlign w:val="baseline"/>
        </w:rPr>
        <w:t>Stanley, M. A., &amp; Martin, L. A. (2019). Personalized</w:t>
      </w:r>
      <w:r>
        <w:rPr>
          <w:color w:val="231F20"/>
          <w:spacing w:val="-52"/>
          <w:vertAlign w:val="baseline"/>
        </w:rPr>
        <w:t> </w:t>
      </w:r>
      <w:r>
        <w:rPr>
          <w:color w:val="231F20"/>
          <w:vertAlign w:val="baseline"/>
        </w:rPr>
        <w:t>implementation of video telehealth. </w:t>
      </w:r>
      <w:r>
        <w:rPr>
          <w:i/>
          <w:color w:val="231F20"/>
          <w:vertAlign w:val="baseline"/>
        </w:rPr>
        <w:t>Psychiatric</w:t>
      </w:r>
      <w:r>
        <w:rPr>
          <w:i/>
          <w:color w:val="231F20"/>
          <w:spacing w:val="1"/>
          <w:vertAlign w:val="baseline"/>
        </w:rPr>
        <w:t> </w:t>
      </w:r>
      <w:r>
        <w:rPr>
          <w:i/>
          <w:color w:val="231F20"/>
          <w:vertAlign w:val="baseline"/>
        </w:rPr>
        <w:t>Clinics, 42</w:t>
      </w:r>
      <w:r>
        <w:rPr>
          <w:color w:val="231F20"/>
          <w:vertAlign w:val="baseline"/>
        </w:rPr>
        <w:t>(4), 563-574. </w:t>
      </w:r>
      <w:hyperlink r:id="rId290">
        <w:r>
          <w:rPr>
            <w:color w:val="3953A4"/>
            <w:u w:val="single" w:color="3953A4"/>
            <w:vertAlign w:val="baseline"/>
          </w:rPr>
          <w:t>https://doi.org/10.1016/j.</w:t>
        </w:r>
      </w:hyperlink>
      <w:r>
        <w:rPr>
          <w:color w:val="3953A4"/>
          <w:spacing w:val="1"/>
          <w:vertAlign w:val="baseline"/>
        </w:rPr>
        <w:t> </w:t>
      </w:r>
      <w:hyperlink r:id="rId290">
        <w:r>
          <w:rPr>
            <w:color w:val="3953A4"/>
            <w:u w:val="single" w:color="3953A4"/>
            <w:vertAlign w:val="baseline"/>
          </w:rPr>
          <w:t>psc.2019.08.001</w:t>
        </w:r>
      </w:hyperlink>
    </w:p>
    <w:p>
      <w:pPr>
        <w:tabs>
          <w:tab w:pos="479" w:val="left" w:leader="none"/>
        </w:tabs>
        <w:spacing w:line="228" w:lineRule="auto" w:before="88"/>
        <w:ind w:left="480" w:right="1193" w:hanging="360"/>
        <w:jc w:val="left"/>
        <w:rPr>
          <w:sz w:val="22"/>
        </w:rPr>
      </w:pPr>
      <w:r>
        <w:rPr>
          <w:color w:val="231F20"/>
          <w:sz w:val="22"/>
          <w:vertAlign w:val="superscript"/>
        </w:rPr>
        <w:t>37</w:t>
      </w:r>
      <w:r>
        <w:rPr>
          <w:color w:val="231F20"/>
          <w:sz w:val="22"/>
          <w:vertAlign w:val="baseline"/>
        </w:rPr>
        <w:tab/>
        <w:t>LaMorte,</w:t>
      </w:r>
      <w:r>
        <w:rPr>
          <w:color w:val="231F20"/>
          <w:spacing w:val="-13"/>
          <w:sz w:val="22"/>
          <w:vertAlign w:val="baseline"/>
        </w:rPr>
        <w:t> </w:t>
      </w:r>
      <w:r>
        <w:rPr>
          <w:color w:val="231F20"/>
          <w:sz w:val="22"/>
          <w:vertAlign w:val="baseline"/>
        </w:rPr>
        <w:t>W.</w:t>
      </w:r>
      <w:r>
        <w:rPr>
          <w:color w:val="231F20"/>
          <w:spacing w:val="-12"/>
          <w:sz w:val="22"/>
          <w:vertAlign w:val="baseline"/>
        </w:rPr>
        <w:t> </w:t>
      </w:r>
      <w:r>
        <w:rPr>
          <w:color w:val="231F20"/>
          <w:sz w:val="22"/>
          <w:vertAlign w:val="baseline"/>
        </w:rPr>
        <w:t>W.</w:t>
      </w:r>
      <w:r>
        <w:rPr>
          <w:color w:val="231F20"/>
          <w:spacing w:val="-8"/>
          <w:sz w:val="22"/>
          <w:vertAlign w:val="baseline"/>
        </w:rPr>
        <w:t> </w:t>
      </w:r>
      <w:r>
        <w:rPr>
          <w:color w:val="231F20"/>
          <w:sz w:val="22"/>
          <w:vertAlign w:val="baseline"/>
        </w:rPr>
        <w:t>(2019).</w:t>
      </w:r>
      <w:r>
        <w:rPr>
          <w:color w:val="231F20"/>
          <w:spacing w:val="-8"/>
          <w:sz w:val="22"/>
          <w:vertAlign w:val="baseline"/>
        </w:rPr>
        <w:t> </w:t>
      </w:r>
      <w:r>
        <w:rPr>
          <w:i/>
          <w:color w:val="231F20"/>
          <w:sz w:val="22"/>
          <w:vertAlign w:val="baseline"/>
        </w:rPr>
        <w:t>Diffusion</w:t>
      </w:r>
      <w:r>
        <w:rPr>
          <w:i/>
          <w:color w:val="231F20"/>
          <w:spacing w:val="-9"/>
          <w:sz w:val="22"/>
          <w:vertAlign w:val="baseline"/>
        </w:rPr>
        <w:t> </w:t>
      </w:r>
      <w:r>
        <w:rPr>
          <w:i/>
          <w:color w:val="231F20"/>
          <w:sz w:val="22"/>
          <w:vertAlign w:val="baseline"/>
        </w:rPr>
        <w:t>of</w:t>
      </w:r>
      <w:r>
        <w:rPr>
          <w:i/>
          <w:color w:val="231F20"/>
          <w:spacing w:val="-8"/>
          <w:sz w:val="22"/>
          <w:vertAlign w:val="baseline"/>
        </w:rPr>
        <w:t> </w:t>
      </w:r>
      <w:r>
        <w:rPr>
          <w:i/>
          <w:color w:val="231F20"/>
          <w:sz w:val="22"/>
          <w:vertAlign w:val="baseline"/>
        </w:rPr>
        <w:t>innovation</w:t>
      </w:r>
      <w:r>
        <w:rPr>
          <w:i/>
          <w:color w:val="231F20"/>
          <w:spacing w:val="-52"/>
          <w:sz w:val="22"/>
          <w:vertAlign w:val="baseline"/>
        </w:rPr>
        <w:t> </w:t>
      </w:r>
      <w:r>
        <w:rPr>
          <w:i/>
          <w:color w:val="231F20"/>
          <w:sz w:val="22"/>
          <w:vertAlign w:val="baseline"/>
        </w:rPr>
        <w:t>theory</w:t>
      </w:r>
      <w:r>
        <w:rPr>
          <w:color w:val="231F20"/>
          <w:sz w:val="22"/>
          <w:vertAlign w:val="baseline"/>
        </w:rPr>
        <w:t>. Boston University School of Public</w:t>
      </w:r>
      <w:r>
        <w:rPr>
          <w:color w:val="231F20"/>
          <w:spacing w:val="1"/>
          <w:sz w:val="22"/>
          <w:vertAlign w:val="baseline"/>
        </w:rPr>
        <w:t> </w:t>
      </w:r>
      <w:r>
        <w:rPr>
          <w:color w:val="231F20"/>
          <w:sz w:val="22"/>
          <w:vertAlign w:val="baseline"/>
        </w:rPr>
        <w:t>Health. </w:t>
      </w:r>
      <w:hyperlink r:id="rId291">
        <w:r>
          <w:rPr>
            <w:color w:val="3953A4"/>
            <w:sz w:val="22"/>
            <w:u w:val="single" w:color="3953A4"/>
            <w:vertAlign w:val="baseline"/>
          </w:rPr>
          <w:t>https://sphweb.bumc.bu.edu/otlt/</w:t>
        </w:r>
      </w:hyperlink>
    </w:p>
    <w:p>
      <w:pPr>
        <w:pStyle w:val="BodyText"/>
        <w:spacing w:line="228" w:lineRule="auto"/>
        <w:ind w:left="480" w:right="1543"/>
      </w:pPr>
      <w:hyperlink r:id="rId291">
        <w:r>
          <w:rPr>
            <w:color w:val="3953A4"/>
            <w:u w:val="single" w:color="3953A4"/>
          </w:rPr>
          <w:t>mph-modules/sb/behavioralchangetheories/</w:t>
        </w:r>
      </w:hyperlink>
      <w:r>
        <w:rPr>
          <w:color w:val="3953A4"/>
          <w:spacing w:val="-52"/>
        </w:rPr>
        <w:t> </w:t>
      </w:r>
      <w:hyperlink r:id="rId291">
        <w:r>
          <w:rPr>
            <w:color w:val="3953A4"/>
            <w:u w:val="single" w:color="3953A4"/>
          </w:rPr>
          <w:t>behavioralchangetheories4.html</w:t>
        </w:r>
      </w:hyperlink>
    </w:p>
    <w:p>
      <w:pPr>
        <w:spacing w:after="0" w:line="228" w:lineRule="auto"/>
        <w:sectPr>
          <w:type w:val="continuous"/>
          <w:pgSz w:w="12240" w:h="15840"/>
          <w:pgMar w:header="0" w:footer="666" w:top="1500" w:bottom="0" w:left="600" w:right="0"/>
          <w:cols w:num="2" w:equalWidth="0">
            <w:col w:w="5165" w:space="595"/>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tabs>
          <w:tab w:pos="479" w:val="left" w:leader="none"/>
        </w:tabs>
        <w:spacing w:line="228" w:lineRule="auto" w:before="101"/>
        <w:ind w:left="480" w:right="38" w:hanging="360"/>
        <w:jc w:val="left"/>
        <w:rPr>
          <w:sz w:val="22"/>
        </w:rPr>
      </w:pPr>
      <w:r>
        <w:rPr>
          <w:color w:val="231F20"/>
          <w:sz w:val="22"/>
          <w:vertAlign w:val="superscript"/>
        </w:rPr>
        <w:t>38</w:t>
      </w:r>
      <w:r>
        <w:rPr>
          <w:color w:val="231F20"/>
          <w:sz w:val="22"/>
          <w:vertAlign w:val="baseline"/>
        </w:rPr>
        <w:tab/>
      </w:r>
      <w:r>
        <w:rPr>
          <w:color w:val="231F20"/>
          <w:spacing w:val="-4"/>
          <w:sz w:val="22"/>
          <w:vertAlign w:val="baseline"/>
        </w:rPr>
        <w:t>Uscher-Pines,</w:t>
      </w:r>
      <w:r>
        <w:rPr>
          <w:color w:val="231F20"/>
          <w:spacing w:val="-8"/>
          <w:sz w:val="22"/>
          <w:vertAlign w:val="baseline"/>
        </w:rPr>
        <w:t> </w:t>
      </w:r>
      <w:r>
        <w:rPr>
          <w:color w:val="231F20"/>
          <w:spacing w:val="-4"/>
          <w:sz w:val="22"/>
          <w:vertAlign w:val="baseline"/>
        </w:rPr>
        <w:t>L.,</w:t>
      </w:r>
      <w:r>
        <w:rPr>
          <w:color w:val="231F20"/>
          <w:spacing w:val="-8"/>
          <w:sz w:val="22"/>
          <w:vertAlign w:val="baseline"/>
        </w:rPr>
        <w:t> </w:t>
      </w:r>
      <w:r>
        <w:rPr>
          <w:color w:val="231F20"/>
          <w:spacing w:val="-4"/>
          <w:sz w:val="22"/>
          <w:vertAlign w:val="baseline"/>
        </w:rPr>
        <w:t>Sousa,</w:t>
      </w:r>
      <w:r>
        <w:rPr>
          <w:color w:val="231F20"/>
          <w:spacing w:val="-8"/>
          <w:sz w:val="22"/>
          <w:vertAlign w:val="baseline"/>
        </w:rPr>
        <w:t> </w:t>
      </w:r>
      <w:r>
        <w:rPr>
          <w:color w:val="231F20"/>
          <w:spacing w:val="-4"/>
          <w:sz w:val="22"/>
          <w:vertAlign w:val="baseline"/>
        </w:rPr>
        <w:t>J.,</w:t>
      </w:r>
      <w:r>
        <w:rPr>
          <w:color w:val="231F20"/>
          <w:spacing w:val="-8"/>
          <w:sz w:val="22"/>
          <w:vertAlign w:val="baseline"/>
        </w:rPr>
        <w:t> </w:t>
      </w:r>
      <w:r>
        <w:rPr>
          <w:color w:val="231F20"/>
          <w:spacing w:val="-4"/>
          <w:sz w:val="22"/>
          <w:vertAlign w:val="baseline"/>
        </w:rPr>
        <w:t>Palimaru,</w:t>
      </w:r>
      <w:r>
        <w:rPr>
          <w:color w:val="231F20"/>
          <w:spacing w:val="-21"/>
          <w:sz w:val="22"/>
          <w:vertAlign w:val="baseline"/>
        </w:rPr>
        <w:t> </w:t>
      </w:r>
      <w:r>
        <w:rPr>
          <w:color w:val="231F20"/>
          <w:spacing w:val="-4"/>
          <w:sz w:val="22"/>
          <w:vertAlign w:val="baseline"/>
        </w:rPr>
        <w:t>A.</w:t>
      </w:r>
      <w:r>
        <w:rPr>
          <w:color w:val="231F20"/>
          <w:spacing w:val="-8"/>
          <w:sz w:val="22"/>
          <w:vertAlign w:val="baseline"/>
        </w:rPr>
        <w:t> </w:t>
      </w:r>
      <w:r>
        <w:rPr>
          <w:color w:val="231F20"/>
          <w:spacing w:val="-3"/>
          <w:sz w:val="22"/>
          <w:vertAlign w:val="baseline"/>
        </w:rPr>
        <w:t>I.,</w:t>
      </w:r>
      <w:r>
        <w:rPr>
          <w:color w:val="231F20"/>
          <w:spacing w:val="-8"/>
          <w:sz w:val="22"/>
          <w:vertAlign w:val="baseline"/>
        </w:rPr>
        <w:t> </w:t>
      </w:r>
      <w:r>
        <w:rPr>
          <w:color w:val="231F20"/>
          <w:spacing w:val="-3"/>
          <w:sz w:val="22"/>
          <w:vertAlign w:val="baseline"/>
        </w:rPr>
        <w:t>Zocchi,</w:t>
      </w:r>
      <w:r>
        <w:rPr>
          <w:color w:val="231F20"/>
          <w:spacing w:val="-8"/>
          <w:sz w:val="22"/>
          <w:vertAlign w:val="baseline"/>
        </w:rPr>
        <w:t> </w:t>
      </w:r>
      <w:r>
        <w:rPr>
          <w:color w:val="231F20"/>
          <w:spacing w:val="-3"/>
          <w:sz w:val="22"/>
          <w:vertAlign w:val="baseline"/>
        </w:rPr>
        <w:t>M.,</w:t>
      </w:r>
      <w:r>
        <w:rPr>
          <w:color w:val="231F20"/>
          <w:spacing w:val="-52"/>
          <w:sz w:val="22"/>
          <w:vertAlign w:val="baseline"/>
        </w:rPr>
        <w:t> </w:t>
      </w:r>
      <w:r>
        <w:rPr>
          <w:color w:val="231F20"/>
          <w:spacing w:val="-4"/>
          <w:sz w:val="22"/>
          <w:vertAlign w:val="baseline"/>
        </w:rPr>
        <w:t>Kapinos, K. A., &amp; Ober, A. J. (2020). </w:t>
      </w:r>
      <w:r>
        <w:rPr>
          <w:i/>
          <w:color w:val="231F20"/>
          <w:spacing w:val="-3"/>
          <w:sz w:val="22"/>
          <w:vertAlign w:val="baseline"/>
        </w:rPr>
        <w:t>Experiences of</w:t>
      </w:r>
      <w:r>
        <w:rPr>
          <w:i/>
          <w:color w:val="231F20"/>
          <w:spacing w:val="-2"/>
          <w:sz w:val="22"/>
          <w:vertAlign w:val="baseline"/>
        </w:rPr>
        <w:t> </w:t>
      </w:r>
      <w:r>
        <w:rPr>
          <w:i/>
          <w:color w:val="231F20"/>
          <w:spacing w:val="-3"/>
          <w:sz w:val="22"/>
          <w:vertAlign w:val="baseline"/>
        </w:rPr>
        <w:t>community health centers in expanding telemedicine</w:t>
      </w:r>
      <w:r>
        <w:rPr>
          <w:color w:val="231F20"/>
          <w:spacing w:val="-3"/>
          <w:sz w:val="22"/>
          <w:vertAlign w:val="baseline"/>
        </w:rPr>
        <w:t>.</w:t>
      </w:r>
      <w:r>
        <w:rPr>
          <w:color w:val="231F20"/>
          <w:spacing w:val="-2"/>
          <w:sz w:val="22"/>
          <w:vertAlign w:val="baseline"/>
        </w:rPr>
        <w:t> Santa</w:t>
      </w:r>
      <w:r>
        <w:rPr>
          <w:color w:val="231F20"/>
          <w:spacing w:val="-12"/>
          <w:sz w:val="22"/>
          <w:vertAlign w:val="baseline"/>
        </w:rPr>
        <w:t> </w:t>
      </w:r>
      <w:r>
        <w:rPr>
          <w:color w:val="231F20"/>
          <w:spacing w:val="-2"/>
          <w:sz w:val="22"/>
          <w:vertAlign w:val="baseline"/>
        </w:rPr>
        <w:t>Monica,</w:t>
      </w:r>
      <w:r>
        <w:rPr>
          <w:color w:val="231F20"/>
          <w:spacing w:val="-12"/>
          <w:sz w:val="22"/>
          <w:vertAlign w:val="baseline"/>
        </w:rPr>
        <w:t> </w:t>
      </w:r>
      <w:r>
        <w:rPr>
          <w:color w:val="231F20"/>
          <w:spacing w:val="-2"/>
          <w:sz w:val="22"/>
          <w:vertAlign w:val="baseline"/>
        </w:rPr>
        <w:t>Calif.:</w:t>
      </w:r>
      <w:r>
        <w:rPr>
          <w:color w:val="231F20"/>
          <w:spacing w:val="-11"/>
          <w:sz w:val="22"/>
          <w:vertAlign w:val="baseline"/>
        </w:rPr>
        <w:t> </w:t>
      </w:r>
      <w:r>
        <w:rPr>
          <w:color w:val="231F20"/>
          <w:spacing w:val="-2"/>
          <w:sz w:val="22"/>
          <w:vertAlign w:val="baseline"/>
        </w:rPr>
        <w:t>RAND</w:t>
      </w:r>
      <w:r>
        <w:rPr>
          <w:color w:val="231F20"/>
          <w:spacing w:val="-12"/>
          <w:sz w:val="22"/>
          <w:vertAlign w:val="baseline"/>
        </w:rPr>
        <w:t> </w:t>
      </w:r>
      <w:r>
        <w:rPr>
          <w:color w:val="231F20"/>
          <w:spacing w:val="-1"/>
          <w:sz w:val="22"/>
          <w:vertAlign w:val="baseline"/>
        </w:rPr>
        <w:t>Corporation,</w:t>
      </w:r>
      <w:r>
        <w:rPr>
          <w:color w:val="231F20"/>
          <w:spacing w:val="-12"/>
          <w:sz w:val="22"/>
          <w:vertAlign w:val="baseline"/>
        </w:rPr>
        <w:t> </w:t>
      </w:r>
      <w:r>
        <w:rPr>
          <w:color w:val="231F20"/>
          <w:spacing w:val="-1"/>
          <w:sz w:val="22"/>
          <w:vertAlign w:val="baseline"/>
        </w:rPr>
        <w:t>RR-</w:t>
      </w:r>
    </w:p>
    <w:p>
      <w:pPr>
        <w:pStyle w:val="BodyText"/>
        <w:spacing w:line="228" w:lineRule="auto"/>
        <w:ind w:left="480" w:right="205"/>
      </w:pPr>
      <w:r>
        <w:rPr>
          <w:color w:val="231F20"/>
          <w:spacing w:val="-5"/>
        </w:rPr>
        <w:t>A100-1.</w:t>
      </w:r>
      <w:r>
        <w:rPr>
          <w:color w:val="231F20"/>
          <w:spacing w:val="5"/>
        </w:rPr>
        <w:t> </w:t>
      </w:r>
      <w:hyperlink r:id="rId292">
        <w:r>
          <w:rPr>
            <w:color w:val="3953A4"/>
            <w:spacing w:val="-5"/>
            <w:u w:val="single" w:color="3953A4"/>
          </w:rPr>
          <w:t>https://www.rand.org/pubs/research_reports/</w:t>
        </w:r>
      </w:hyperlink>
      <w:r>
        <w:rPr>
          <w:color w:val="3953A4"/>
          <w:spacing w:val="-52"/>
        </w:rPr>
        <w:t> </w:t>
      </w:r>
      <w:hyperlink r:id="rId292">
        <w:r>
          <w:rPr>
            <w:color w:val="3953A4"/>
            <w:u w:val="single" w:color="3953A4"/>
          </w:rPr>
          <w:t>RRA100-1.html</w:t>
        </w:r>
      </w:hyperlink>
    </w:p>
    <w:p>
      <w:pPr>
        <w:pStyle w:val="BodyText"/>
        <w:tabs>
          <w:tab w:pos="479" w:val="left" w:leader="none"/>
        </w:tabs>
        <w:spacing w:line="228" w:lineRule="auto" w:before="88"/>
        <w:ind w:left="480" w:right="498" w:hanging="360"/>
      </w:pPr>
      <w:r>
        <w:rPr>
          <w:color w:val="231F20"/>
          <w:vertAlign w:val="superscript"/>
        </w:rPr>
        <w:t>39</w:t>
      </w:r>
      <w:r>
        <w:rPr>
          <w:color w:val="231F20"/>
          <w:vertAlign w:val="baseline"/>
        </w:rPr>
        <w:tab/>
        <w:t>Mohr, D. C., Burns, M. N., Schueller, S. M.,</w:t>
      </w:r>
      <w:r>
        <w:rPr>
          <w:color w:val="231F20"/>
          <w:spacing w:val="1"/>
          <w:vertAlign w:val="baseline"/>
        </w:rPr>
        <w:t> </w:t>
      </w:r>
      <w:r>
        <w:rPr>
          <w:color w:val="231F20"/>
          <w:vertAlign w:val="baseline"/>
        </w:rPr>
        <w:t>Clarke, G., &amp; Klinkman, M. (2013). Behavioral</w:t>
      </w:r>
      <w:r>
        <w:rPr>
          <w:color w:val="231F20"/>
          <w:spacing w:val="-52"/>
          <w:vertAlign w:val="baseline"/>
        </w:rPr>
        <w:t> </w:t>
      </w:r>
      <w:r>
        <w:rPr>
          <w:color w:val="231F20"/>
          <w:vertAlign w:val="baseline"/>
        </w:rPr>
        <w:t>intervention technologies: Evidence review and</w:t>
      </w:r>
      <w:r>
        <w:rPr>
          <w:color w:val="231F20"/>
          <w:spacing w:val="-52"/>
          <w:vertAlign w:val="baseline"/>
        </w:rPr>
        <w:t> </w:t>
      </w:r>
      <w:r>
        <w:rPr>
          <w:color w:val="231F20"/>
          <w:vertAlign w:val="baseline"/>
        </w:rPr>
        <w:t>recommendations for future research in mental</w:t>
      </w:r>
    </w:p>
    <w:p>
      <w:pPr>
        <w:spacing w:line="228" w:lineRule="auto" w:before="0"/>
        <w:ind w:left="479" w:right="51" w:firstLine="0"/>
        <w:jc w:val="left"/>
        <w:rPr>
          <w:sz w:val="22"/>
        </w:rPr>
      </w:pPr>
      <w:r>
        <w:rPr>
          <w:color w:val="231F20"/>
          <w:sz w:val="22"/>
        </w:rPr>
        <w:t>health.</w:t>
      </w:r>
      <w:r>
        <w:rPr>
          <w:color w:val="231F20"/>
          <w:spacing w:val="-7"/>
          <w:sz w:val="22"/>
        </w:rPr>
        <w:t> </w:t>
      </w:r>
      <w:r>
        <w:rPr>
          <w:i/>
          <w:color w:val="231F20"/>
          <w:sz w:val="22"/>
        </w:rPr>
        <w:t>General</w:t>
      </w:r>
      <w:r>
        <w:rPr>
          <w:i/>
          <w:color w:val="231F20"/>
          <w:spacing w:val="-5"/>
          <w:sz w:val="22"/>
        </w:rPr>
        <w:t> </w:t>
      </w:r>
      <w:r>
        <w:rPr>
          <w:i/>
          <w:color w:val="231F20"/>
          <w:sz w:val="22"/>
        </w:rPr>
        <w:t>Hospital</w:t>
      </w:r>
      <w:r>
        <w:rPr>
          <w:i/>
          <w:color w:val="231F20"/>
          <w:spacing w:val="-5"/>
          <w:sz w:val="22"/>
        </w:rPr>
        <w:t> </w:t>
      </w:r>
      <w:r>
        <w:rPr>
          <w:i/>
          <w:color w:val="231F20"/>
          <w:sz w:val="22"/>
        </w:rPr>
        <w:t>Psychiatry,</w:t>
      </w:r>
      <w:r>
        <w:rPr>
          <w:i/>
          <w:color w:val="231F20"/>
          <w:spacing w:val="-5"/>
          <w:sz w:val="22"/>
        </w:rPr>
        <w:t> </w:t>
      </w:r>
      <w:r>
        <w:rPr>
          <w:i/>
          <w:color w:val="231F20"/>
          <w:sz w:val="22"/>
        </w:rPr>
        <w:t>35</w:t>
      </w:r>
      <w:r>
        <w:rPr>
          <w:color w:val="231F20"/>
          <w:sz w:val="22"/>
        </w:rPr>
        <w:t>(4),</w:t>
      </w:r>
      <w:r>
        <w:rPr>
          <w:color w:val="231F20"/>
          <w:spacing w:val="-5"/>
          <w:sz w:val="22"/>
        </w:rPr>
        <w:t> </w:t>
      </w:r>
      <w:r>
        <w:rPr>
          <w:color w:val="231F20"/>
          <w:sz w:val="22"/>
        </w:rPr>
        <w:t>332-338.</w:t>
      </w:r>
      <w:r>
        <w:rPr>
          <w:color w:val="231F20"/>
          <w:spacing w:val="-52"/>
          <w:sz w:val="22"/>
        </w:rPr>
        <w:t> </w:t>
      </w:r>
      <w:hyperlink r:id="rId293">
        <w:r>
          <w:rPr>
            <w:color w:val="3953A4"/>
            <w:sz w:val="22"/>
            <w:u w:val="single" w:color="3953A4"/>
          </w:rPr>
          <w:t>https://doi.org/10.1016/j.genhosppsych.2013.03.008</w:t>
        </w:r>
      </w:hyperlink>
    </w:p>
    <w:p>
      <w:pPr>
        <w:pStyle w:val="BodyText"/>
        <w:tabs>
          <w:tab w:pos="479" w:val="left" w:leader="none"/>
        </w:tabs>
        <w:spacing w:line="228" w:lineRule="auto" w:before="88"/>
        <w:ind w:left="479" w:right="48" w:hanging="360"/>
      </w:pPr>
      <w:r>
        <w:rPr>
          <w:color w:val="231F20"/>
          <w:vertAlign w:val="superscript"/>
        </w:rPr>
        <w:t>40</w:t>
      </w:r>
      <w:r>
        <w:rPr>
          <w:color w:val="231F20"/>
          <w:vertAlign w:val="baseline"/>
        </w:rPr>
        <w:tab/>
      </w:r>
      <w:r>
        <w:rPr>
          <w:color w:val="231F20"/>
          <w:spacing w:val="-2"/>
          <w:vertAlign w:val="baseline"/>
        </w:rPr>
        <w:t>Shelton, C. J., Kim, A., Hassan, </w:t>
      </w:r>
      <w:r>
        <w:rPr>
          <w:color w:val="231F20"/>
          <w:spacing w:val="-1"/>
          <w:vertAlign w:val="baseline"/>
        </w:rPr>
        <w:t>A. M., Bhat, A.,</w:t>
      </w:r>
      <w:r>
        <w:rPr>
          <w:color w:val="231F20"/>
          <w:vertAlign w:val="baseline"/>
        </w:rPr>
        <w:t> </w:t>
      </w:r>
      <w:r>
        <w:rPr>
          <w:color w:val="231F20"/>
          <w:spacing w:val="-2"/>
          <w:vertAlign w:val="baseline"/>
        </w:rPr>
        <w:t>Barnello, J., &amp; Castro, C. A. (2020). </w:t>
      </w:r>
      <w:r>
        <w:rPr>
          <w:color w:val="231F20"/>
          <w:spacing w:val="-1"/>
          <w:vertAlign w:val="baseline"/>
        </w:rPr>
        <w:t>System-wide</w:t>
      </w:r>
      <w:r>
        <w:rPr>
          <w:color w:val="231F20"/>
          <w:vertAlign w:val="baseline"/>
        </w:rPr>
        <w:t> implementation of telehealth to support military</w:t>
      </w:r>
      <w:r>
        <w:rPr>
          <w:color w:val="231F20"/>
          <w:spacing w:val="1"/>
          <w:vertAlign w:val="baseline"/>
        </w:rPr>
        <w:t> </w:t>
      </w:r>
      <w:r>
        <w:rPr>
          <w:color w:val="231F20"/>
          <w:vertAlign w:val="baseline"/>
        </w:rPr>
        <w:t>veterans</w:t>
      </w:r>
      <w:r>
        <w:rPr>
          <w:color w:val="231F20"/>
          <w:spacing w:val="-13"/>
          <w:vertAlign w:val="baseline"/>
        </w:rPr>
        <w:t> </w:t>
      </w:r>
      <w:r>
        <w:rPr>
          <w:color w:val="231F20"/>
          <w:vertAlign w:val="baseline"/>
        </w:rPr>
        <w:t>and</w:t>
      </w:r>
      <w:r>
        <w:rPr>
          <w:color w:val="231F20"/>
          <w:spacing w:val="-13"/>
          <w:vertAlign w:val="baseline"/>
        </w:rPr>
        <w:t> </w:t>
      </w:r>
      <w:r>
        <w:rPr>
          <w:color w:val="231F20"/>
          <w:vertAlign w:val="baseline"/>
        </w:rPr>
        <w:t>their</w:t>
      </w:r>
      <w:r>
        <w:rPr>
          <w:color w:val="231F20"/>
          <w:spacing w:val="-13"/>
          <w:vertAlign w:val="baseline"/>
        </w:rPr>
        <w:t> </w:t>
      </w:r>
      <w:r>
        <w:rPr>
          <w:color w:val="231F20"/>
          <w:vertAlign w:val="baseline"/>
        </w:rPr>
        <w:t>families</w:t>
      </w:r>
      <w:r>
        <w:rPr>
          <w:color w:val="231F20"/>
          <w:spacing w:val="-12"/>
          <w:vertAlign w:val="baseline"/>
        </w:rPr>
        <w:t> </w:t>
      </w:r>
      <w:r>
        <w:rPr>
          <w:color w:val="231F20"/>
          <w:vertAlign w:val="baseline"/>
        </w:rPr>
        <w:t>in</w:t>
      </w:r>
      <w:r>
        <w:rPr>
          <w:color w:val="231F20"/>
          <w:spacing w:val="-13"/>
          <w:vertAlign w:val="baseline"/>
        </w:rPr>
        <w:t> </w:t>
      </w:r>
      <w:r>
        <w:rPr>
          <w:color w:val="231F20"/>
          <w:vertAlign w:val="baseline"/>
        </w:rPr>
        <w:t>response</w:t>
      </w:r>
      <w:r>
        <w:rPr>
          <w:color w:val="231F20"/>
          <w:spacing w:val="-13"/>
          <w:vertAlign w:val="baseline"/>
        </w:rPr>
        <w:t> </w:t>
      </w:r>
      <w:r>
        <w:rPr>
          <w:color w:val="231F20"/>
          <w:vertAlign w:val="baseline"/>
        </w:rPr>
        <w:t>to</w:t>
      </w:r>
      <w:r>
        <w:rPr>
          <w:color w:val="231F20"/>
          <w:spacing w:val="-12"/>
          <w:vertAlign w:val="baseline"/>
        </w:rPr>
        <w:t> </w:t>
      </w:r>
      <w:r>
        <w:rPr>
          <w:color w:val="231F20"/>
          <w:vertAlign w:val="baseline"/>
        </w:rPr>
        <w:t>COVID-19:</w:t>
      </w:r>
      <w:r>
        <w:rPr>
          <w:color w:val="231F20"/>
          <w:spacing w:val="-52"/>
          <w:vertAlign w:val="baseline"/>
        </w:rPr>
        <w:t> </w:t>
      </w:r>
      <w:r>
        <w:rPr>
          <w:color w:val="231F20"/>
          <w:spacing w:val="-3"/>
          <w:vertAlign w:val="baseline"/>
        </w:rPr>
        <w:t>A paradigm shift. </w:t>
      </w:r>
      <w:r>
        <w:rPr>
          <w:i/>
          <w:color w:val="231F20"/>
          <w:spacing w:val="-3"/>
          <w:vertAlign w:val="baseline"/>
        </w:rPr>
        <w:t>Journal of </w:t>
      </w:r>
      <w:r>
        <w:rPr>
          <w:i/>
          <w:color w:val="231F20"/>
          <w:spacing w:val="-2"/>
          <w:vertAlign w:val="baseline"/>
        </w:rPr>
        <w:t>Military, Veteran and</w:t>
      </w:r>
      <w:r>
        <w:rPr>
          <w:i/>
          <w:color w:val="231F20"/>
          <w:spacing w:val="-1"/>
          <w:vertAlign w:val="baseline"/>
        </w:rPr>
        <w:t> </w:t>
      </w:r>
      <w:r>
        <w:rPr>
          <w:i/>
          <w:color w:val="231F20"/>
          <w:spacing w:val="-2"/>
          <w:vertAlign w:val="baseline"/>
        </w:rPr>
        <w:t>Family Health</w:t>
      </w:r>
      <w:r>
        <w:rPr>
          <w:color w:val="231F20"/>
          <w:spacing w:val="-2"/>
          <w:vertAlign w:val="baseline"/>
        </w:rPr>
        <w:t>, Author’s original, CO19003. </w:t>
      </w:r>
      <w:hyperlink r:id="rId91">
        <w:r>
          <w:rPr>
            <w:color w:val="3953A4"/>
            <w:spacing w:val="-2"/>
            <w:u w:val="single" w:color="3953A4"/>
            <w:vertAlign w:val="baseline"/>
          </w:rPr>
          <w:t>https://</w:t>
        </w:r>
      </w:hyperlink>
      <w:r>
        <w:rPr>
          <w:color w:val="3953A4"/>
          <w:spacing w:val="-1"/>
          <w:vertAlign w:val="baseline"/>
        </w:rPr>
        <w:t> </w:t>
      </w:r>
      <w:hyperlink r:id="rId91">
        <w:r>
          <w:rPr>
            <w:color w:val="3953A4"/>
            <w:u w:val="single" w:color="3953A4"/>
            <w:vertAlign w:val="baseline"/>
          </w:rPr>
          <w:t>doi.org/10.3138/jmvfh-6.s2-CO19-0003</w:t>
        </w:r>
      </w:hyperlink>
    </w:p>
    <w:p>
      <w:pPr>
        <w:pStyle w:val="BodyText"/>
        <w:tabs>
          <w:tab w:pos="479" w:val="left" w:leader="none"/>
        </w:tabs>
        <w:spacing w:line="228" w:lineRule="auto" w:before="88"/>
        <w:ind w:left="480" w:right="352" w:hanging="360"/>
      </w:pPr>
      <w:r>
        <w:rPr>
          <w:color w:val="231F20"/>
          <w:vertAlign w:val="superscript"/>
        </w:rPr>
        <w:t>41</w:t>
      </w:r>
      <w:r>
        <w:rPr>
          <w:color w:val="231F20"/>
          <w:vertAlign w:val="baseline"/>
        </w:rPr>
        <w:tab/>
        <w:t>U. S. Department of Health and Human Services.</w:t>
      </w:r>
      <w:r>
        <w:rPr>
          <w:color w:val="231F20"/>
          <w:spacing w:val="-52"/>
          <w:vertAlign w:val="baseline"/>
        </w:rPr>
        <w:t> </w:t>
      </w:r>
      <w:r>
        <w:rPr>
          <w:color w:val="231F20"/>
          <w:vertAlign w:val="baseline"/>
        </w:rPr>
        <w:t>(2020).</w:t>
      </w:r>
      <w:r>
        <w:rPr>
          <w:color w:val="231F20"/>
          <w:spacing w:val="5"/>
          <w:vertAlign w:val="baseline"/>
        </w:rPr>
        <w:t> </w:t>
      </w:r>
      <w:r>
        <w:rPr>
          <w:color w:val="231F20"/>
          <w:vertAlign w:val="baseline"/>
        </w:rPr>
        <w:t>Notification</w:t>
      </w:r>
      <w:r>
        <w:rPr>
          <w:color w:val="231F20"/>
          <w:spacing w:val="5"/>
          <w:vertAlign w:val="baseline"/>
        </w:rPr>
        <w:t> </w:t>
      </w:r>
      <w:r>
        <w:rPr>
          <w:color w:val="231F20"/>
          <w:vertAlign w:val="baseline"/>
        </w:rPr>
        <w:t>of</w:t>
      </w:r>
      <w:r>
        <w:rPr>
          <w:color w:val="231F20"/>
          <w:spacing w:val="6"/>
          <w:vertAlign w:val="baseline"/>
        </w:rPr>
        <w:t> </w:t>
      </w:r>
      <w:r>
        <w:rPr>
          <w:color w:val="231F20"/>
          <w:vertAlign w:val="baseline"/>
        </w:rPr>
        <w:t>enforcement</w:t>
      </w:r>
      <w:r>
        <w:rPr>
          <w:color w:val="231F20"/>
          <w:spacing w:val="5"/>
          <w:vertAlign w:val="baseline"/>
        </w:rPr>
        <w:t> </w:t>
      </w:r>
      <w:r>
        <w:rPr>
          <w:color w:val="231F20"/>
          <w:vertAlign w:val="baseline"/>
        </w:rPr>
        <w:t>discretion</w:t>
      </w:r>
      <w:r>
        <w:rPr>
          <w:color w:val="231F20"/>
          <w:spacing w:val="1"/>
          <w:vertAlign w:val="baseline"/>
        </w:rPr>
        <w:t> </w:t>
      </w:r>
      <w:r>
        <w:rPr>
          <w:color w:val="231F20"/>
          <w:vertAlign w:val="baseline"/>
        </w:rPr>
        <w:t>for telehealth remote communications during the</w:t>
      </w:r>
      <w:r>
        <w:rPr>
          <w:color w:val="231F20"/>
          <w:spacing w:val="1"/>
          <w:vertAlign w:val="baseline"/>
        </w:rPr>
        <w:t> </w:t>
      </w:r>
      <w:r>
        <w:rPr>
          <w:color w:val="231F20"/>
          <w:vertAlign w:val="baseline"/>
        </w:rPr>
        <w:t>COVID-19 nationwide public health emergency.</w:t>
      </w:r>
      <w:r>
        <w:rPr>
          <w:color w:val="231F20"/>
          <w:spacing w:val="1"/>
          <w:vertAlign w:val="baseline"/>
        </w:rPr>
        <w:t> </w:t>
      </w:r>
      <w:hyperlink r:id="rId294">
        <w:r>
          <w:rPr>
            <w:color w:val="3953A4"/>
            <w:u w:val="single" w:color="3953A4"/>
            <w:vertAlign w:val="baseline"/>
          </w:rPr>
          <w:t>https://www.hhs.gov/hipaa/for-professionals/</w:t>
        </w:r>
      </w:hyperlink>
    </w:p>
    <w:p>
      <w:pPr>
        <w:pStyle w:val="BodyText"/>
        <w:spacing w:line="235" w:lineRule="exact"/>
        <w:ind w:left="480"/>
      </w:pPr>
      <w:hyperlink r:id="rId294">
        <w:r>
          <w:rPr>
            <w:color w:val="3953A4"/>
            <w:u w:val="single" w:color="3953A4"/>
          </w:rPr>
          <w:t>special-topics/emergency-preparedness/notification-</w:t>
        </w:r>
      </w:hyperlink>
    </w:p>
    <w:p>
      <w:pPr>
        <w:pStyle w:val="BodyText"/>
        <w:spacing w:line="246" w:lineRule="exact"/>
        <w:ind w:left="480"/>
      </w:pPr>
      <w:hyperlink r:id="rId294">
        <w:r>
          <w:rPr>
            <w:color w:val="3953A4"/>
            <w:u w:val="single" w:color="3953A4"/>
          </w:rPr>
          <w:t>enforcement-discretion-telehealth/index.html</w:t>
        </w:r>
      </w:hyperlink>
    </w:p>
    <w:p>
      <w:pPr>
        <w:pStyle w:val="BodyText"/>
        <w:tabs>
          <w:tab w:pos="479" w:val="left" w:leader="none"/>
        </w:tabs>
        <w:spacing w:line="246" w:lineRule="exact" w:before="77"/>
        <w:ind w:left="120"/>
      </w:pPr>
      <w:r>
        <w:rPr>
          <w:color w:val="231F20"/>
          <w:vertAlign w:val="superscript"/>
        </w:rPr>
        <w:t>42</w:t>
      </w:r>
      <w:r>
        <w:rPr>
          <w:color w:val="231F20"/>
          <w:vertAlign w:val="baseline"/>
        </w:rPr>
        <w:tab/>
        <w:t>Seitz,</w:t>
      </w:r>
      <w:r>
        <w:rPr>
          <w:color w:val="231F20"/>
          <w:spacing w:val="-6"/>
          <w:vertAlign w:val="baseline"/>
        </w:rPr>
        <w:t> </w:t>
      </w:r>
      <w:r>
        <w:rPr>
          <w:color w:val="231F20"/>
          <w:vertAlign w:val="baseline"/>
        </w:rPr>
        <w:t>J.,</w:t>
      </w:r>
      <w:r>
        <w:rPr>
          <w:color w:val="231F20"/>
          <w:spacing w:val="-10"/>
          <w:vertAlign w:val="baseline"/>
        </w:rPr>
        <w:t> </w:t>
      </w:r>
      <w:r>
        <w:rPr>
          <w:color w:val="231F20"/>
          <w:vertAlign w:val="baseline"/>
        </w:rPr>
        <w:t>Waterman,</w:t>
      </w:r>
      <w:r>
        <w:rPr>
          <w:color w:val="231F20"/>
          <w:spacing w:val="-5"/>
          <w:vertAlign w:val="baseline"/>
        </w:rPr>
        <w:t> </w:t>
      </w:r>
      <w:r>
        <w:rPr>
          <w:color w:val="231F20"/>
          <w:vertAlign w:val="baseline"/>
        </w:rPr>
        <w:t>C.,</w:t>
      </w:r>
      <w:r>
        <w:rPr>
          <w:color w:val="231F20"/>
          <w:spacing w:val="-5"/>
          <w:vertAlign w:val="baseline"/>
        </w:rPr>
        <w:t> </w:t>
      </w:r>
      <w:r>
        <w:rPr>
          <w:color w:val="231F20"/>
          <w:vertAlign w:val="baseline"/>
        </w:rPr>
        <w:t>Khaikin,</w:t>
      </w:r>
      <w:r>
        <w:rPr>
          <w:color w:val="231F20"/>
          <w:spacing w:val="-6"/>
          <w:vertAlign w:val="baseline"/>
        </w:rPr>
        <w:t> </w:t>
      </w:r>
      <w:r>
        <w:rPr>
          <w:color w:val="231F20"/>
          <w:vertAlign w:val="baseline"/>
        </w:rPr>
        <w:t>C.,</w:t>
      </w:r>
      <w:r>
        <w:rPr>
          <w:color w:val="231F20"/>
          <w:spacing w:val="-5"/>
          <w:vertAlign w:val="baseline"/>
        </w:rPr>
        <w:t> </w:t>
      </w:r>
      <w:r>
        <w:rPr>
          <w:color w:val="231F20"/>
          <w:vertAlign w:val="baseline"/>
        </w:rPr>
        <w:t>&amp;</w:t>
      </w:r>
      <w:r>
        <w:rPr>
          <w:color w:val="231F20"/>
          <w:spacing w:val="-5"/>
          <w:vertAlign w:val="baseline"/>
        </w:rPr>
        <w:t> </w:t>
      </w:r>
      <w:r>
        <w:rPr>
          <w:color w:val="231F20"/>
          <w:vertAlign w:val="baseline"/>
        </w:rPr>
        <w:t>Graziano,</w:t>
      </w:r>
    </w:p>
    <w:p>
      <w:pPr>
        <w:spacing w:line="228" w:lineRule="auto" w:before="3"/>
        <w:ind w:left="480" w:right="260" w:firstLine="0"/>
        <w:jc w:val="left"/>
        <w:rPr>
          <w:sz w:val="22"/>
        </w:rPr>
      </w:pPr>
      <w:r>
        <w:rPr>
          <w:color w:val="231F20"/>
          <w:sz w:val="22"/>
        </w:rPr>
        <w:t>M. (2020). </w:t>
      </w:r>
      <w:r>
        <w:rPr>
          <w:i/>
          <w:color w:val="231F20"/>
          <w:sz w:val="22"/>
        </w:rPr>
        <w:t>Understanding the new SAMHSA/OCR</w:t>
      </w:r>
      <w:r>
        <w:rPr>
          <w:i/>
          <w:color w:val="231F20"/>
          <w:spacing w:val="-53"/>
          <w:sz w:val="22"/>
        </w:rPr>
        <w:t> </w:t>
      </w:r>
      <w:r>
        <w:rPr>
          <w:i/>
          <w:color w:val="231F20"/>
          <w:sz w:val="22"/>
        </w:rPr>
        <w:t>guidance for telehealth SUD and MH services</w:t>
      </w:r>
      <w:r>
        <w:rPr>
          <w:color w:val="231F20"/>
          <w:sz w:val="22"/>
        </w:rPr>
        <w:t>.</w:t>
      </w:r>
      <w:r>
        <w:rPr>
          <w:color w:val="3953A4"/>
          <w:spacing w:val="1"/>
          <w:sz w:val="22"/>
        </w:rPr>
        <w:t> </w:t>
      </w:r>
      <w:hyperlink r:id="rId295">
        <w:r>
          <w:rPr>
            <w:color w:val="3953A4"/>
            <w:sz w:val="22"/>
            <w:u w:val="single" w:color="3953A4"/>
          </w:rPr>
          <w:t>https://www.thenationalcouncil.org/wp-content/</w:t>
        </w:r>
      </w:hyperlink>
      <w:r>
        <w:rPr>
          <w:color w:val="3953A4"/>
          <w:spacing w:val="1"/>
          <w:sz w:val="22"/>
        </w:rPr>
        <w:t> </w:t>
      </w:r>
      <w:hyperlink r:id="rId295">
        <w:r>
          <w:rPr>
            <w:color w:val="3953A4"/>
            <w:sz w:val="22"/>
            <w:u w:val="single" w:color="3953A4"/>
          </w:rPr>
          <w:t>uploads/2020/04/Understanding_the_New_</w:t>
        </w:r>
      </w:hyperlink>
      <w:r>
        <w:rPr>
          <w:color w:val="3953A4"/>
          <w:spacing w:val="1"/>
          <w:sz w:val="22"/>
        </w:rPr>
        <w:t> </w:t>
      </w:r>
      <w:hyperlink r:id="rId295">
        <w:r>
          <w:rPr>
            <w:color w:val="3953A4"/>
            <w:sz w:val="22"/>
            <w:u w:val="single" w:color="3953A4"/>
          </w:rPr>
          <w:t>SAMHSA_and_OCR_Guidance_for_Telehealth.</w:t>
        </w:r>
      </w:hyperlink>
      <w:r>
        <w:rPr>
          <w:color w:val="3953A4"/>
          <w:spacing w:val="1"/>
          <w:sz w:val="22"/>
        </w:rPr>
        <w:t> </w:t>
      </w:r>
      <w:hyperlink r:id="rId295">
        <w:r>
          <w:rPr>
            <w:color w:val="3953A4"/>
            <w:sz w:val="22"/>
            <w:u w:val="single" w:color="3953A4"/>
          </w:rPr>
          <w:t>pdf?daf=375ateTbd56</w:t>
        </w:r>
      </w:hyperlink>
    </w:p>
    <w:p>
      <w:pPr>
        <w:pStyle w:val="BodyText"/>
        <w:tabs>
          <w:tab w:pos="479" w:val="left" w:leader="none"/>
        </w:tabs>
        <w:spacing w:line="228" w:lineRule="auto" w:before="88"/>
        <w:ind w:left="480" w:right="433" w:hanging="360"/>
      </w:pPr>
      <w:r>
        <w:rPr>
          <w:color w:val="231F20"/>
          <w:vertAlign w:val="superscript"/>
        </w:rPr>
        <w:t>43</w:t>
      </w:r>
      <w:r>
        <w:rPr>
          <w:color w:val="231F20"/>
          <w:vertAlign w:val="baseline"/>
        </w:rPr>
        <w:tab/>
        <w:t>Hall,</w:t>
      </w:r>
      <w:r>
        <w:rPr>
          <w:color w:val="231F20"/>
          <w:spacing w:val="-4"/>
          <w:vertAlign w:val="baseline"/>
        </w:rPr>
        <w:t> </w:t>
      </w:r>
      <w:r>
        <w:rPr>
          <w:color w:val="231F20"/>
          <w:vertAlign w:val="baseline"/>
        </w:rPr>
        <w:t>J.</w:t>
      </w:r>
      <w:r>
        <w:rPr>
          <w:color w:val="231F20"/>
          <w:spacing w:val="-4"/>
          <w:vertAlign w:val="baseline"/>
        </w:rPr>
        <w:t> </w:t>
      </w:r>
      <w:r>
        <w:rPr>
          <w:color w:val="231F20"/>
          <w:vertAlign w:val="baseline"/>
        </w:rPr>
        <w:t>L.,</w:t>
      </w:r>
      <w:r>
        <w:rPr>
          <w:color w:val="231F20"/>
          <w:spacing w:val="-3"/>
          <w:vertAlign w:val="baseline"/>
        </w:rPr>
        <w:t> </w:t>
      </w:r>
      <w:r>
        <w:rPr>
          <w:color w:val="231F20"/>
          <w:vertAlign w:val="baseline"/>
        </w:rPr>
        <w:t>&amp;</w:t>
      </w:r>
      <w:r>
        <w:rPr>
          <w:color w:val="231F20"/>
          <w:spacing w:val="-4"/>
          <w:vertAlign w:val="baseline"/>
        </w:rPr>
        <w:t> </w:t>
      </w:r>
      <w:r>
        <w:rPr>
          <w:color w:val="231F20"/>
          <w:vertAlign w:val="baseline"/>
        </w:rPr>
        <w:t>McGraw,</w:t>
      </w:r>
      <w:r>
        <w:rPr>
          <w:color w:val="231F20"/>
          <w:spacing w:val="-4"/>
          <w:vertAlign w:val="baseline"/>
        </w:rPr>
        <w:t> </w:t>
      </w:r>
      <w:r>
        <w:rPr>
          <w:color w:val="231F20"/>
          <w:vertAlign w:val="baseline"/>
        </w:rPr>
        <w:t>D.</w:t>
      </w:r>
      <w:r>
        <w:rPr>
          <w:color w:val="231F20"/>
          <w:spacing w:val="-3"/>
          <w:vertAlign w:val="baseline"/>
        </w:rPr>
        <w:t> </w:t>
      </w:r>
      <w:r>
        <w:rPr>
          <w:color w:val="231F20"/>
          <w:vertAlign w:val="baseline"/>
        </w:rPr>
        <w:t>(2014).</w:t>
      </w:r>
      <w:r>
        <w:rPr>
          <w:color w:val="231F20"/>
          <w:spacing w:val="-4"/>
          <w:vertAlign w:val="baseline"/>
        </w:rPr>
        <w:t> </w:t>
      </w:r>
      <w:r>
        <w:rPr>
          <w:color w:val="231F20"/>
          <w:vertAlign w:val="baseline"/>
        </w:rPr>
        <w:t>For</w:t>
      </w:r>
      <w:r>
        <w:rPr>
          <w:color w:val="231F20"/>
          <w:spacing w:val="-4"/>
          <w:vertAlign w:val="baseline"/>
        </w:rPr>
        <w:t> </w:t>
      </w:r>
      <w:r>
        <w:rPr>
          <w:color w:val="231F20"/>
          <w:vertAlign w:val="baseline"/>
        </w:rPr>
        <w:t>telehealth</w:t>
      </w:r>
      <w:r>
        <w:rPr>
          <w:color w:val="231F20"/>
          <w:spacing w:val="-52"/>
          <w:vertAlign w:val="baseline"/>
        </w:rPr>
        <w:t> </w:t>
      </w:r>
      <w:r>
        <w:rPr>
          <w:color w:val="231F20"/>
          <w:vertAlign w:val="baseline"/>
        </w:rPr>
        <w:t>to succeed,</w:t>
      </w:r>
      <w:r>
        <w:rPr>
          <w:color w:val="231F20"/>
          <w:spacing w:val="-1"/>
          <w:vertAlign w:val="baseline"/>
        </w:rPr>
        <w:t> </w:t>
      </w:r>
      <w:r>
        <w:rPr>
          <w:color w:val="231F20"/>
          <w:vertAlign w:val="baseline"/>
        </w:rPr>
        <w:t>privacy and security risks must be</w:t>
      </w:r>
    </w:p>
    <w:p>
      <w:pPr>
        <w:pStyle w:val="BodyText"/>
        <w:spacing w:line="228" w:lineRule="auto"/>
        <w:ind w:left="480" w:right="108"/>
      </w:pPr>
      <w:r>
        <w:rPr>
          <w:color w:val="231F20"/>
        </w:rPr>
        <w:t>identified</w:t>
      </w:r>
      <w:r>
        <w:rPr>
          <w:color w:val="231F20"/>
          <w:spacing w:val="-3"/>
        </w:rPr>
        <w:t> </w:t>
      </w:r>
      <w:r>
        <w:rPr>
          <w:color w:val="231F20"/>
        </w:rPr>
        <w:t>and</w:t>
      </w:r>
      <w:r>
        <w:rPr>
          <w:color w:val="231F20"/>
          <w:spacing w:val="-3"/>
        </w:rPr>
        <w:t> </w:t>
      </w:r>
      <w:r>
        <w:rPr>
          <w:color w:val="231F20"/>
        </w:rPr>
        <w:t>addressed.</w:t>
      </w:r>
      <w:r>
        <w:rPr>
          <w:color w:val="231F20"/>
          <w:spacing w:val="-5"/>
        </w:rPr>
        <w:t> </w:t>
      </w:r>
      <w:r>
        <w:rPr>
          <w:i/>
          <w:color w:val="231F20"/>
        </w:rPr>
        <w:t>Health</w:t>
      </w:r>
      <w:r>
        <w:rPr>
          <w:i/>
          <w:color w:val="231F20"/>
          <w:spacing w:val="-7"/>
        </w:rPr>
        <w:t> </w:t>
      </w:r>
      <w:r>
        <w:rPr>
          <w:i/>
          <w:color w:val="231F20"/>
        </w:rPr>
        <w:t>Affairs,</w:t>
      </w:r>
      <w:r>
        <w:rPr>
          <w:i/>
          <w:color w:val="231F20"/>
          <w:spacing w:val="-3"/>
        </w:rPr>
        <w:t> </w:t>
      </w:r>
      <w:r>
        <w:rPr>
          <w:i/>
          <w:color w:val="231F20"/>
        </w:rPr>
        <w:t>33</w:t>
      </w:r>
      <w:r>
        <w:rPr>
          <w:color w:val="231F20"/>
        </w:rPr>
        <w:t>(2),</w:t>
      </w:r>
      <w:r>
        <w:rPr>
          <w:color w:val="231F20"/>
          <w:spacing w:val="-3"/>
        </w:rPr>
        <w:t> </w:t>
      </w:r>
      <w:r>
        <w:rPr>
          <w:color w:val="231F20"/>
        </w:rPr>
        <w:t>216-</w:t>
      </w:r>
      <w:r>
        <w:rPr>
          <w:color w:val="231F20"/>
          <w:spacing w:val="-52"/>
        </w:rPr>
        <w:t> </w:t>
      </w:r>
      <w:r>
        <w:rPr>
          <w:color w:val="231F20"/>
        </w:rPr>
        <w:t>221.</w:t>
      </w:r>
      <w:r>
        <w:rPr>
          <w:color w:val="231F20"/>
          <w:spacing w:val="-2"/>
        </w:rPr>
        <w:t> </w:t>
      </w:r>
      <w:hyperlink r:id="rId296">
        <w:r>
          <w:rPr>
            <w:color w:val="3953A4"/>
            <w:u w:val="single" w:color="3953A4"/>
          </w:rPr>
          <w:t>https://doi.org/10.1377/hlthaff.2013.0997</w:t>
        </w:r>
      </w:hyperlink>
    </w:p>
    <w:p>
      <w:pPr>
        <w:pStyle w:val="BodyText"/>
        <w:spacing w:line="228" w:lineRule="auto" w:before="89"/>
        <w:ind w:left="480" w:right="401" w:hanging="360"/>
        <w:jc w:val="both"/>
      </w:pPr>
      <w:r>
        <w:rPr>
          <w:color w:val="231F20"/>
          <w:spacing w:val="-1"/>
          <w:vertAlign w:val="superscript"/>
        </w:rPr>
        <w:t>44</w:t>
      </w:r>
      <w:r>
        <w:rPr>
          <w:color w:val="231F20"/>
          <w:vertAlign w:val="baseline"/>
        </w:rPr>
        <w:t> </w:t>
      </w:r>
      <w:r>
        <w:rPr>
          <w:color w:val="231F20"/>
          <w:spacing w:val="-1"/>
          <w:vertAlign w:val="baseline"/>
        </w:rPr>
        <w:t>Luxton, D. D., Sirotin, A. P., &amp; Mishkind, M. </w:t>
      </w:r>
      <w:r>
        <w:rPr>
          <w:color w:val="231F20"/>
          <w:vertAlign w:val="baseline"/>
        </w:rPr>
        <w:t>C.</w:t>
      </w:r>
      <w:r>
        <w:rPr>
          <w:color w:val="231F20"/>
          <w:spacing w:val="1"/>
          <w:vertAlign w:val="baseline"/>
        </w:rPr>
        <w:t> </w:t>
      </w:r>
      <w:r>
        <w:rPr>
          <w:color w:val="231F20"/>
          <w:vertAlign w:val="baseline"/>
        </w:rPr>
        <w:t>(2010). Safety of telemental healthcare delivered</w:t>
      </w:r>
      <w:r>
        <w:rPr>
          <w:color w:val="231F20"/>
          <w:spacing w:val="-52"/>
          <w:vertAlign w:val="baseline"/>
        </w:rPr>
        <w:t> </w:t>
      </w:r>
      <w:r>
        <w:rPr>
          <w:color w:val="231F20"/>
          <w:vertAlign w:val="baseline"/>
        </w:rPr>
        <w:t>to clinically</w:t>
      </w:r>
      <w:r>
        <w:rPr>
          <w:color w:val="231F20"/>
          <w:spacing w:val="-1"/>
          <w:vertAlign w:val="baseline"/>
        </w:rPr>
        <w:t> </w:t>
      </w:r>
      <w:r>
        <w:rPr>
          <w:color w:val="231F20"/>
          <w:vertAlign w:val="baseline"/>
        </w:rPr>
        <w:t>unsupervised settings:</w:t>
      </w:r>
      <w:r>
        <w:rPr>
          <w:color w:val="231F20"/>
          <w:spacing w:val="-13"/>
          <w:vertAlign w:val="baseline"/>
        </w:rPr>
        <w:t> </w:t>
      </w:r>
      <w:r>
        <w:rPr>
          <w:color w:val="231F20"/>
          <w:vertAlign w:val="baseline"/>
        </w:rPr>
        <w:t>A</w:t>
      </w:r>
      <w:r>
        <w:rPr>
          <w:color w:val="231F20"/>
          <w:spacing w:val="-13"/>
          <w:vertAlign w:val="baseline"/>
        </w:rPr>
        <w:t> </w:t>
      </w:r>
      <w:r>
        <w:rPr>
          <w:color w:val="231F20"/>
          <w:vertAlign w:val="baseline"/>
        </w:rPr>
        <w:t>systematic</w:t>
      </w:r>
    </w:p>
    <w:p>
      <w:pPr>
        <w:spacing w:line="228" w:lineRule="auto" w:before="0"/>
        <w:ind w:left="480" w:right="168" w:firstLine="0"/>
        <w:jc w:val="both"/>
        <w:rPr>
          <w:sz w:val="22"/>
        </w:rPr>
      </w:pPr>
      <w:r>
        <w:rPr>
          <w:color w:val="231F20"/>
          <w:sz w:val="22"/>
        </w:rPr>
        <w:t>review.</w:t>
      </w:r>
      <w:r>
        <w:rPr>
          <w:color w:val="231F20"/>
          <w:spacing w:val="-12"/>
          <w:sz w:val="22"/>
        </w:rPr>
        <w:t> </w:t>
      </w:r>
      <w:r>
        <w:rPr>
          <w:i/>
          <w:color w:val="231F20"/>
          <w:sz w:val="22"/>
        </w:rPr>
        <w:t>Telemedicine</w:t>
      </w:r>
      <w:r>
        <w:rPr>
          <w:i/>
          <w:color w:val="231F20"/>
          <w:spacing w:val="-11"/>
          <w:sz w:val="22"/>
        </w:rPr>
        <w:t> </w:t>
      </w:r>
      <w:r>
        <w:rPr>
          <w:i/>
          <w:color w:val="231F20"/>
          <w:sz w:val="22"/>
        </w:rPr>
        <w:t>and</w:t>
      </w:r>
      <w:r>
        <w:rPr>
          <w:i/>
          <w:color w:val="231F20"/>
          <w:spacing w:val="-11"/>
          <w:sz w:val="22"/>
        </w:rPr>
        <w:t> </w:t>
      </w:r>
      <w:r>
        <w:rPr>
          <w:i/>
          <w:color w:val="231F20"/>
          <w:sz w:val="22"/>
        </w:rPr>
        <w:t>e-Health,</w:t>
      </w:r>
      <w:r>
        <w:rPr>
          <w:i/>
          <w:color w:val="231F20"/>
          <w:spacing w:val="-11"/>
          <w:sz w:val="22"/>
        </w:rPr>
        <w:t> </w:t>
      </w:r>
      <w:r>
        <w:rPr>
          <w:i/>
          <w:color w:val="231F20"/>
          <w:sz w:val="22"/>
        </w:rPr>
        <w:t>16</w:t>
      </w:r>
      <w:r>
        <w:rPr>
          <w:color w:val="231F20"/>
          <w:sz w:val="22"/>
        </w:rPr>
        <w:t>(6),</w:t>
      </w:r>
      <w:r>
        <w:rPr>
          <w:color w:val="231F20"/>
          <w:spacing w:val="-11"/>
          <w:sz w:val="22"/>
        </w:rPr>
        <w:t> </w:t>
      </w:r>
      <w:r>
        <w:rPr>
          <w:color w:val="231F20"/>
          <w:sz w:val="22"/>
        </w:rPr>
        <w:t>705-711.</w:t>
      </w:r>
      <w:r>
        <w:rPr>
          <w:color w:val="231F20"/>
          <w:spacing w:val="-53"/>
          <w:sz w:val="22"/>
        </w:rPr>
        <w:t> </w:t>
      </w:r>
      <w:hyperlink r:id="rId297">
        <w:r>
          <w:rPr>
            <w:color w:val="3953A4"/>
            <w:sz w:val="22"/>
            <w:u w:val="single" w:color="3953A4"/>
          </w:rPr>
          <w:t>https://doi.org/10.1089/tmj.2009.0179</w:t>
        </w:r>
      </w:hyperlink>
    </w:p>
    <w:p>
      <w:pPr>
        <w:pStyle w:val="BodyText"/>
        <w:tabs>
          <w:tab w:pos="479" w:val="left" w:leader="none"/>
        </w:tabs>
        <w:spacing w:line="228" w:lineRule="auto" w:before="89"/>
        <w:ind w:left="480" w:right="132" w:hanging="360"/>
      </w:pPr>
      <w:r>
        <w:rPr>
          <w:color w:val="231F20"/>
          <w:vertAlign w:val="superscript"/>
        </w:rPr>
        <w:t>45</w:t>
      </w:r>
      <w:r>
        <w:rPr>
          <w:color w:val="231F20"/>
          <w:vertAlign w:val="baseline"/>
        </w:rPr>
        <w:tab/>
      </w:r>
      <w:r>
        <w:rPr>
          <w:color w:val="231F20"/>
          <w:spacing w:val="-1"/>
          <w:vertAlign w:val="baseline"/>
        </w:rPr>
        <w:t>Rutledge, </w:t>
      </w:r>
      <w:r>
        <w:rPr>
          <w:color w:val="231F20"/>
          <w:vertAlign w:val="baseline"/>
        </w:rPr>
        <w:t>C. M., Kott, K., Schweickert, P. A.,</w:t>
      </w:r>
      <w:r>
        <w:rPr>
          <w:color w:val="231F20"/>
          <w:spacing w:val="1"/>
          <w:vertAlign w:val="baseline"/>
        </w:rPr>
        <w:t> </w:t>
      </w:r>
      <w:r>
        <w:rPr>
          <w:color w:val="231F20"/>
          <w:vertAlign w:val="baseline"/>
        </w:rPr>
        <w:t>Poston, R., Fowler, C., &amp; Haney, T. S. (2017).</w:t>
      </w:r>
      <w:r>
        <w:rPr>
          <w:color w:val="231F20"/>
          <w:spacing w:val="1"/>
          <w:vertAlign w:val="baseline"/>
        </w:rPr>
        <w:t> </w:t>
      </w:r>
      <w:r>
        <w:rPr>
          <w:color w:val="231F20"/>
          <w:vertAlign w:val="baseline"/>
        </w:rPr>
        <w:t>Telehealth and eHealth in nurse practitioner</w:t>
      </w:r>
      <w:r>
        <w:rPr>
          <w:color w:val="231F20"/>
          <w:spacing w:val="1"/>
          <w:vertAlign w:val="baseline"/>
        </w:rPr>
        <w:t> </w:t>
      </w:r>
      <w:r>
        <w:rPr>
          <w:color w:val="231F20"/>
          <w:vertAlign w:val="baseline"/>
        </w:rPr>
        <w:t>training: Current perspectives. </w:t>
      </w:r>
      <w:r>
        <w:rPr>
          <w:i/>
          <w:color w:val="231F20"/>
          <w:vertAlign w:val="baseline"/>
        </w:rPr>
        <w:t>Advances in Medical</w:t>
      </w:r>
      <w:r>
        <w:rPr>
          <w:i/>
          <w:color w:val="231F20"/>
          <w:spacing w:val="-52"/>
          <w:vertAlign w:val="baseline"/>
        </w:rPr>
        <w:t> </w:t>
      </w:r>
      <w:r>
        <w:rPr>
          <w:i/>
          <w:color w:val="231F20"/>
          <w:vertAlign w:val="baseline"/>
        </w:rPr>
        <w:t>Education and Practice, 8</w:t>
      </w:r>
      <w:r>
        <w:rPr>
          <w:color w:val="231F20"/>
          <w:vertAlign w:val="baseline"/>
        </w:rPr>
        <w:t>, 399. </w:t>
      </w:r>
      <w:hyperlink r:id="rId298">
        <w:r>
          <w:rPr>
            <w:color w:val="3953A4"/>
            <w:u w:val="single" w:color="3953A4"/>
            <w:vertAlign w:val="baseline"/>
          </w:rPr>
          <w:t>https://doi.</w:t>
        </w:r>
      </w:hyperlink>
      <w:r>
        <w:rPr>
          <w:color w:val="3953A4"/>
          <w:spacing w:val="1"/>
          <w:vertAlign w:val="baseline"/>
        </w:rPr>
        <w:t> </w:t>
      </w:r>
      <w:hyperlink r:id="rId298">
        <w:r>
          <w:rPr>
            <w:color w:val="3953A4"/>
            <w:u w:val="single" w:color="3953A4"/>
            <w:vertAlign w:val="baseline"/>
          </w:rPr>
          <w:t>org/10.2147/AMEP.S116071</w:t>
        </w:r>
      </w:hyperlink>
    </w:p>
    <w:p>
      <w:pPr>
        <w:tabs>
          <w:tab w:pos="479" w:val="left" w:leader="none"/>
        </w:tabs>
        <w:spacing w:line="228" w:lineRule="auto" w:before="88"/>
        <w:ind w:left="480" w:right="401" w:hanging="360"/>
        <w:jc w:val="left"/>
        <w:rPr>
          <w:sz w:val="22"/>
        </w:rPr>
      </w:pPr>
      <w:r>
        <w:rPr>
          <w:color w:val="231F20"/>
          <w:sz w:val="22"/>
          <w:vertAlign w:val="superscript"/>
        </w:rPr>
        <w:t>46</w:t>
      </w:r>
      <w:r>
        <w:rPr>
          <w:color w:val="231F20"/>
          <w:sz w:val="22"/>
          <w:vertAlign w:val="baseline"/>
        </w:rPr>
        <w:tab/>
        <w:t>Federation of State Medical Boards. (2020).</w:t>
      </w:r>
      <w:r>
        <w:rPr>
          <w:color w:val="231F20"/>
          <w:spacing w:val="1"/>
          <w:sz w:val="22"/>
          <w:vertAlign w:val="baseline"/>
        </w:rPr>
        <w:t> </w:t>
      </w:r>
      <w:r>
        <w:rPr>
          <w:i/>
          <w:color w:val="231F20"/>
          <w:sz w:val="22"/>
          <w:vertAlign w:val="baseline"/>
        </w:rPr>
        <w:t>Telemedicine</w:t>
      </w:r>
      <w:r>
        <w:rPr>
          <w:i/>
          <w:color w:val="231F20"/>
          <w:spacing w:val="-11"/>
          <w:sz w:val="22"/>
          <w:vertAlign w:val="baseline"/>
        </w:rPr>
        <w:t> </w:t>
      </w:r>
      <w:r>
        <w:rPr>
          <w:i/>
          <w:color w:val="231F20"/>
          <w:sz w:val="22"/>
          <w:vertAlign w:val="baseline"/>
        </w:rPr>
        <w:t>policies:</w:t>
      </w:r>
      <w:r>
        <w:rPr>
          <w:i/>
          <w:color w:val="231F20"/>
          <w:spacing w:val="-10"/>
          <w:sz w:val="22"/>
          <w:vertAlign w:val="baseline"/>
        </w:rPr>
        <w:t> </w:t>
      </w:r>
      <w:r>
        <w:rPr>
          <w:i/>
          <w:color w:val="231F20"/>
          <w:sz w:val="22"/>
          <w:vertAlign w:val="baseline"/>
        </w:rPr>
        <w:t>Board</w:t>
      </w:r>
      <w:r>
        <w:rPr>
          <w:i/>
          <w:color w:val="231F20"/>
          <w:spacing w:val="-10"/>
          <w:sz w:val="22"/>
          <w:vertAlign w:val="baseline"/>
        </w:rPr>
        <w:t> </w:t>
      </w:r>
      <w:r>
        <w:rPr>
          <w:i/>
          <w:color w:val="231F20"/>
          <w:sz w:val="22"/>
          <w:vertAlign w:val="baseline"/>
        </w:rPr>
        <w:t>by</w:t>
      </w:r>
      <w:r>
        <w:rPr>
          <w:i/>
          <w:color w:val="231F20"/>
          <w:spacing w:val="-10"/>
          <w:sz w:val="22"/>
          <w:vertAlign w:val="baseline"/>
        </w:rPr>
        <w:t> </w:t>
      </w:r>
      <w:r>
        <w:rPr>
          <w:i/>
          <w:color w:val="231F20"/>
          <w:sz w:val="22"/>
          <w:vertAlign w:val="baseline"/>
        </w:rPr>
        <w:t>board</w:t>
      </w:r>
      <w:r>
        <w:rPr>
          <w:i/>
          <w:color w:val="231F20"/>
          <w:spacing w:val="-10"/>
          <w:sz w:val="22"/>
          <w:vertAlign w:val="baseline"/>
        </w:rPr>
        <w:t> </w:t>
      </w:r>
      <w:r>
        <w:rPr>
          <w:i/>
          <w:color w:val="231F20"/>
          <w:sz w:val="22"/>
          <w:vertAlign w:val="baseline"/>
        </w:rPr>
        <w:t>overview</w:t>
      </w:r>
      <w:r>
        <w:rPr>
          <w:color w:val="231F20"/>
          <w:sz w:val="22"/>
          <w:vertAlign w:val="baseline"/>
        </w:rPr>
        <w:t>.</w:t>
      </w:r>
      <w:r>
        <w:rPr>
          <w:color w:val="231F20"/>
          <w:spacing w:val="-52"/>
          <w:sz w:val="22"/>
          <w:vertAlign w:val="baseline"/>
        </w:rPr>
        <w:t> </w:t>
      </w:r>
      <w:hyperlink r:id="rId299">
        <w:r>
          <w:rPr>
            <w:color w:val="3953A4"/>
            <w:sz w:val="22"/>
            <w:u w:val="single" w:color="3953A4"/>
            <w:vertAlign w:val="baseline"/>
          </w:rPr>
          <w:t>https://www.fsmb.org/siteassets/advocacy/key-</w:t>
        </w:r>
      </w:hyperlink>
      <w:r>
        <w:rPr>
          <w:color w:val="3953A4"/>
          <w:spacing w:val="1"/>
          <w:sz w:val="22"/>
          <w:vertAlign w:val="baseline"/>
        </w:rPr>
        <w:t> </w:t>
      </w:r>
      <w:hyperlink r:id="rId299">
        <w:r>
          <w:rPr>
            <w:color w:val="3953A4"/>
            <w:sz w:val="22"/>
            <w:u w:val="single" w:color="3953A4"/>
            <w:vertAlign w:val="baseline"/>
          </w:rPr>
          <w:t>issues/telemedicine_policies_by_state.pdf</w:t>
        </w:r>
      </w:hyperlink>
    </w:p>
    <w:p>
      <w:pPr>
        <w:pStyle w:val="BodyText"/>
        <w:tabs>
          <w:tab w:pos="479" w:val="left" w:leader="none"/>
        </w:tabs>
        <w:spacing w:line="228" w:lineRule="auto" w:before="101"/>
        <w:ind w:left="480" w:right="803" w:hanging="360"/>
      </w:pPr>
      <w:r>
        <w:rPr/>
        <w:br w:type="column"/>
      </w:r>
      <w:r>
        <w:rPr>
          <w:color w:val="231F20"/>
          <w:vertAlign w:val="superscript"/>
        </w:rPr>
        <w:t>47</w:t>
      </w:r>
      <w:r>
        <w:rPr>
          <w:color w:val="231F20"/>
          <w:vertAlign w:val="baseline"/>
        </w:rPr>
        <w:tab/>
        <w:t>Adler-Milstein, J., Kvedar, J., &amp; Bates, D. W.</w:t>
      </w:r>
      <w:r>
        <w:rPr>
          <w:color w:val="231F20"/>
          <w:spacing w:val="1"/>
          <w:vertAlign w:val="baseline"/>
        </w:rPr>
        <w:t> </w:t>
      </w:r>
      <w:r>
        <w:rPr>
          <w:color w:val="231F20"/>
          <w:vertAlign w:val="baseline"/>
        </w:rPr>
        <w:t>(2014). Telehealth among US hospitals: Several</w:t>
      </w:r>
      <w:r>
        <w:rPr>
          <w:color w:val="231F20"/>
          <w:spacing w:val="1"/>
          <w:vertAlign w:val="baseline"/>
        </w:rPr>
        <w:t> </w:t>
      </w:r>
      <w:r>
        <w:rPr>
          <w:color w:val="231F20"/>
          <w:vertAlign w:val="baseline"/>
        </w:rPr>
        <w:t>factors, including state reimbursement and licensure</w:t>
      </w:r>
      <w:r>
        <w:rPr>
          <w:color w:val="231F20"/>
          <w:spacing w:val="-53"/>
          <w:vertAlign w:val="baseline"/>
        </w:rPr>
        <w:t> </w:t>
      </w:r>
      <w:r>
        <w:rPr>
          <w:color w:val="231F20"/>
          <w:vertAlign w:val="baseline"/>
        </w:rPr>
        <w:t>policies, influence adoption. </w:t>
      </w:r>
      <w:r>
        <w:rPr>
          <w:i/>
          <w:color w:val="231F20"/>
          <w:vertAlign w:val="baseline"/>
        </w:rPr>
        <w:t>Health Affairs, 33</w:t>
      </w:r>
      <w:r>
        <w:rPr>
          <w:color w:val="231F20"/>
          <w:vertAlign w:val="baseline"/>
        </w:rPr>
        <w:t>(2),</w:t>
      </w:r>
      <w:r>
        <w:rPr>
          <w:color w:val="231F20"/>
          <w:spacing w:val="1"/>
          <w:vertAlign w:val="baseline"/>
        </w:rPr>
        <w:t> </w:t>
      </w:r>
      <w:r>
        <w:rPr>
          <w:color w:val="231F20"/>
          <w:vertAlign w:val="baseline"/>
        </w:rPr>
        <w:t>207-215.</w:t>
      </w:r>
      <w:r>
        <w:rPr>
          <w:color w:val="231F20"/>
          <w:spacing w:val="-6"/>
          <w:vertAlign w:val="baseline"/>
        </w:rPr>
        <w:t> </w:t>
      </w:r>
      <w:hyperlink r:id="rId300">
        <w:r>
          <w:rPr>
            <w:color w:val="3953A4"/>
            <w:u w:val="single" w:color="3953A4"/>
            <w:vertAlign w:val="baseline"/>
          </w:rPr>
          <w:t>https://doi.org/10.1377/hlthaff.2013.1054</w:t>
        </w:r>
      </w:hyperlink>
    </w:p>
    <w:p>
      <w:pPr>
        <w:pStyle w:val="BodyText"/>
        <w:tabs>
          <w:tab w:pos="479" w:val="left" w:leader="none"/>
        </w:tabs>
        <w:spacing w:line="228" w:lineRule="auto" w:before="88"/>
        <w:ind w:left="480" w:right="1140" w:hanging="360"/>
      </w:pPr>
      <w:r>
        <w:rPr>
          <w:color w:val="231F20"/>
          <w:vertAlign w:val="superscript"/>
        </w:rPr>
        <w:t>48</w:t>
      </w:r>
      <w:r>
        <w:rPr>
          <w:color w:val="231F20"/>
          <w:vertAlign w:val="baseline"/>
        </w:rPr>
        <w:tab/>
        <w:t>Center for Connected Health Policy. (2020).</w:t>
      </w:r>
      <w:r>
        <w:rPr>
          <w:color w:val="231F20"/>
          <w:spacing w:val="1"/>
          <w:vertAlign w:val="baseline"/>
        </w:rPr>
        <w:t> </w:t>
      </w:r>
      <w:r>
        <w:rPr>
          <w:i/>
          <w:color w:val="231F20"/>
          <w:spacing w:val="-1"/>
          <w:vertAlign w:val="baseline"/>
        </w:rPr>
        <w:t>Malpractice</w:t>
      </w:r>
      <w:r>
        <w:rPr>
          <w:color w:val="231F20"/>
          <w:spacing w:val="-1"/>
          <w:vertAlign w:val="baseline"/>
        </w:rPr>
        <w:t>.</w:t>
      </w:r>
      <w:r>
        <w:rPr>
          <w:color w:val="231F20"/>
          <w:spacing w:val="6"/>
          <w:vertAlign w:val="baseline"/>
        </w:rPr>
        <w:t> </w:t>
      </w:r>
      <w:hyperlink r:id="rId301">
        <w:r>
          <w:rPr>
            <w:color w:val="3953A4"/>
            <w:spacing w:val="-1"/>
            <w:u w:val="single" w:color="3953A4"/>
            <w:vertAlign w:val="baseline"/>
          </w:rPr>
          <w:t>https://www.cchpca.org/telehealth-</w:t>
        </w:r>
      </w:hyperlink>
      <w:r>
        <w:rPr>
          <w:color w:val="3953A4"/>
          <w:spacing w:val="-52"/>
          <w:vertAlign w:val="baseline"/>
        </w:rPr>
        <w:t> </w:t>
      </w:r>
      <w:hyperlink r:id="rId301">
        <w:r>
          <w:rPr>
            <w:color w:val="3953A4"/>
            <w:u w:val="single" w:color="3953A4"/>
            <w:vertAlign w:val="baseline"/>
          </w:rPr>
          <w:t>policy/malpractice</w:t>
        </w:r>
      </w:hyperlink>
    </w:p>
    <w:p>
      <w:pPr>
        <w:pStyle w:val="BodyText"/>
        <w:tabs>
          <w:tab w:pos="479" w:val="left" w:leader="none"/>
        </w:tabs>
        <w:spacing w:line="246" w:lineRule="exact" w:before="79"/>
        <w:ind w:left="120"/>
      </w:pPr>
      <w:r>
        <w:rPr>
          <w:color w:val="231F20"/>
          <w:vertAlign w:val="superscript"/>
        </w:rPr>
        <w:t>49</w:t>
      </w:r>
      <w:r>
        <w:rPr>
          <w:color w:val="231F20"/>
          <w:vertAlign w:val="baseline"/>
        </w:rPr>
        <w:tab/>
        <w:t>Tuckson,</w:t>
      </w:r>
      <w:r>
        <w:rPr>
          <w:color w:val="231F20"/>
          <w:spacing w:val="-6"/>
          <w:vertAlign w:val="baseline"/>
        </w:rPr>
        <w:t> </w:t>
      </w:r>
      <w:r>
        <w:rPr>
          <w:color w:val="231F20"/>
          <w:vertAlign w:val="baseline"/>
        </w:rPr>
        <w:t>R.</w:t>
      </w:r>
      <w:r>
        <w:rPr>
          <w:color w:val="231F20"/>
          <w:spacing w:val="-10"/>
          <w:vertAlign w:val="baseline"/>
        </w:rPr>
        <w:t> </w:t>
      </w:r>
      <w:r>
        <w:rPr>
          <w:color w:val="231F20"/>
          <w:vertAlign w:val="baseline"/>
        </w:rPr>
        <w:t>V.,</w:t>
      </w:r>
      <w:r>
        <w:rPr>
          <w:color w:val="231F20"/>
          <w:spacing w:val="-6"/>
          <w:vertAlign w:val="baseline"/>
        </w:rPr>
        <w:t> </w:t>
      </w:r>
      <w:r>
        <w:rPr>
          <w:color w:val="231F20"/>
          <w:vertAlign w:val="baseline"/>
        </w:rPr>
        <w:t>Edmunds,</w:t>
      </w:r>
      <w:r>
        <w:rPr>
          <w:color w:val="231F20"/>
          <w:spacing w:val="-6"/>
          <w:vertAlign w:val="baseline"/>
        </w:rPr>
        <w:t> </w:t>
      </w:r>
      <w:r>
        <w:rPr>
          <w:color w:val="231F20"/>
          <w:vertAlign w:val="baseline"/>
        </w:rPr>
        <w:t>M.,</w:t>
      </w:r>
      <w:r>
        <w:rPr>
          <w:color w:val="231F20"/>
          <w:spacing w:val="-7"/>
          <w:vertAlign w:val="baseline"/>
        </w:rPr>
        <w:t> </w:t>
      </w:r>
      <w:r>
        <w:rPr>
          <w:color w:val="231F20"/>
          <w:vertAlign w:val="baseline"/>
        </w:rPr>
        <w:t>&amp;</w:t>
      </w:r>
      <w:r>
        <w:rPr>
          <w:color w:val="231F20"/>
          <w:spacing w:val="-6"/>
          <w:vertAlign w:val="baseline"/>
        </w:rPr>
        <w:t> </w:t>
      </w:r>
      <w:r>
        <w:rPr>
          <w:color w:val="231F20"/>
          <w:vertAlign w:val="baseline"/>
        </w:rPr>
        <w:t>Hodgkins,</w:t>
      </w:r>
      <w:r>
        <w:rPr>
          <w:color w:val="231F20"/>
          <w:spacing w:val="-7"/>
          <w:vertAlign w:val="baseline"/>
        </w:rPr>
        <w:t> </w:t>
      </w:r>
      <w:r>
        <w:rPr>
          <w:color w:val="231F20"/>
          <w:vertAlign w:val="baseline"/>
        </w:rPr>
        <w:t>M.</w:t>
      </w:r>
    </w:p>
    <w:p>
      <w:pPr>
        <w:spacing w:line="228" w:lineRule="auto" w:before="4"/>
        <w:ind w:left="480" w:right="1408" w:firstLine="0"/>
        <w:jc w:val="left"/>
        <w:rPr>
          <w:sz w:val="22"/>
        </w:rPr>
      </w:pPr>
      <w:r>
        <w:rPr>
          <w:color w:val="231F20"/>
          <w:sz w:val="22"/>
        </w:rPr>
        <w:t>L. (2017). Telehealth. </w:t>
      </w:r>
      <w:r>
        <w:rPr>
          <w:i/>
          <w:color w:val="231F20"/>
          <w:sz w:val="22"/>
        </w:rPr>
        <w:t>New England Journal</w:t>
      </w:r>
      <w:r>
        <w:rPr>
          <w:i/>
          <w:color w:val="231F20"/>
          <w:spacing w:val="1"/>
          <w:sz w:val="22"/>
        </w:rPr>
        <w:t> </w:t>
      </w:r>
      <w:r>
        <w:rPr>
          <w:i/>
          <w:color w:val="231F20"/>
          <w:sz w:val="22"/>
        </w:rPr>
        <w:t>of Medicine, 377</w:t>
      </w:r>
      <w:r>
        <w:rPr>
          <w:color w:val="231F20"/>
          <w:sz w:val="22"/>
        </w:rPr>
        <w:t>(16), 1585-1592.</w:t>
      </w:r>
      <w:r>
        <w:rPr>
          <w:color w:val="3953A4"/>
          <w:sz w:val="22"/>
        </w:rPr>
        <w:t> </w:t>
      </w:r>
      <w:hyperlink r:id="rId302">
        <w:r>
          <w:rPr>
            <w:color w:val="3953A4"/>
            <w:sz w:val="22"/>
            <w:u w:val="single" w:color="3953A4"/>
          </w:rPr>
          <w:t>https://doi.</w:t>
        </w:r>
      </w:hyperlink>
      <w:r>
        <w:rPr>
          <w:color w:val="3953A4"/>
          <w:spacing w:val="-53"/>
          <w:sz w:val="22"/>
        </w:rPr>
        <w:t> </w:t>
      </w:r>
      <w:hyperlink r:id="rId302">
        <w:r>
          <w:rPr>
            <w:color w:val="3953A4"/>
            <w:sz w:val="22"/>
            <w:u w:val="single" w:color="3953A4"/>
          </w:rPr>
          <w:t>org/10.1056/NEJMsr1503323</w:t>
        </w:r>
      </w:hyperlink>
    </w:p>
    <w:p>
      <w:pPr>
        <w:tabs>
          <w:tab w:pos="479" w:val="left" w:leader="none"/>
        </w:tabs>
        <w:spacing w:line="228" w:lineRule="auto" w:before="89"/>
        <w:ind w:left="480" w:right="837" w:hanging="360"/>
        <w:jc w:val="left"/>
        <w:rPr>
          <w:sz w:val="22"/>
        </w:rPr>
      </w:pPr>
      <w:r>
        <w:rPr>
          <w:color w:val="231F20"/>
          <w:sz w:val="22"/>
          <w:vertAlign w:val="superscript"/>
        </w:rPr>
        <w:t>50</w:t>
      </w:r>
      <w:r>
        <w:rPr>
          <w:color w:val="231F20"/>
          <w:sz w:val="22"/>
          <w:vertAlign w:val="baseline"/>
        </w:rPr>
        <w:tab/>
      </w:r>
      <w:r>
        <w:rPr>
          <w:color w:val="231F20"/>
          <w:w w:val="95"/>
          <w:sz w:val="22"/>
          <w:vertAlign w:val="baseline"/>
        </w:rPr>
        <w:t>Yang,</w:t>
      </w:r>
      <w:r>
        <w:rPr>
          <w:color w:val="231F20"/>
          <w:spacing w:val="4"/>
          <w:w w:val="95"/>
          <w:sz w:val="22"/>
          <w:vertAlign w:val="baseline"/>
        </w:rPr>
        <w:t> </w:t>
      </w:r>
      <w:r>
        <w:rPr>
          <w:color w:val="231F20"/>
          <w:w w:val="95"/>
          <w:sz w:val="22"/>
          <w:vertAlign w:val="baseline"/>
        </w:rPr>
        <w:t>Y.</w:t>
      </w:r>
      <w:r>
        <w:rPr>
          <w:color w:val="231F20"/>
          <w:spacing w:val="9"/>
          <w:w w:val="95"/>
          <w:sz w:val="22"/>
          <w:vertAlign w:val="baseline"/>
        </w:rPr>
        <w:t> </w:t>
      </w:r>
      <w:r>
        <w:rPr>
          <w:color w:val="231F20"/>
          <w:w w:val="95"/>
          <w:sz w:val="22"/>
          <w:vertAlign w:val="baseline"/>
        </w:rPr>
        <w:t>T.,</w:t>
      </w:r>
      <w:r>
        <w:rPr>
          <w:color w:val="231F20"/>
          <w:spacing w:val="10"/>
          <w:w w:val="95"/>
          <w:sz w:val="22"/>
          <w:vertAlign w:val="baseline"/>
        </w:rPr>
        <w:t> </w:t>
      </w:r>
      <w:r>
        <w:rPr>
          <w:color w:val="231F20"/>
          <w:w w:val="95"/>
          <w:sz w:val="22"/>
          <w:vertAlign w:val="baseline"/>
        </w:rPr>
        <w:t>Weintraub,</w:t>
      </w:r>
      <w:r>
        <w:rPr>
          <w:color w:val="231F20"/>
          <w:spacing w:val="14"/>
          <w:w w:val="95"/>
          <w:sz w:val="22"/>
          <w:vertAlign w:val="baseline"/>
        </w:rPr>
        <w:t> </w:t>
      </w:r>
      <w:r>
        <w:rPr>
          <w:color w:val="231F20"/>
          <w:w w:val="95"/>
          <w:sz w:val="22"/>
          <w:vertAlign w:val="baseline"/>
        </w:rPr>
        <w:t>E.,</w:t>
      </w:r>
      <w:r>
        <w:rPr>
          <w:color w:val="231F20"/>
          <w:spacing w:val="14"/>
          <w:w w:val="95"/>
          <w:sz w:val="22"/>
          <w:vertAlign w:val="baseline"/>
        </w:rPr>
        <w:t> </w:t>
      </w:r>
      <w:r>
        <w:rPr>
          <w:color w:val="231F20"/>
          <w:w w:val="95"/>
          <w:sz w:val="22"/>
          <w:vertAlign w:val="baseline"/>
        </w:rPr>
        <w:t>&amp;</w:t>
      </w:r>
      <w:r>
        <w:rPr>
          <w:color w:val="231F20"/>
          <w:spacing w:val="14"/>
          <w:w w:val="95"/>
          <w:sz w:val="22"/>
          <w:vertAlign w:val="baseline"/>
        </w:rPr>
        <w:t> </w:t>
      </w:r>
      <w:r>
        <w:rPr>
          <w:color w:val="231F20"/>
          <w:w w:val="95"/>
          <w:sz w:val="22"/>
          <w:vertAlign w:val="baseline"/>
        </w:rPr>
        <w:t>Haffajee,</w:t>
      </w:r>
      <w:r>
        <w:rPr>
          <w:color w:val="231F20"/>
          <w:spacing w:val="13"/>
          <w:w w:val="95"/>
          <w:sz w:val="22"/>
          <w:vertAlign w:val="baseline"/>
        </w:rPr>
        <w:t> </w:t>
      </w:r>
      <w:r>
        <w:rPr>
          <w:color w:val="231F20"/>
          <w:w w:val="95"/>
          <w:sz w:val="22"/>
          <w:vertAlign w:val="baseline"/>
        </w:rPr>
        <w:t>R.</w:t>
      </w:r>
      <w:r>
        <w:rPr>
          <w:color w:val="231F20"/>
          <w:spacing w:val="14"/>
          <w:w w:val="95"/>
          <w:sz w:val="22"/>
          <w:vertAlign w:val="baseline"/>
        </w:rPr>
        <w:t> </w:t>
      </w:r>
      <w:r>
        <w:rPr>
          <w:color w:val="231F20"/>
          <w:w w:val="95"/>
          <w:sz w:val="22"/>
          <w:vertAlign w:val="baseline"/>
        </w:rPr>
        <w:t>L.</w:t>
      </w:r>
      <w:r>
        <w:rPr>
          <w:color w:val="231F20"/>
          <w:spacing w:val="1"/>
          <w:w w:val="95"/>
          <w:sz w:val="22"/>
          <w:vertAlign w:val="baseline"/>
        </w:rPr>
        <w:t> </w:t>
      </w:r>
      <w:r>
        <w:rPr>
          <w:color w:val="231F20"/>
          <w:sz w:val="22"/>
          <w:vertAlign w:val="baseline"/>
        </w:rPr>
        <w:t>(2018).</w:t>
      </w:r>
      <w:r>
        <w:rPr>
          <w:color w:val="231F20"/>
          <w:spacing w:val="-13"/>
          <w:sz w:val="22"/>
          <w:vertAlign w:val="baseline"/>
        </w:rPr>
        <w:t> </w:t>
      </w:r>
      <w:r>
        <w:rPr>
          <w:i/>
          <w:color w:val="231F20"/>
          <w:sz w:val="22"/>
          <w:vertAlign w:val="baseline"/>
        </w:rPr>
        <w:t>Telemedicine’s</w:t>
      </w:r>
      <w:r>
        <w:rPr>
          <w:i/>
          <w:color w:val="231F20"/>
          <w:spacing w:val="-13"/>
          <w:sz w:val="22"/>
          <w:vertAlign w:val="baseline"/>
        </w:rPr>
        <w:t> </w:t>
      </w:r>
      <w:r>
        <w:rPr>
          <w:i/>
          <w:color w:val="231F20"/>
          <w:sz w:val="22"/>
          <w:vertAlign w:val="baseline"/>
        </w:rPr>
        <w:t>role</w:t>
      </w:r>
      <w:r>
        <w:rPr>
          <w:i/>
          <w:color w:val="231F20"/>
          <w:spacing w:val="-13"/>
          <w:sz w:val="22"/>
          <w:vertAlign w:val="baseline"/>
        </w:rPr>
        <w:t> </w:t>
      </w:r>
      <w:r>
        <w:rPr>
          <w:i/>
          <w:color w:val="231F20"/>
          <w:sz w:val="22"/>
          <w:vertAlign w:val="baseline"/>
        </w:rPr>
        <w:t>in</w:t>
      </w:r>
      <w:r>
        <w:rPr>
          <w:i/>
          <w:color w:val="231F20"/>
          <w:spacing w:val="-13"/>
          <w:sz w:val="22"/>
          <w:vertAlign w:val="baseline"/>
        </w:rPr>
        <w:t> </w:t>
      </w:r>
      <w:r>
        <w:rPr>
          <w:i/>
          <w:color w:val="231F20"/>
          <w:sz w:val="22"/>
          <w:vertAlign w:val="baseline"/>
        </w:rPr>
        <w:t>addressing</w:t>
      </w:r>
      <w:r>
        <w:rPr>
          <w:i/>
          <w:color w:val="231F20"/>
          <w:spacing w:val="-13"/>
          <w:sz w:val="22"/>
          <w:vertAlign w:val="baseline"/>
        </w:rPr>
        <w:t> </w:t>
      </w:r>
      <w:r>
        <w:rPr>
          <w:i/>
          <w:color w:val="231F20"/>
          <w:sz w:val="22"/>
          <w:vertAlign w:val="baseline"/>
        </w:rPr>
        <w:t>the</w:t>
      </w:r>
      <w:r>
        <w:rPr>
          <w:i/>
          <w:color w:val="231F20"/>
          <w:spacing w:val="-13"/>
          <w:sz w:val="22"/>
          <w:vertAlign w:val="baseline"/>
        </w:rPr>
        <w:t> </w:t>
      </w:r>
      <w:r>
        <w:rPr>
          <w:i/>
          <w:color w:val="231F20"/>
          <w:sz w:val="22"/>
          <w:vertAlign w:val="baseline"/>
        </w:rPr>
        <w:t>opioid</w:t>
      </w:r>
      <w:r>
        <w:rPr>
          <w:i/>
          <w:color w:val="231F20"/>
          <w:spacing w:val="-52"/>
          <w:sz w:val="22"/>
          <w:vertAlign w:val="baseline"/>
        </w:rPr>
        <w:t> </w:t>
      </w:r>
      <w:r>
        <w:rPr>
          <w:i/>
          <w:color w:val="231F20"/>
          <w:sz w:val="22"/>
          <w:vertAlign w:val="baseline"/>
        </w:rPr>
        <w:t>epidemic</w:t>
      </w:r>
      <w:r>
        <w:rPr>
          <w:color w:val="231F20"/>
          <w:sz w:val="22"/>
          <w:vertAlign w:val="baseline"/>
        </w:rPr>
        <w:t>. </w:t>
      </w:r>
      <w:hyperlink r:id="rId162">
        <w:r>
          <w:rPr>
            <w:color w:val="3953A4"/>
            <w:sz w:val="22"/>
            <w:u w:val="single" w:color="3953A4"/>
            <w:vertAlign w:val="baseline"/>
          </w:rPr>
          <w:t>https://www.mayoclinicproceedings.org/</w:t>
        </w:r>
      </w:hyperlink>
      <w:r>
        <w:rPr>
          <w:color w:val="3953A4"/>
          <w:spacing w:val="1"/>
          <w:sz w:val="22"/>
          <w:vertAlign w:val="baseline"/>
        </w:rPr>
        <w:t> </w:t>
      </w:r>
      <w:hyperlink r:id="rId162">
        <w:r>
          <w:rPr>
            <w:color w:val="3953A4"/>
            <w:sz w:val="22"/>
            <w:u w:val="single" w:color="3953A4"/>
            <w:vertAlign w:val="baseline"/>
          </w:rPr>
          <w:t>article/S0025-6196(18)30539-1/pdf</w:t>
        </w:r>
      </w:hyperlink>
    </w:p>
    <w:p>
      <w:pPr>
        <w:tabs>
          <w:tab w:pos="479" w:val="left" w:leader="none"/>
        </w:tabs>
        <w:spacing w:line="228" w:lineRule="auto" w:before="89"/>
        <w:ind w:left="480" w:right="829" w:hanging="360"/>
        <w:jc w:val="left"/>
        <w:rPr>
          <w:sz w:val="22"/>
        </w:rPr>
      </w:pPr>
      <w:r>
        <w:rPr>
          <w:color w:val="231F20"/>
          <w:sz w:val="22"/>
          <w:vertAlign w:val="superscript"/>
        </w:rPr>
        <w:t>51</w:t>
      </w:r>
      <w:r>
        <w:rPr>
          <w:color w:val="231F20"/>
          <w:sz w:val="22"/>
          <w:vertAlign w:val="baseline"/>
        </w:rPr>
        <w:tab/>
      </w:r>
      <w:r>
        <w:rPr>
          <w:color w:val="231F20"/>
          <w:spacing w:val="-1"/>
          <w:sz w:val="22"/>
          <w:vertAlign w:val="baseline"/>
        </w:rPr>
        <w:t>Lin,</w:t>
      </w:r>
      <w:r>
        <w:rPr>
          <w:color w:val="231F20"/>
          <w:spacing w:val="-12"/>
          <w:sz w:val="22"/>
          <w:vertAlign w:val="baseline"/>
        </w:rPr>
        <w:t> </w:t>
      </w:r>
      <w:r>
        <w:rPr>
          <w:color w:val="231F20"/>
          <w:spacing w:val="-1"/>
          <w:sz w:val="22"/>
          <w:vertAlign w:val="baseline"/>
        </w:rPr>
        <w:t>A.,</w:t>
      </w:r>
      <w:r>
        <w:rPr>
          <w:color w:val="231F20"/>
          <w:spacing w:val="2"/>
          <w:sz w:val="22"/>
          <w:vertAlign w:val="baseline"/>
        </w:rPr>
        <w:t> </w:t>
      </w:r>
      <w:r>
        <w:rPr>
          <w:color w:val="231F20"/>
          <w:spacing w:val="-1"/>
          <w:sz w:val="22"/>
          <w:vertAlign w:val="baseline"/>
        </w:rPr>
        <w:t>Moore,</w:t>
      </w:r>
      <w:r>
        <w:rPr>
          <w:color w:val="231F20"/>
          <w:spacing w:val="2"/>
          <w:sz w:val="22"/>
          <w:vertAlign w:val="baseline"/>
        </w:rPr>
        <w:t> </w:t>
      </w:r>
      <w:r>
        <w:rPr>
          <w:color w:val="231F20"/>
          <w:spacing w:val="-1"/>
          <w:sz w:val="22"/>
          <w:vertAlign w:val="baseline"/>
        </w:rPr>
        <w:t>D.</w:t>
      </w:r>
      <w:r>
        <w:rPr>
          <w:color w:val="231F20"/>
          <w:spacing w:val="1"/>
          <w:sz w:val="22"/>
          <w:vertAlign w:val="baseline"/>
        </w:rPr>
        <w:t> </w:t>
      </w:r>
      <w:r>
        <w:rPr>
          <w:color w:val="231F20"/>
          <w:spacing w:val="-1"/>
          <w:sz w:val="22"/>
          <w:vertAlign w:val="baseline"/>
        </w:rPr>
        <w:t>(2020).</w:t>
      </w:r>
      <w:r>
        <w:rPr>
          <w:color w:val="231F20"/>
          <w:spacing w:val="2"/>
          <w:sz w:val="22"/>
          <w:vertAlign w:val="baseline"/>
        </w:rPr>
        <w:t> </w:t>
      </w:r>
      <w:r>
        <w:rPr>
          <w:i/>
          <w:color w:val="231F20"/>
          <w:spacing w:val="-1"/>
          <w:sz w:val="22"/>
          <w:vertAlign w:val="baseline"/>
        </w:rPr>
        <w:t>Telemedicine-delivered</w:t>
      </w:r>
      <w:r>
        <w:rPr>
          <w:i/>
          <w:color w:val="231F20"/>
          <w:sz w:val="22"/>
          <w:vertAlign w:val="baseline"/>
        </w:rPr>
        <w:t> </w:t>
      </w:r>
      <w:r>
        <w:rPr>
          <w:i/>
          <w:color w:val="231F20"/>
          <w:sz w:val="22"/>
          <w:vertAlign w:val="baseline"/>
        </w:rPr>
        <w:t>buprenorphine treatment in the age of COVID-19</w:t>
      </w:r>
      <w:r>
        <w:rPr>
          <w:color w:val="231F20"/>
          <w:sz w:val="22"/>
          <w:vertAlign w:val="baseline"/>
        </w:rPr>
        <w:t>.</w:t>
      </w:r>
      <w:r>
        <w:rPr>
          <w:color w:val="231F20"/>
          <w:spacing w:val="1"/>
          <w:sz w:val="22"/>
          <w:vertAlign w:val="baseline"/>
        </w:rPr>
        <w:t> </w:t>
      </w:r>
      <w:r>
        <w:rPr>
          <w:color w:val="231F20"/>
          <w:sz w:val="22"/>
          <w:vertAlign w:val="baseline"/>
        </w:rPr>
        <w:t>Providers</w:t>
      </w:r>
      <w:r>
        <w:rPr>
          <w:color w:val="231F20"/>
          <w:spacing w:val="-8"/>
          <w:sz w:val="22"/>
          <w:vertAlign w:val="baseline"/>
        </w:rPr>
        <w:t> </w:t>
      </w:r>
      <w:r>
        <w:rPr>
          <w:color w:val="231F20"/>
          <w:sz w:val="22"/>
          <w:vertAlign w:val="baseline"/>
        </w:rPr>
        <w:t>Clinical</w:t>
      </w:r>
      <w:r>
        <w:rPr>
          <w:color w:val="231F20"/>
          <w:spacing w:val="-7"/>
          <w:sz w:val="22"/>
          <w:vertAlign w:val="baseline"/>
        </w:rPr>
        <w:t> </w:t>
      </w:r>
      <w:r>
        <w:rPr>
          <w:color w:val="231F20"/>
          <w:sz w:val="22"/>
          <w:vertAlign w:val="baseline"/>
        </w:rPr>
        <w:t>Support</w:t>
      </w:r>
      <w:r>
        <w:rPr>
          <w:color w:val="231F20"/>
          <w:spacing w:val="-8"/>
          <w:sz w:val="22"/>
          <w:vertAlign w:val="baseline"/>
        </w:rPr>
        <w:t> </w:t>
      </w:r>
      <w:r>
        <w:rPr>
          <w:color w:val="231F20"/>
          <w:sz w:val="22"/>
          <w:vertAlign w:val="baseline"/>
        </w:rPr>
        <w:t>System.</w:t>
      </w:r>
      <w:r>
        <w:rPr>
          <w:color w:val="231F20"/>
          <w:spacing w:val="-7"/>
          <w:sz w:val="22"/>
          <w:vertAlign w:val="baseline"/>
        </w:rPr>
        <w:t> </w:t>
      </w:r>
      <w:hyperlink r:id="rId303">
        <w:r>
          <w:rPr>
            <w:color w:val="3953A4"/>
            <w:sz w:val="22"/>
            <w:u w:val="single" w:color="3953A4"/>
            <w:vertAlign w:val="baseline"/>
          </w:rPr>
          <w:t>https://pcssnow.</w:t>
        </w:r>
      </w:hyperlink>
      <w:r>
        <w:rPr>
          <w:color w:val="3953A4"/>
          <w:spacing w:val="-52"/>
          <w:sz w:val="22"/>
          <w:vertAlign w:val="baseline"/>
        </w:rPr>
        <w:t> </w:t>
      </w:r>
      <w:hyperlink r:id="rId303">
        <w:r>
          <w:rPr>
            <w:color w:val="3953A4"/>
            <w:sz w:val="22"/>
            <w:u w:val="single" w:color="3953A4"/>
            <w:vertAlign w:val="baseline"/>
          </w:rPr>
          <w:t>org/event/tele-buprenorphine-in-the-age-of-</w:t>
        </w:r>
      </w:hyperlink>
    </w:p>
    <w:p>
      <w:pPr>
        <w:pStyle w:val="BodyText"/>
        <w:spacing w:line="241" w:lineRule="exact"/>
        <w:ind w:left="480"/>
      </w:pPr>
      <w:hyperlink r:id="rId303">
        <w:r>
          <w:rPr>
            <w:color w:val="3953A4"/>
            <w:u w:val="single" w:color="3953A4"/>
          </w:rPr>
          <w:t>covid-19/</w:t>
        </w:r>
      </w:hyperlink>
    </w:p>
    <w:p>
      <w:pPr>
        <w:pStyle w:val="BodyText"/>
        <w:tabs>
          <w:tab w:pos="479" w:val="left" w:leader="none"/>
        </w:tabs>
        <w:spacing w:line="228" w:lineRule="auto" w:before="87"/>
        <w:ind w:left="480" w:right="1010" w:hanging="360"/>
      </w:pPr>
      <w:r>
        <w:rPr>
          <w:color w:val="231F20"/>
          <w:vertAlign w:val="superscript"/>
        </w:rPr>
        <w:t>52</w:t>
      </w:r>
      <w:r>
        <w:rPr>
          <w:color w:val="231F20"/>
          <w:vertAlign w:val="baseline"/>
        </w:rPr>
        <w:tab/>
      </w:r>
      <w:r>
        <w:rPr>
          <w:color w:val="231F20"/>
          <w:spacing w:val="-1"/>
          <w:vertAlign w:val="baseline"/>
        </w:rPr>
        <w:t>Huskamp, H. A., Busch, A. B., Souza, </w:t>
      </w:r>
      <w:r>
        <w:rPr>
          <w:color w:val="231F20"/>
          <w:vertAlign w:val="baseline"/>
        </w:rPr>
        <w:t>J., Uscher-</w:t>
      </w:r>
      <w:r>
        <w:rPr>
          <w:color w:val="231F20"/>
          <w:spacing w:val="-52"/>
          <w:vertAlign w:val="baseline"/>
        </w:rPr>
        <w:t> </w:t>
      </w:r>
      <w:r>
        <w:rPr>
          <w:color w:val="231F20"/>
          <w:spacing w:val="-1"/>
          <w:vertAlign w:val="baseline"/>
        </w:rPr>
        <w:t>Pines, L., Rose, S.,</w:t>
      </w:r>
      <w:r>
        <w:rPr>
          <w:color w:val="231F20"/>
          <w:spacing w:val="-5"/>
          <w:vertAlign w:val="baseline"/>
        </w:rPr>
        <w:t> </w:t>
      </w:r>
      <w:r>
        <w:rPr>
          <w:color w:val="231F20"/>
          <w:vertAlign w:val="baseline"/>
        </w:rPr>
        <w:t>Wilcock,</w:t>
      </w:r>
      <w:r>
        <w:rPr>
          <w:color w:val="231F20"/>
          <w:spacing w:val="-14"/>
          <w:vertAlign w:val="baseline"/>
        </w:rPr>
        <w:t> </w:t>
      </w:r>
      <w:r>
        <w:rPr>
          <w:color w:val="231F20"/>
          <w:vertAlign w:val="baseline"/>
        </w:rPr>
        <w:t>A., Landon,</w:t>
      </w:r>
      <w:r>
        <w:rPr>
          <w:color w:val="231F20"/>
          <w:spacing w:val="-1"/>
          <w:vertAlign w:val="baseline"/>
        </w:rPr>
        <w:t> </w:t>
      </w:r>
      <w:r>
        <w:rPr>
          <w:color w:val="231F20"/>
          <w:vertAlign w:val="baseline"/>
        </w:rPr>
        <w:t>B.</w:t>
      </w:r>
      <w:r>
        <w:rPr>
          <w:color w:val="231F20"/>
          <w:spacing w:val="-1"/>
          <w:vertAlign w:val="baseline"/>
        </w:rPr>
        <w:t> </w:t>
      </w:r>
      <w:r>
        <w:rPr>
          <w:color w:val="231F20"/>
          <w:vertAlign w:val="baseline"/>
        </w:rPr>
        <w:t>E.,</w:t>
      </w:r>
      <w:r>
        <w:rPr>
          <w:color w:val="231F20"/>
          <w:spacing w:val="-1"/>
          <w:vertAlign w:val="baseline"/>
        </w:rPr>
        <w:t> </w:t>
      </w:r>
      <w:r>
        <w:rPr>
          <w:color w:val="231F20"/>
          <w:vertAlign w:val="baseline"/>
        </w:rPr>
        <w:t>&amp;</w:t>
      </w:r>
      <w:r>
        <w:rPr>
          <w:color w:val="231F20"/>
          <w:spacing w:val="-52"/>
          <w:vertAlign w:val="baseline"/>
        </w:rPr>
        <w:t> </w:t>
      </w:r>
      <w:r>
        <w:rPr>
          <w:color w:val="231F20"/>
          <w:vertAlign w:val="baseline"/>
        </w:rPr>
        <w:t>Mehrotra, A. (2018). How is telemedicine being</w:t>
      </w:r>
      <w:r>
        <w:rPr>
          <w:color w:val="231F20"/>
          <w:spacing w:val="1"/>
          <w:vertAlign w:val="baseline"/>
        </w:rPr>
        <w:t> </w:t>
      </w:r>
      <w:r>
        <w:rPr>
          <w:color w:val="231F20"/>
          <w:vertAlign w:val="baseline"/>
        </w:rPr>
        <w:t>used in opioid and other substance use disorder</w:t>
      </w:r>
      <w:r>
        <w:rPr>
          <w:color w:val="231F20"/>
          <w:spacing w:val="1"/>
          <w:vertAlign w:val="baseline"/>
        </w:rPr>
        <w:t> </w:t>
      </w:r>
      <w:r>
        <w:rPr>
          <w:color w:val="231F20"/>
          <w:vertAlign w:val="baseline"/>
        </w:rPr>
        <w:t>treatment? </w:t>
      </w:r>
      <w:r>
        <w:rPr>
          <w:i/>
          <w:color w:val="231F20"/>
          <w:vertAlign w:val="baseline"/>
        </w:rPr>
        <w:t>Health Affairs, 37</w:t>
      </w:r>
      <w:r>
        <w:rPr>
          <w:color w:val="231F20"/>
          <w:vertAlign w:val="baseline"/>
        </w:rPr>
        <w:t>(12), 1940-1947.</w:t>
      </w:r>
      <w:r>
        <w:rPr>
          <w:color w:val="231F20"/>
          <w:spacing w:val="1"/>
          <w:vertAlign w:val="baseline"/>
        </w:rPr>
        <w:t> </w:t>
      </w:r>
      <w:hyperlink r:id="rId154">
        <w:r>
          <w:rPr>
            <w:color w:val="3953A4"/>
            <w:u w:val="single" w:color="3953A4"/>
            <w:vertAlign w:val="baseline"/>
          </w:rPr>
          <w:t>https://doi.org/10.1377/hlthaff.2018.05134</w:t>
        </w:r>
      </w:hyperlink>
    </w:p>
    <w:p>
      <w:pPr>
        <w:pStyle w:val="BodyText"/>
        <w:tabs>
          <w:tab w:pos="479" w:val="left" w:leader="none"/>
        </w:tabs>
        <w:spacing w:line="228" w:lineRule="auto" w:before="88"/>
        <w:ind w:left="480" w:right="892" w:hanging="360"/>
      </w:pPr>
      <w:r>
        <w:rPr>
          <w:color w:val="231F20"/>
          <w:vertAlign w:val="superscript"/>
        </w:rPr>
        <w:t>53</w:t>
      </w:r>
      <w:r>
        <w:rPr>
          <w:color w:val="231F20"/>
          <w:vertAlign w:val="baseline"/>
        </w:rPr>
        <w:tab/>
        <w:t>Lynch, C. (2020). Rural health care and Medicaid</w:t>
      </w:r>
      <w:r>
        <w:rPr>
          <w:color w:val="231F20"/>
          <w:spacing w:val="1"/>
          <w:vertAlign w:val="baseline"/>
        </w:rPr>
        <w:t> </w:t>
      </w:r>
      <w:r>
        <w:rPr>
          <w:color w:val="231F20"/>
          <w:vertAlign w:val="baseline"/>
        </w:rPr>
        <w:t>telehealth flexibilities, and guidance regarding</w:t>
      </w:r>
      <w:r>
        <w:rPr>
          <w:color w:val="231F20"/>
          <w:spacing w:val="1"/>
          <w:vertAlign w:val="baseline"/>
        </w:rPr>
        <w:t> </w:t>
      </w:r>
      <w:r>
        <w:rPr>
          <w:color w:val="231F20"/>
          <w:vertAlign w:val="baseline"/>
        </w:rPr>
        <w:t>Section 1009 of the Substance Use-Disorder</w:t>
      </w:r>
      <w:r>
        <w:rPr>
          <w:color w:val="231F20"/>
          <w:spacing w:val="1"/>
          <w:vertAlign w:val="baseline"/>
        </w:rPr>
        <w:t> </w:t>
      </w:r>
      <w:r>
        <w:rPr>
          <w:color w:val="231F20"/>
          <w:vertAlign w:val="baseline"/>
        </w:rPr>
        <w:t>Prevention that Promotes Opioid Recovery and</w:t>
      </w:r>
      <w:r>
        <w:rPr>
          <w:color w:val="231F20"/>
          <w:spacing w:val="1"/>
          <w:vertAlign w:val="baseline"/>
        </w:rPr>
        <w:t> </w:t>
      </w:r>
      <w:r>
        <w:rPr>
          <w:color w:val="231F20"/>
          <w:vertAlign w:val="baseline"/>
        </w:rPr>
        <w:t>Treatment (support) for Patients and Communities</w:t>
      </w:r>
      <w:r>
        <w:rPr>
          <w:color w:val="231F20"/>
          <w:spacing w:val="1"/>
          <w:vertAlign w:val="baseline"/>
        </w:rPr>
        <w:t> </w:t>
      </w:r>
      <w:r>
        <w:rPr>
          <w:color w:val="231F20"/>
          <w:vertAlign w:val="baseline"/>
        </w:rPr>
        <w:t>Act</w:t>
      </w:r>
      <w:r>
        <w:rPr>
          <w:color w:val="231F20"/>
          <w:spacing w:val="-5"/>
          <w:vertAlign w:val="baseline"/>
        </w:rPr>
        <w:t> </w:t>
      </w:r>
      <w:r>
        <w:rPr>
          <w:color w:val="231F20"/>
          <w:vertAlign w:val="baseline"/>
        </w:rPr>
        <w:t>(Pub.</w:t>
      </w:r>
      <w:r>
        <w:rPr>
          <w:color w:val="231F20"/>
          <w:spacing w:val="-4"/>
          <w:vertAlign w:val="baseline"/>
        </w:rPr>
        <w:t> </w:t>
      </w:r>
      <w:r>
        <w:rPr>
          <w:color w:val="231F20"/>
          <w:vertAlign w:val="baseline"/>
        </w:rPr>
        <w:t>L.</w:t>
      </w:r>
      <w:r>
        <w:rPr>
          <w:color w:val="231F20"/>
          <w:spacing w:val="-4"/>
          <w:vertAlign w:val="baseline"/>
        </w:rPr>
        <w:t> </w:t>
      </w:r>
      <w:r>
        <w:rPr>
          <w:color w:val="231F20"/>
          <w:vertAlign w:val="baseline"/>
        </w:rPr>
        <w:t>115-271),</w:t>
      </w:r>
      <w:r>
        <w:rPr>
          <w:color w:val="231F20"/>
          <w:spacing w:val="-4"/>
          <w:vertAlign w:val="baseline"/>
        </w:rPr>
        <w:t> </w:t>
      </w:r>
      <w:r>
        <w:rPr>
          <w:color w:val="231F20"/>
          <w:vertAlign w:val="baseline"/>
        </w:rPr>
        <w:t>entitled</w:t>
      </w:r>
      <w:r>
        <w:rPr>
          <w:color w:val="231F20"/>
          <w:spacing w:val="-5"/>
          <w:vertAlign w:val="baseline"/>
        </w:rPr>
        <w:t> </w:t>
      </w:r>
      <w:r>
        <w:rPr>
          <w:color w:val="231F20"/>
          <w:vertAlign w:val="baseline"/>
        </w:rPr>
        <w:t>Medicaid</w:t>
      </w:r>
      <w:r>
        <w:rPr>
          <w:color w:val="231F20"/>
          <w:spacing w:val="-4"/>
          <w:vertAlign w:val="baseline"/>
        </w:rPr>
        <w:t> </w:t>
      </w:r>
      <w:r>
        <w:rPr>
          <w:color w:val="231F20"/>
          <w:vertAlign w:val="baseline"/>
        </w:rPr>
        <w:t>substance</w:t>
      </w:r>
      <w:r>
        <w:rPr>
          <w:color w:val="231F20"/>
          <w:spacing w:val="-52"/>
          <w:vertAlign w:val="baseline"/>
        </w:rPr>
        <w:t> </w:t>
      </w:r>
      <w:r>
        <w:rPr>
          <w:color w:val="231F20"/>
          <w:vertAlign w:val="baseline"/>
        </w:rPr>
        <w:t>use disorder treatment via telehealth </w:t>
      </w:r>
      <w:hyperlink r:id="rId304">
        <w:r>
          <w:rPr>
            <w:color w:val="3953A4"/>
            <w:u w:val="single" w:color="3953A4"/>
            <w:vertAlign w:val="baseline"/>
          </w:rPr>
          <w:t>https://www.</w:t>
        </w:r>
      </w:hyperlink>
      <w:r>
        <w:rPr>
          <w:color w:val="3953A4"/>
          <w:spacing w:val="1"/>
          <w:vertAlign w:val="baseline"/>
        </w:rPr>
        <w:t> </w:t>
      </w:r>
      <w:hyperlink r:id="rId304">
        <w:r>
          <w:rPr>
            <w:color w:val="3953A4"/>
            <w:u w:val="single" w:color="3953A4"/>
            <w:vertAlign w:val="baseline"/>
          </w:rPr>
          <w:t>medicaid.gov/sites/default/files/Federal-Policy-</w:t>
        </w:r>
      </w:hyperlink>
      <w:r>
        <w:rPr>
          <w:color w:val="3953A4"/>
          <w:spacing w:val="1"/>
          <w:vertAlign w:val="baseline"/>
        </w:rPr>
        <w:t> </w:t>
      </w:r>
      <w:hyperlink r:id="rId304">
        <w:r>
          <w:rPr>
            <w:color w:val="3953A4"/>
            <w:u w:val="single" w:color="3953A4"/>
            <w:vertAlign w:val="baseline"/>
          </w:rPr>
          <w:t>Guidance/Downloads/cib040220.pdf</w:t>
        </w:r>
      </w:hyperlink>
    </w:p>
    <w:p>
      <w:pPr>
        <w:pStyle w:val="BodyText"/>
        <w:tabs>
          <w:tab w:pos="479" w:val="left" w:leader="none"/>
        </w:tabs>
        <w:spacing w:line="228" w:lineRule="auto" w:before="87"/>
        <w:ind w:left="480" w:right="984" w:hanging="360"/>
      </w:pPr>
      <w:r>
        <w:rPr>
          <w:color w:val="231F20"/>
          <w:vertAlign w:val="superscript"/>
        </w:rPr>
        <w:t>54</w:t>
      </w:r>
      <w:r>
        <w:rPr>
          <w:color w:val="231F20"/>
          <w:vertAlign w:val="baseline"/>
        </w:rPr>
        <w:tab/>
        <w:t>Center for Connected Health Policy. (2021).</w:t>
      </w:r>
      <w:r>
        <w:rPr>
          <w:color w:val="231F20"/>
          <w:spacing w:val="1"/>
          <w:vertAlign w:val="baseline"/>
        </w:rPr>
        <w:t> </w:t>
      </w:r>
      <w:r>
        <w:rPr>
          <w:i/>
          <w:color w:val="231F20"/>
          <w:spacing w:val="-1"/>
          <w:vertAlign w:val="baseline"/>
        </w:rPr>
        <w:t>Telehealth</w:t>
      </w:r>
      <w:r>
        <w:rPr>
          <w:i/>
          <w:color w:val="231F20"/>
          <w:spacing w:val="-13"/>
          <w:vertAlign w:val="baseline"/>
        </w:rPr>
        <w:t> </w:t>
      </w:r>
      <w:r>
        <w:rPr>
          <w:i/>
          <w:color w:val="231F20"/>
          <w:spacing w:val="-1"/>
          <w:vertAlign w:val="baseline"/>
        </w:rPr>
        <w:t>and</w:t>
      </w:r>
      <w:r>
        <w:rPr>
          <w:i/>
          <w:color w:val="231F20"/>
          <w:spacing w:val="-12"/>
          <w:vertAlign w:val="baseline"/>
        </w:rPr>
        <w:t> </w:t>
      </w:r>
      <w:r>
        <w:rPr>
          <w:i/>
          <w:color w:val="231F20"/>
          <w:spacing w:val="-1"/>
          <w:vertAlign w:val="baseline"/>
        </w:rPr>
        <w:t>medicare</w:t>
      </w:r>
      <w:r>
        <w:rPr>
          <w:color w:val="231F20"/>
          <w:spacing w:val="-1"/>
          <w:vertAlign w:val="baseline"/>
        </w:rPr>
        <w:t>.</w:t>
      </w:r>
      <w:r>
        <w:rPr>
          <w:color w:val="231F20"/>
          <w:spacing w:val="-13"/>
          <w:vertAlign w:val="baseline"/>
        </w:rPr>
        <w:t> </w:t>
      </w:r>
      <w:hyperlink r:id="rId244">
        <w:r>
          <w:rPr>
            <w:color w:val="3953A4"/>
            <w:u w:val="single" w:color="3953A4"/>
            <w:vertAlign w:val="baseline"/>
          </w:rPr>
          <w:t>https://www.cchpca.org/</w:t>
        </w:r>
      </w:hyperlink>
      <w:r>
        <w:rPr>
          <w:color w:val="3953A4"/>
          <w:spacing w:val="-52"/>
          <w:vertAlign w:val="baseline"/>
        </w:rPr>
        <w:t> </w:t>
      </w:r>
      <w:hyperlink r:id="rId244">
        <w:r>
          <w:rPr>
            <w:color w:val="3953A4"/>
            <w:u w:val="single" w:color="3953A4"/>
            <w:vertAlign w:val="baseline"/>
          </w:rPr>
          <w:t>telehealth-policy/telehealth-and-medicare</w:t>
        </w:r>
      </w:hyperlink>
    </w:p>
    <w:p>
      <w:pPr>
        <w:pStyle w:val="BodyText"/>
        <w:tabs>
          <w:tab w:pos="479" w:val="left" w:leader="none"/>
        </w:tabs>
        <w:spacing w:line="228" w:lineRule="auto" w:before="89"/>
        <w:ind w:left="480" w:right="1115" w:hanging="360"/>
      </w:pPr>
      <w:r>
        <w:rPr>
          <w:color w:val="231F20"/>
          <w:vertAlign w:val="superscript"/>
        </w:rPr>
        <w:t>55</w:t>
      </w:r>
      <w:r>
        <w:rPr>
          <w:color w:val="231F20"/>
          <w:vertAlign w:val="baseline"/>
        </w:rPr>
        <w:tab/>
      </w:r>
      <w:r>
        <w:rPr>
          <w:color w:val="231F20"/>
          <w:spacing w:val="-4"/>
          <w:vertAlign w:val="baseline"/>
        </w:rPr>
        <w:t>Center for Connected Health </w:t>
      </w:r>
      <w:r>
        <w:rPr>
          <w:color w:val="231F20"/>
          <w:spacing w:val="-3"/>
          <w:vertAlign w:val="baseline"/>
        </w:rPr>
        <w:t>Policy. (2020). State</w:t>
      </w:r>
      <w:r>
        <w:rPr>
          <w:color w:val="231F20"/>
          <w:spacing w:val="-2"/>
          <w:vertAlign w:val="baseline"/>
        </w:rPr>
        <w:t> </w:t>
      </w:r>
      <w:r>
        <w:rPr>
          <w:color w:val="231F20"/>
          <w:spacing w:val="-4"/>
          <w:vertAlign w:val="baseline"/>
        </w:rPr>
        <w:t>telehealth laws and </w:t>
      </w:r>
      <w:r>
        <w:rPr>
          <w:color w:val="231F20"/>
          <w:spacing w:val="-3"/>
          <w:vertAlign w:val="baseline"/>
        </w:rPr>
        <w:t>reimbursement policies: A</w:t>
      </w:r>
      <w:r>
        <w:rPr>
          <w:color w:val="231F20"/>
          <w:spacing w:val="-2"/>
          <w:vertAlign w:val="baseline"/>
        </w:rPr>
        <w:t> </w:t>
      </w:r>
      <w:r>
        <w:rPr>
          <w:color w:val="231F20"/>
          <w:spacing w:val="-4"/>
          <w:vertAlign w:val="baseline"/>
        </w:rPr>
        <w:t>comprehensive</w:t>
      </w:r>
      <w:r>
        <w:rPr>
          <w:color w:val="231F20"/>
          <w:spacing w:val="-10"/>
          <w:vertAlign w:val="baseline"/>
        </w:rPr>
        <w:t> </w:t>
      </w:r>
      <w:r>
        <w:rPr>
          <w:color w:val="231F20"/>
          <w:spacing w:val="-3"/>
          <w:vertAlign w:val="baseline"/>
        </w:rPr>
        <w:t>scan</w:t>
      </w:r>
      <w:r>
        <w:rPr>
          <w:color w:val="231F20"/>
          <w:spacing w:val="-10"/>
          <w:vertAlign w:val="baseline"/>
        </w:rPr>
        <w:t> </w:t>
      </w:r>
      <w:r>
        <w:rPr>
          <w:color w:val="231F20"/>
          <w:spacing w:val="-3"/>
          <w:vertAlign w:val="baseline"/>
        </w:rPr>
        <w:t>of</w:t>
      </w:r>
      <w:r>
        <w:rPr>
          <w:color w:val="231F20"/>
          <w:spacing w:val="-9"/>
          <w:vertAlign w:val="baseline"/>
        </w:rPr>
        <w:t> </w:t>
      </w:r>
      <w:r>
        <w:rPr>
          <w:color w:val="231F20"/>
          <w:spacing w:val="-3"/>
          <w:vertAlign w:val="baseline"/>
        </w:rPr>
        <w:t>the</w:t>
      </w:r>
      <w:r>
        <w:rPr>
          <w:color w:val="231F20"/>
          <w:spacing w:val="-10"/>
          <w:vertAlign w:val="baseline"/>
        </w:rPr>
        <w:t> </w:t>
      </w:r>
      <w:r>
        <w:rPr>
          <w:color w:val="231F20"/>
          <w:spacing w:val="-3"/>
          <w:vertAlign w:val="baseline"/>
        </w:rPr>
        <w:t>50</w:t>
      </w:r>
      <w:r>
        <w:rPr>
          <w:color w:val="231F20"/>
          <w:spacing w:val="-9"/>
          <w:vertAlign w:val="baseline"/>
        </w:rPr>
        <w:t> </w:t>
      </w:r>
      <w:r>
        <w:rPr>
          <w:color w:val="231F20"/>
          <w:spacing w:val="-3"/>
          <w:vertAlign w:val="baseline"/>
        </w:rPr>
        <w:t>states</w:t>
      </w:r>
      <w:r>
        <w:rPr>
          <w:color w:val="231F20"/>
          <w:spacing w:val="-10"/>
          <w:vertAlign w:val="baseline"/>
        </w:rPr>
        <w:t> </w:t>
      </w:r>
      <w:r>
        <w:rPr>
          <w:color w:val="231F20"/>
          <w:spacing w:val="-3"/>
          <w:vertAlign w:val="baseline"/>
        </w:rPr>
        <w:t>and</w:t>
      </w:r>
      <w:r>
        <w:rPr>
          <w:color w:val="231F20"/>
          <w:spacing w:val="-9"/>
          <w:vertAlign w:val="baseline"/>
        </w:rPr>
        <w:t> </w:t>
      </w:r>
      <w:r>
        <w:rPr>
          <w:color w:val="231F20"/>
          <w:spacing w:val="-3"/>
          <w:vertAlign w:val="baseline"/>
        </w:rPr>
        <w:t>District</w:t>
      </w:r>
      <w:r>
        <w:rPr>
          <w:color w:val="231F20"/>
          <w:spacing w:val="-10"/>
          <w:vertAlign w:val="baseline"/>
        </w:rPr>
        <w:t> </w:t>
      </w:r>
      <w:r>
        <w:rPr>
          <w:color w:val="231F20"/>
          <w:spacing w:val="-3"/>
          <w:vertAlign w:val="baseline"/>
        </w:rPr>
        <w:t>of</w:t>
      </w:r>
      <w:r>
        <w:rPr>
          <w:color w:val="231F20"/>
          <w:spacing w:val="-52"/>
          <w:vertAlign w:val="baseline"/>
        </w:rPr>
        <w:t> </w:t>
      </w:r>
      <w:r>
        <w:rPr>
          <w:color w:val="231F20"/>
          <w:spacing w:val="-5"/>
          <w:vertAlign w:val="baseline"/>
        </w:rPr>
        <w:t>Columbia.</w:t>
      </w:r>
      <w:r>
        <w:rPr>
          <w:color w:val="231F20"/>
          <w:spacing w:val="-3"/>
          <w:vertAlign w:val="baseline"/>
        </w:rPr>
        <w:t> </w:t>
      </w:r>
      <w:hyperlink r:id="rId305">
        <w:r>
          <w:rPr>
            <w:color w:val="3953A4"/>
            <w:spacing w:val="-5"/>
            <w:u w:val="single" w:color="3953A4"/>
            <w:vertAlign w:val="baseline"/>
          </w:rPr>
          <w:t>https://www.cchpca.org/sites/default/</w:t>
        </w:r>
      </w:hyperlink>
      <w:r>
        <w:rPr>
          <w:color w:val="3953A4"/>
          <w:spacing w:val="-4"/>
          <w:vertAlign w:val="baseline"/>
        </w:rPr>
        <w:t> </w:t>
      </w:r>
      <w:hyperlink r:id="rId305">
        <w:r>
          <w:rPr>
            <w:color w:val="3953A4"/>
            <w:spacing w:val="-4"/>
            <w:u w:val="single" w:color="3953A4"/>
            <w:vertAlign w:val="baseline"/>
          </w:rPr>
          <w:t>files/2020-05/CCHP_%2050_STATE_REPORT_</w:t>
        </w:r>
      </w:hyperlink>
      <w:r>
        <w:rPr>
          <w:color w:val="3953A4"/>
          <w:spacing w:val="-52"/>
          <w:vertAlign w:val="baseline"/>
        </w:rPr>
        <w:t> </w:t>
      </w:r>
      <w:hyperlink r:id="rId305">
        <w:r>
          <w:rPr>
            <w:color w:val="3953A4"/>
            <w:u w:val="single" w:color="3953A4"/>
            <w:vertAlign w:val="baseline"/>
          </w:rPr>
          <w:t>SPRING_2020_FINAL.pdf</w:t>
        </w:r>
      </w:hyperlink>
    </w:p>
    <w:p>
      <w:pPr>
        <w:pStyle w:val="BodyText"/>
        <w:tabs>
          <w:tab w:pos="479" w:val="left" w:leader="none"/>
        </w:tabs>
        <w:spacing w:line="228" w:lineRule="auto" w:before="88"/>
        <w:ind w:left="480" w:right="890" w:hanging="360"/>
      </w:pPr>
      <w:r>
        <w:rPr>
          <w:color w:val="231F20"/>
          <w:vertAlign w:val="superscript"/>
        </w:rPr>
        <w:t>56</w:t>
      </w:r>
      <w:r>
        <w:rPr>
          <w:color w:val="231F20"/>
          <w:vertAlign w:val="baseline"/>
        </w:rPr>
        <w:tab/>
        <w:t>American Medical Association. (2019). </w:t>
      </w:r>
      <w:r>
        <w:rPr>
          <w:i/>
          <w:color w:val="231F20"/>
          <w:vertAlign w:val="baseline"/>
        </w:rPr>
        <w:t>AMA</w:t>
      </w:r>
      <w:r>
        <w:rPr>
          <w:i/>
          <w:color w:val="231F20"/>
          <w:spacing w:val="1"/>
          <w:vertAlign w:val="baseline"/>
        </w:rPr>
        <w:t> </w:t>
      </w:r>
      <w:r>
        <w:rPr>
          <w:i/>
          <w:color w:val="231F20"/>
          <w:vertAlign w:val="baseline"/>
        </w:rPr>
        <w:t>telehealth quick guide</w:t>
      </w:r>
      <w:r>
        <w:rPr>
          <w:color w:val="231F20"/>
          <w:vertAlign w:val="baseline"/>
        </w:rPr>
        <w:t>. </w:t>
      </w:r>
      <w:hyperlink r:id="rId245">
        <w:r>
          <w:rPr>
            <w:color w:val="3953A4"/>
            <w:u w:val="single" w:color="3953A4"/>
            <w:vertAlign w:val="baseline"/>
          </w:rPr>
          <w:t>https://www.ama-assn.org/</w:t>
        </w:r>
      </w:hyperlink>
      <w:r>
        <w:rPr>
          <w:color w:val="3953A4"/>
          <w:spacing w:val="1"/>
          <w:vertAlign w:val="baseline"/>
        </w:rPr>
        <w:t> </w:t>
      </w:r>
      <w:hyperlink r:id="rId245">
        <w:r>
          <w:rPr>
            <w:color w:val="3953A4"/>
            <w:u w:val="single" w:color="3953A4"/>
            <w:vertAlign w:val="baseline"/>
          </w:rPr>
          <w:t>practice-management/digital/ama-telehealth-quick-</w:t>
        </w:r>
      </w:hyperlink>
      <w:r>
        <w:rPr>
          <w:color w:val="3953A4"/>
          <w:spacing w:val="-53"/>
          <w:vertAlign w:val="baseline"/>
        </w:rPr>
        <w:t> </w:t>
      </w:r>
      <w:hyperlink r:id="rId245">
        <w:r>
          <w:rPr>
            <w:color w:val="3953A4"/>
            <w:u w:val="single" w:color="3953A4"/>
            <w:vertAlign w:val="baseline"/>
          </w:rPr>
          <w:t>guide</w:t>
        </w:r>
      </w:hyperlink>
    </w:p>
    <w:p>
      <w:pPr>
        <w:spacing w:after="0" w:line="228" w:lineRule="auto"/>
        <w:sectPr>
          <w:type w:val="continuous"/>
          <w:pgSz w:w="12240" w:h="15840"/>
          <w:pgMar w:header="0" w:footer="666" w:top="1500" w:bottom="0" w:left="600" w:right="0"/>
          <w:cols w:num="2" w:equalWidth="0">
            <w:col w:w="5185" w:space="575"/>
            <w:col w:w="5880"/>
          </w:cols>
        </w:sectPr>
      </w:pPr>
    </w:p>
    <w:p>
      <w:pPr>
        <w:pStyle w:val="BodyText"/>
        <w:rPr>
          <w:sz w:val="20"/>
        </w:rPr>
      </w:pPr>
    </w:p>
    <w:p>
      <w:pPr>
        <w:pStyle w:val="BodyText"/>
        <w:spacing w:before="2"/>
        <w:rPr>
          <w:sz w:val="27"/>
        </w:rPr>
      </w:pPr>
    </w:p>
    <w:p>
      <w:pPr>
        <w:pStyle w:val="BodyText"/>
        <w:tabs>
          <w:tab w:pos="479" w:val="left" w:leader="none"/>
        </w:tabs>
        <w:spacing w:line="228" w:lineRule="auto" w:before="101"/>
        <w:ind w:left="480" w:right="6624" w:hanging="360"/>
      </w:pPr>
      <w:r>
        <w:rPr>
          <w:color w:val="231F20"/>
          <w:vertAlign w:val="superscript"/>
        </w:rPr>
        <w:t>57</w:t>
      </w:r>
      <w:r>
        <w:rPr>
          <w:color w:val="231F20"/>
          <w:vertAlign w:val="baseline"/>
        </w:rPr>
        <w:tab/>
      </w:r>
      <w:r>
        <w:rPr>
          <w:color w:val="231F20"/>
          <w:w w:val="95"/>
          <w:vertAlign w:val="baseline"/>
        </w:rPr>
        <w:t>Hoffman,</w:t>
      </w:r>
      <w:r>
        <w:rPr>
          <w:color w:val="231F20"/>
          <w:spacing w:val="12"/>
          <w:w w:val="95"/>
          <w:vertAlign w:val="baseline"/>
        </w:rPr>
        <w:t> </w:t>
      </w:r>
      <w:r>
        <w:rPr>
          <w:color w:val="231F20"/>
          <w:w w:val="95"/>
          <w:vertAlign w:val="baseline"/>
        </w:rPr>
        <w:t>J.</w:t>
      </w:r>
      <w:r>
        <w:rPr>
          <w:color w:val="231F20"/>
          <w:spacing w:val="-1"/>
          <w:w w:val="95"/>
          <w:vertAlign w:val="baseline"/>
        </w:rPr>
        <w:t> </w:t>
      </w:r>
      <w:r>
        <w:rPr>
          <w:color w:val="231F20"/>
          <w:w w:val="95"/>
          <w:vertAlign w:val="baseline"/>
        </w:rPr>
        <w:t>A.,</w:t>
      </w:r>
      <w:r>
        <w:rPr>
          <w:color w:val="231F20"/>
          <w:spacing w:val="13"/>
          <w:w w:val="95"/>
          <w:vertAlign w:val="baseline"/>
        </w:rPr>
        <w:t> </w:t>
      </w:r>
      <w:r>
        <w:rPr>
          <w:color w:val="231F20"/>
          <w:w w:val="95"/>
          <w:vertAlign w:val="baseline"/>
        </w:rPr>
        <w:t>Cunningham,</w:t>
      </w:r>
      <w:r>
        <w:rPr>
          <w:color w:val="231F20"/>
          <w:spacing w:val="14"/>
          <w:w w:val="95"/>
          <w:vertAlign w:val="baseline"/>
        </w:rPr>
        <w:t> </w:t>
      </w:r>
      <w:r>
        <w:rPr>
          <w:color w:val="231F20"/>
          <w:w w:val="95"/>
          <w:vertAlign w:val="baseline"/>
        </w:rPr>
        <w:t>J.</w:t>
      </w:r>
      <w:r>
        <w:rPr>
          <w:color w:val="231F20"/>
          <w:spacing w:val="13"/>
          <w:w w:val="95"/>
          <w:vertAlign w:val="baseline"/>
        </w:rPr>
        <w:t> </w:t>
      </w:r>
      <w:r>
        <w:rPr>
          <w:color w:val="231F20"/>
          <w:w w:val="95"/>
          <w:vertAlign w:val="baseline"/>
        </w:rPr>
        <w:t>R.,</w:t>
      </w:r>
      <w:r>
        <w:rPr>
          <w:color w:val="231F20"/>
          <w:spacing w:val="14"/>
          <w:w w:val="95"/>
          <w:vertAlign w:val="baseline"/>
        </w:rPr>
        <w:t> </w:t>
      </w:r>
      <w:r>
        <w:rPr>
          <w:color w:val="231F20"/>
          <w:w w:val="95"/>
          <w:vertAlign w:val="baseline"/>
        </w:rPr>
        <w:t>Suleh,</w:t>
      </w:r>
      <w:r>
        <w:rPr>
          <w:color w:val="231F20"/>
          <w:spacing w:val="-1"/>
          <w:w w:val="95"/>
          <w:vertAlign w:val="baseline"/>
        </w:rPr>
        <w:t> </w:t>
      </w:r>
      <w:r>
        <w:rPr>
          <w:color w:val="231F20"/>
          <w:w w:val="95"/>
          <w:vertAlign w:val="baseline"/>
        </w:rPr>
        <w:t>A.</w:t>
      </w:r>
      <w:r>
        <w:rPr>
          <w:color w:val="231F20"/>
          <w:spacing w:val="13"/>
          <w:w w:val="95"/>
          <w:vertAlign w:val="baseline"/>
        </w:rPr>
        <w:t> </w:t>
      </w:r>
      <w:r>
        <w:rPr>
          <w:color w:val="231F20"/>
          <w:w w:val="95"/>
          <w:vertAlign w:val="baseline"/>
        </w:rPr>
        <w:t>J.,</w:t>
      </w:r>
      <w:r>
        <w:rPr>
          <w:color w:val="231F20"/>
          <w:spacing w:val="1"/>
          <w:w w:val="95"/>
          <w:vertAlign w:val="baseline"/>
        </w:rPr>
        <w:t> </w:t>
      </w:r>
      <w:r>
        <w:rPr>
          <w:color w:val="231F20"/>
          <w:spacing w:val="-3"/>
          <w:vertAlign w:val="baseline"/>
        </w:rPr>
        <w:t>Sundsmo, A., Dekker, </w:t>
      </w:r>
      <w:r>
        <w:rPr>
          <w:color w:val="231F20"/>
          <w:spacing w:val="-2"/>
          <w:vertAlign w:val="baseline"/>
        </w:rPr>
        <w:t>D., Vago, F., Munly, K.,</w:t>
      </w:r>
      <w:r>
        <w:rPr>
          <w:color w:val="231F20"/>
          <w:spacing w:val="-1"/>
          <w:vertAlign w:val="baseline"/>
        </w:rPr>
        <w:t> </w:t>
      </w:r>
      <w:r>
        <w:rPr>
          <w:color w:val="231F20"/>
          <w:vertAlign w:val="baseline"/>
        </w:rPr>
        <w:t>Igonya, E. K., &amp; Hunt-Glassman, J. (2010). Mobile</w:t>
      </w:r>
      <w:r>
        <w:rPr>
          <w:color w:val="231F20"/>
          <w:spacing w:val="-53"/>
          <w:vertAlign w:val="baseline"/>
        </w:rPr>
        <w:t> </w:t>
      </w:r>
      <w:r>
        <w:rPr>
          <w:color w:val="231F20"/>
          <w:vertAlign w:val="baseline"/>
        </w:rPr>
        <w:t>direct observation treatment for tuberculosis</w:t>
      </w:r>
      <w:r>
        <w:rPr>
          <w:color w:val="231F20"/>
          <w:spacing w:val="1"/>
          <w:vertAlign w:val="baseline"/>
        </w:rPr>
        <w:t> </w:t>
      </w:r>
      <w:r>
        <w:rPr>
          <w:color w:val="231F20"/>
          <w:vertAlign w:val="baseline"/>
        </w:rPr>
        <w:t>patients: A technical feasibility pilot using mobile</w:t>
      </w:r>
      <w:r>
        <w:rPr>
          <w:color w:val="231F20"/>
          <w:spacing w:val="1"/>
          <w:vertAlign w:val="baseline"/>
        </w:rPr>
        <w:t> </w:t>
      </w:r>
      <w:r>
        <w:rPr>
          <w:color w:val="231F20"/>
          <w:vertAlign w:val="baseline"/>
        </w:rPr>
        <w:t>phones in Nairobi, Kenya. </w:t>
      </w:r>
      <w:r>
        <w:rPr>
          <w:i/>
          <w:color w:val="231F20"/>
          <w:vertAlign w:val="baseline"/>
        </w:rPr>
        <w:t>American Journal of</w:t>
      </w:r>
      <w:r>
        <w:rPr>
          <w:i/>
          <w:color w:val="231F20"/>
          <w:spacing w:val="1"/>
          <w:vertAlign w:val="baseline"/>
        </w:rPr>
        <w:t> </w:t>
      </w:r>
      <w:r>
        <w:rPr>
          <w:i/>
          <w:color w:val="231F20"/>
          <w:vertAlign w:val="baseline"/>
        </w:rPr>
        <w:t>Preventive Medicine, 39</w:t>
      </w:r>
      <w:r>
        <w:rPr>
          <w:color w:val="231F20"/>
          <w:vertAlign w:val="baseline"/>
        </w:rPr>
        <w:t>(1), 78-80. </w:t>
      </w:r>
      <w:hyperlink r:id="rId219">
        <w:r>
          <w:rPr>
            <w:color w:val="3953A4"/>
            <w:u w:val="single" w:color="3953A4"/>
            <w:vertAlign w:val="baseline"/>
          </w:rPr>
          <w:t>https://doi.</w:t>
        </w:r>
      </w:hyperlink>
      <w:r>
        <w:rPr>
          <w:color w:val="3953A4"/>
          <w:spacing w:val="1"/>
          <w:vertAlign w:val="baseline"/>
        </w:rPr>
        <w:t> </w:t>
      </w:r>
      <w:hyperlink r:id="rId219">
        <w:r>
          <w:rPr>
            <w:color w:val="3953A4"/>
            <w:u w:val="single" w:color="3953A4"/>
            <w:vertAlign w:val="baseline"/>
          </w:rPr>
          <w:t>org/10.1016/j.amepre.2010.02.018</w:t>
        </w:r>
      </w:hyperlink>
    </w:p>
    <w:p>
      <w:pPr>
        <w:pStyle w:val="BodyText"/>
        <w:spacing w:line="228" w:lineRule="auto" w:before="87"/>
        <w:ind w:left="480" w:right="6708" w:hanging="360"/>
        <w:jc w:val="both"/>
      </w:pPr>
      <w:r>
        <w:rPr>
          <w:color w:val="231F20"/>
          <w:vertAlign w:val="superscript"/>
        </w:rPr>
        <w:t>58</w:t>
      </w:r>
      <w:r>
        <w:rPr>
          <w:color w:val="231F20"/>
          <w:spacing w:val="1"/>
          <w:vertAlign w:val="baseline"/>
        </w:rPr>
        <w:t> </w:t>
      </w:r>
      <w:r>
        <w:rPr>
          <w:color w:val="231F20"/>
          <w:vertAlign w:val="baseline"/>
        </w:rPr>
        <w:t>Center for Connected Health Policy. (2021). </w:t>
      </w:r>
      <w:r>
        <w:rPr>
          <w:i/>
          <w:color w:val="231F20"/>
          <w:vertAlign w:val="baseline"/>
        </w:rPr>
        <w:t>Cross</w:t>
      </w:r>
      <w:r>
        <w:rPr>
          <w:i/>
          <w:color w:val="231F20"/>
          <w:spacing w:val="-52"/>
          <w:vertAlign w:val="baseline"/>
        </w:rPr>
        <w:t> </w:t>
      </w:r>
      <w:r>
        <w:rPr>
          <w:i/>
          <w:color w:val="231F20"/>
          <w:spacing w:val="-1"/>
          <w:vertAlign w:val="baseline"/>
        </w:rPr>
        <w:t>state</w:t>
      </w:r>
      <w:r>
        <w:rPr>
          <w:i/>
          <w:color w:val="231F20"/>
          <w:spacing w:val="-13"/>
          <w:vertAlign w:val="baseline"/>
        </w:rPr>
        <w:t> </w:t>
      </w:r>
      <w:r>
        <w:rPr>
          <w:i/>
          <w:color w:val="231F20"/>
          <w:vertAlign w:val="baseline"/>
        </w:rPr>
        <w:t>licensing</w:t>
      </w:r>
      <w:r>
        <w:rPr>
          <w:color w:val="231F20"/>
          <w:vertAlign w:val="baseline"/>
        </w:rPr>
        <w:t>.</w:t>
      </w:r>
      <w:r>
        <w:rPr>
          <w:color w:val="231F20"/>
          <w:spacing w:val="-12"/>
          <w:vertAlign w:val="baseline"/>
        </w:rPr>
        <w:t> </w:t>
      </w:r>
      <w:hyperlink r:id="rId306">
        <w:r>
          <w:rPr>
            <w:color w:val="3953A4"/>
            <w:u w:val="single" w:color="3953A4"/>
            <w:vertAlign w:val="baseline"/>
          </w:rPr>
          <w:t>https://www.cchpca.org/telehealth-</w:t>
        </w:r>
      </w:hyperlink>
      <w:r>
        <w:rPr>
          <w:color w:val="3953A4"/>
          <w:spacing w:val="-53"/>
          <w:vertAlign w:val="baseline"/>
        </w:rPr>
        <w:t> </w:t>
      </w:r>
      <w:hyperlink r:id="rId306">
        <w:r>
          <w:rPr>
            <w:color w:val="3953A4"/>
            <w:u w:val="single" w:color="3953A4"/>
            <w:vertAlign w:val="baseline"/>
          </w:rPr>
          <w:t>policy/cross-state-licensing</w:t>
        </w:r>
      </w:hyperlink>
    </w:p>
    <w:p>
      <w:pPr>
        <w:spacing w:after="0" w:line="228" w:lineRule="auto"/>
        <w:jc w:val="both"/>
        <w:sectPr>
          <w:pgSz w:w="12240" w:h="15840"/>
          <w:pgMar w:header="0" w:footer="666" w:top="380" w:bottom="860" w:left="600" w:right="0"/>
        </w:sectPr>
      </w:pPr>
    </w:p>
    <w:p>
      <w:pPr>
        <w:pStyle w:val="BodyText"/>
        <w:ind w:left="-600"/>
        <w:rPr>
          <w:sz w:val="20"/>
        </w:rPr>
      </w:pPr>
      <w:bookmarkStart w:name="_bookmark4" w:id="30"/>
      <w:bookmarkEnd w:id="30"/>
      <w:r>
        <w:rPr/>
      </w:r>
      <w:r>
        <w:rPr>
          <w:sz w:val="20"/>
        </w:rPr>
        <w:pict>
          <v:group style="width:119.55pt;height:111.25pt;mso-position-horizontal-relative:char;mso-position-vertical-relative:line" id="docshapegroup143" coordorigin="0,0" coordsize="2391,2225">
            <v:rect style="position:absolute;left:0;top:0;width:720;height:394" id="docshape144" filled="true" fillcolor="#1d384a" stroked="false">
              <v:fill type="solid"/>
            </v:rect>
            <v:shape style="position:absolute;left:720;top:0;width:1671;height:2225" type="#_x0000_t202" id="docshape145" filled="true" fillcolor="#cf382d" stroked="false">
              <v:textbox inset="0,0,0,0">
                <w:txbxContent>
                  <w:p>
                    <w:pPr>
                      <w:spacing w:line="1580" w:lineRule="exact" w:before="644"/>
                      <w:ind w:left="354" w:right="0" w:firstLine="0"/>
                      <w:jc w:val="left"/>
                      <w:rPr>
                        <w:rFonts w:ascii="Arial"/>
                        <w:color w:val="000000"/>
                        <w:sz w:val="16"/>
                      </w:rPr>
                    </w:pPr>
                    <w:bookmarkStart w:name="4. Examples of Telehealth Implementation" w:id="31"/>
                    <w:bookmarkEnd w:id="31"/>
                    <w:r>
                      <w:rPr>
                        <w:color w:val="000000"/>
                      </w:rPr>
                    </w:r>
                    <w:r>
                      <w:rPr>
                        <w:rFonts w:ascii="Arial Black"/>
                        <w:color w:val="FFFFFF"/>
                        <w:spacing w:val="-911"/>
                        <w:position w:val="-119"/>
                        <w:sz w:val="144"/>
                      </w:rPr>
                      <w:t>4</w:t>
                    </w:r>
                    <w:r>
                      <w:rPr>
                        <w:rFonts w:ascii="Arial"/>
                        <w:color w:val="FFFFFF"/>
                        <w:spacing w:val="16"/>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spacing w:before="9"/>
        <w:rPr>
          <w:sz w:val="18"/>
        </w:rPr>
      </w:pPr>
    </w:p>
    <w:p>
      <w:pPr>
        <w:pStyle w:val="Heading1"/>
        <w:spacing w:line="196" w:lineRule="auto" w:before="179"/>
        <w:ind w:right="7074"/>
      </w:pPr>
      <w:r>
        <w:rPr/>
        <w:pict>
          <v:group style="position:absolute;margin-left:119.519997pt;margin-top:-158.316803pt;width:492.5pt;height:271.9pt;mso-position-horizontal-relative:page;mso-position-vertical-relative:paragraph;z-index:-17868800" id="docshapegroup146" coordorigin="2390,-3166" coordsize="9850,5438">
            <v:rect style="position:absolute;left:2390;top:-3167;width:9850;height:394" id="docshape147" filled="true" fillcolor="#1d384a" stroked="false">
              <v:fill type="solid"/>
            </v:rect>
            <v:shape style="position:absolute;left:6480;top:-2773;width:5760;height:5044" type="#_x0000_t75" id="docshape148" stroked="false">
              <v:imagedata r:id="rId309" o:title=""/>
            </v:shape>
            <w10:wrap type="none"/>
          </v:group>
        </w:pict>
      </w:r>
      <w:r>
        <w:rPr>
          <w:color w:val="1C384B"/>
        </w:rPr>
        <w:t>Examples of</w:t>
      </w:r>
      <w:r>
        <w:rPr>
          <w:color w:val="1C384B"/>
          <w:spacing w:val="1"/>
        </w:rPr>
        <w:t> </w:t>
      </w:r>
      <w:r>
        <w:rPr>
          <w:color w:val="1C384B"/>
        </w:rPr>
        <w:t>Telehealth</w:t>
      </w:r>
      <w:r>
        <w:rPr>
          <w:color w:val="1C384B"/>
          <w:spacing w:val="1"/>
        </w:rPr>
        <w:t> </w:t>
      </w:r>
      <w:r>
        <w:rPr>
          <w:color w:val="1C384B"/>
        </w:rPr>
        <w:t>Implementation in</w:t>
      </w:r>
      <w:r>
        <w:rPr>
          <w:color w:val="1C384B"/>
          <w:spacing w:val="1"/>
        </w:rPr>
        <w:t> </w:t>
      </w:r>
      <w:r>
        <w:rPr>
          <w:color w:val="1C384B"/>
          <w:spacing w:val="-4"/>
        </w:rPr>
        <w:t>Treatment</w:t>
      </w:r>
      <w:r>
        <w:rPr>
          <w:color w:val="1C384B"/>
          <w:spacing w:val="-25"/>
        </w:rPr>
        <w:t> </w:t>
      </w:r>
      <w:r>
        <w:rPr>
          <w:color w:val="1C384B"/>
          <w:spacing w:val="-3"/>
        </w:rPr>
        <w:t>Programs</w:t>
      </w:r>
    </w:p>
    <w:p>
      <w:pPr>
        <w:pStyle w:val="BodyText"/>
        <w:rPr>
          <w:rFonts w:ascii="Arial Black"/>
          <w:sz w:val="20"/>
        </w:rPr>
      </w:pPr>
    </w:p>
    <w:p>
      <w:pPr>
        <w:pStyle w:val="BodyText"/>
        <w:spacing w:before="3"/>
        <w:rPr>
          <w:rFonts w:ascii="Arial Black"/>
          <w:sz w:val="11"/>
        </w:rPr>
      </w:pPr>
      <w:r>
        <w:rPr/>
        <w:pict>
          <v:shape style="position:absolute;margin-left:35.5pt;margin-top:9.145996pt;width:252.5pt;height:.1pt;mso-position-horizontal-relative:page;mso-position-vertical-relative:paragraph;z-index:-15706112;mso-wrap-distance-left:0;mso-wrap-distance-right:0" id="docshape149" coordorigin="710,183" coordsize="5050,0" path="m710,183l5760,183e" filled="false" stroked="true" strokeweight="1pt" strokecolor="#ce372e">
            <v:path arrowok="t"/>
            <v:stroke dashstyle="solid"/>
            <w10:wrap type="topAndBottom"/>
          </v:shape>
        </w:pict>
      </w:r>
    </w:p>
    <w:p>
      <w:pPr>
        <w:pStyle w:val="BodyText"/>
        <w:spacing w:before="8"/>
        <w:rPr>
          <w:rFonts w:ascii="Arial Black"/>
          <w:sz w:val="16"/>
        </w:rPr>
      </w:pPr>
    </w:p>
    <w:p>
      <w:pPr>
        <w:spacing w:after="0"/>
        <w:rPr>
          <w:rFonts w:ascii="Arial Black"/>
          <w:sz w:val="16"/>
        </w:rPr>
        <w:sectPr>
          <w:headerReference w:type="default" r:id="rId307"/>
          <w:footerReference w:type="default" r:id="rId308"/>
          <w:pgSz w:w="12240" w:h="15840"/>
          <w:pgMar w:header="0" w:footer="666" w:top="0" w:bottom="860" w:left="600" w:right="0"/>
        </w:sectPr>
      </w:pPr>
    </w:p>
    <w:p>
      <w:pPr>
        <w:pStyle w:val="BodyText"/>
        <w:spacing w:line="266" w:lineRule="auto" w:before="115"/>
        <w:ind w:left="120" w:right="85"/>
      </w:pPr>
      <w:r>
        <w:rPr>
          <w:color w:val="231F20"/>
        </w:rPr>
        <w:t>This chapter provides three examples of organizations</w:t>
      </w:r>
      <w:r>
        <w:rPr>
          <w:color w:val="231F20"/>
          <w:spacing w:val="1"/>
        </w:rPr>
        <w:t> </w:t>
      </w:r>
      <w:r>
        <w:rPr>
          <w:color w:val="231F20"/>
        </w:rPr>
        <w:t>that provide the telehealth-delivered practices discussed</w:t>
      </w:r>
      <w:r>
        <w:rPr>
          <w:color w:val="231F20"/>
          <w:spacing w:val="-52"/>
        </w:rPr>
        <w:t> </w:t>
      </w:r>
      <w:r>
        <w:rPr>
          <w:color w:val="231F20"/>
        </w:rPr>
        <w:t>in Chapter 2 to treat serious mental illness (SMI) and</w:t>
      </w:r>
      <w:r>
        <w:rPr>
          <w:color w:val="231F20"/>
          <w:spacing w:val="1"/>
        </w:rPr>
        <w:t> </w:t>
      </w:r>
      <w:r>
        <w:rPr>
          <w:color w:val="231F20"/>
        </w:rPr>
        <w:t>substance use disorder (SUD):</w:t>
      </w:r>
    </w:p>
    <w:p>
      <w:pPr>
        <w:pStyle w:val="ListParagraph"/>
        <w:numPr>
          <w:ilvl w:val="1"/>
          <w:numId w:val="5"/>
        </w:numPr>
        <w:tabs>
          <w:tab w:pos="839" w:val="left" w:leader="none"/>
          <w:tab w:pos="840" w:val="left" w:leader="none"/>
        </w:tabs>
        <w:spacing w:line="264" w:lineRule="auto" w:before="161" w:after="0"/>
        <w:ind w:left="839" w:right="237" w:hanging="360"/>
        <w:jc w:val="left"/>
        <w:rPr>
          <w:rFonts w:ascii="Symbol" w:hAnsi="Symbol"/>
          <w:color w:val="010202"/>
          <w:sz w:val="22"/>
        </w:rPr>
      </w:pPr>
      <w:r>
        <w:rPr>
          <w:color w:val="010202"/>
          <w:sz w:val="22"/>
        </w:rPr>
        <w:t>Eastern Shore Mobile Care Collaborative</w:t>
      </w:r>
      <w:r>
        <w:rPr>
          <w:color w:val="010202"/>
          <w:spacing w:val="1"/>
          <w:sz w:val="22"/>
        </w:rPr>
        <w:t> </w:t>
      </w:r>
      <w:r>
        <w:rPr>
          <w:color w:val="010202"/>
          <w:sz w:val="22"/>
        </w:rPr>
        <w:t>(ESMCC) at the Caroline County Health</w:t>
      </w:r>
      <w:r>
        <w:rPr>
          <w:color w:val="010202"/>
          <w:spacing w:val="1"/>
          <w:sz w:val="22"/>
        </w:rPr>
        <w:t> </w:t>
      </w:r>
      <w:r>
        <w:rPr>
          <w:color w:val="010202"/>
          <w:sz w:val="22"/>
        </w:rPr>
        <w:t>Department in partnership with the University</w:t>
      </w:r>
      <w:r>
        <w:rPr>
          <w:color w:val="010202"/>
          <w:spacing w:val="-52"/>
          <w:sz w:val="22"/>
        </w:rPr>
        <w:t> </w:t>
      </w:r>
      <w:r>
        <w:rPr>
          <w:color w:val="010202"/>
          <w:sz w:val="22"/>
        </w:rPr>
        <w:t>of Maryland School of Medicine, Division of</w:t>
      </w:r>
      <w:r>
        <w:rPr>
          <w:color w:val="010202"/>
          <w:spacing w:val="1"/>
          <w:sz w:val="22"/>
        </w:rPr>
        <w:t> </w:t>
      </w:r>
      <w:r>
        <w:rPr>
          <w:color w:val="010202"/>
          <w:sz w:val="22"/>
        </w:rPr>
        <w:t>Addiction</w:t>
      </w:r>
      <w:r>
        <w:rPr>
          <w:color w:val="010202"/>
          <w:spacing w:val="-1"/>
          <w:sz w:val="22"/>
        </w:rPr>
        <w:t> </w:t>
      </w:r>
      <w:r>
        <w:rPr>
          <w:color w:val="010202"/>
          <w:sz w:val="22"/>
        </w:rPr>
        <w:t>Research and</w:t>
      </w:r>
      <w:r>
        <w:rPr>
          <w:color w:val="010202"/>
          <w:spacing w:val="-6"/>
          <w:sz w:val="22"/>
        </w:rPr>
        <w:t> </w:t>
      </w:r>
      <w:r>
        <w:rPr>
          <w:color w:val="010202"/>
          <w:sz w:val="22"/>
        </w:rPr>
        <w:t>Treatment</w:t>
      </w:r>
    </w:p>
    <w:p>
      <w:pPr>
        <w:pStyle w:val="ListParagraph"/>
        <w:numPr>
          <w:ilvl w:val="1"/>
          <w:numId w:val="5"/>
        </w:numPr>
        <w:tabs>
          <w:tab w:pos="839" w:val="left" w:leader="none"/>
          <w:tab w:pos="840" w:val="left" w:leader="none"/>
        </w:tabs>
        <w:spacing w:line="264" w:lineRule="auto" w:before="38" w:after="0"/>
        <w:ind w:left="839" w:right="78" w:hanging="360"/>
        <w:jc w:val="left"/>
        <w:rPr>
          <w:rFonts w:ascii="Symbol" w:hAnsi="Symbol"/>
          <w:color w:val="010202"/>
          <w:sz w:val="22"/>
        </w:rPr>
      </w:pPr>
      <w:r>
        <w:rPr>
          <w:color w:val="010202"/>
          <w:sz w:val="22"/>
        </w:rPr>
        <w:t>Citywide Case Management Program at the</w:t>
      </w:r>
      <w:r>
        <w:rPr>
          <w:color w:val="010202"/>
          <w:spacing w:val="1"/>
          <w:sz w:val="22"/>
        </w:rPr>
        <w:t> </w:t>
      </w:r>
      <w:r>
        <w:rPr>
          <w:color w:val="010202"/>
          <w:sz w:val="22"/>
        </w:rPr>
        <w:t>University of California San Francisco (UCSF)/</w:t>
      </w:r>
      <w:r>
        <w:rPr>
          <w:color w:val="010202"/>
          <w:spacing w:val="-52"/>
          <w:sz w:val="22"/>
        </w:rPr>
        <w:t> </w:t>
      </w:r>
      <w:r>
        <w:rPr>
          <w:color w:val="010202"/>
          <w:sz w:val="22"/>
        </w:rPr>
        <w:t>Zuckerberg San Francisco General (ZSFG)</w:t>
      </w:r>
      <w:r>
        <w:rPr>
          <w:color w:val="010202"/>
          <w:spacing w:val="1"/>
          <w:sz w:val="22"/>
        </w:rPr>
        <w:t> </w:t>
      </w:r>
      <w:r>
        <w:rPr>
          <w:color w:val="010202"/>
          <w:sz w:val="22"/>
        </w:rPr>
        <w:t>Department of Psychiatry</w:t>
      </w:r>
    </w:p>
    <w:p>
      <w:pPr>
        <w:pStyle w:val="ListParagraph"/>
        <w:numPr>
          <w:ilvl w:val="1"/>
          <w:numId w:val="5"/>
        </w:numPr>
        <w:tabs>
          <w:tab w:pos="839" w:val="left" w:leader="none"/>
          <w:tab w:pos="840" w:val="left" w:leader="none"/>
        </w:tabs>
        <w:spacing w:line="264" w:lineRule="auto" w:before="35" w:after="0"/>
        <w:ind w:left="839" w:right="115" w:hanging="360"/>
        <w:jc w:val="left"/>
        <w:rPr>
          <w:rFonts w:ascii="Symbol" w:hAnsi="Symbol"/>
          <w:color w:val="010202"/>
          <w:sz w:val="22"/>
        </w:rPr>
      </w:pPr>
      <w:r>
        <w:rPr>
          <w:color w:val="010202"/>
          <w:spacing w:val="-1"/>
          <w:sz w:val="22"/>
        </w:rPr>
        <w:t>Respectful, Equitable </w:t>
      </w:r>
      <w:r>
        <w:rPr>
          <w:color w:val="010202"/>
          <w:sz w:val="22"/>
        </w:rPr>
        <w:t>Access to Compassionate</w:t>
      </w:r>
      <w:r>
        <w:rPr>
          <w:color w:val="010202"/>
          <w:spacing w:val="-52"/>
          <w:sz w:val="22"/>
        </w:rPr>
        <w:t> </w:t>
      </w:r>
      <w:r>
        <w:rPr>
          <w:color w:val="010202"/>
          <w:sz w:val="22"/>
        </w:rPr>
        <w:t>Healthcare (REACH)</w:t>
      </w:r>
      <w:r>
        <w:rPr>
          <w:color w:val="010202"/>
          <w:spacing w:val="-1"/>
          <w:sz w:val="22"/>
        </w:rPr>
        <w:t> </w:t>
      </w:r>
      <w:r>
        <w:rPr>
          <w:color w:val="010202"/>
          <w:sz w:val="22"/>
        </w:rPr>
        <w:t>Project in Ithaca, NY</w:t>
      </w:r>
    </w:p>
    <w:p>
      <w:pPr>
        <w:pStyle w:val="BodyText"/>
        <w:spacing w:line="266" w:lineRule="auto" w:before="181"/>
        <w:ind w:left="119" w:right="36"/>
      </w:pPr>
      <w:r>
        <w:rPr>
          <w:color w:val="231F20"/>
          <w:spacing w:val="-2"/>
        </w:rPr>
        <w:t>The</w:t>
      </w:r>
      <w:r>
        <w:rPr>
          <w:color w:val="231F20"/>
          <w:spacing w:val="-11"/>
        </w:rPr>
        <w:t> </w:t>
      </w:r>
      <w:r>
        <w:rPr>
          <w:color w:val="231F20"/>
          <w:spacing w:val="-2"/>
        </w:rPr>
        <w:t>three</w:t>
      </w:r>
      <w:r>
        <w:rPr>
          <w:color w:val="231F20"/>
          <w:spacing w:val="-11"/>
        </w:rPr>
        <w:t> </w:t>
      </w:r>
      <w:r>
        <w:rPr>
          <w:color w:val="231F20"/>
          <w:spacing w:val="-2"/>
        </w:rPr>
        <w:t>programs</w:t>
      </w:r>
      <w:r>
        <w:rPr>
          <w:color w:val="231F20"/>
          <w:spacing w:val="-10"/>
        </w:rPr>
        <w:t> </w:t>
      </w:r>
      <w:r>
        <w:rPr>
          <w:color w:val="231F20"/>
          <w:spacing w:val="-2"/>
        </w:rPr>
        <w:t>highlighted</w:t>
      </w:r>
      <w:r>
        <w:rPr>
          <w:color w:val="231F20"/>
          <w:spacing w:val="-11"/>
        </w:rPr>
        <w:t> </w:t>
      </w:r>
      <w:r>
        <w:rPr>
          <w:color w:val="231F20"/>
          <w:spacing w:val="-1"/>
        </w:rPr>
        <w:t>in</w:t>
      </w:r>
      <w:r>
        <w:rPr>
          <w:color w:val="231F20"/>
          <w:spacing w:val="-10"/>
        </w:rPr>
        <w:t> </w:t>
      </w:r>
      <w:r>
        <w:rPr>
          <w:color w:val="231F20"/>
          <w:spacing w:val="-1"/>
        </w:rPr>
        <w:t>this</w:t>
      </w:r>
      <w:r>
        <w:rPr>
          <w:color w:val="231F20"/>
          <w:spacing w:val="-11"/>
        </w:rPr>
        <w:t> </w:t>
      </w:r>
      <w:r>
        <w:rPr>
          <w:color w:val="231F20"/>
          <w:spacing w:val="-1"/>
        </w:rPr>
        <w:t>chapter</w:t>
      </w:r>
      <w:r>
        <w:rPr>
          <w:color w:val="231F20"/>
          <w:spacing w:val="-10"/>
        </w:rPr>
        <w:t> </w:t>
      </w:r>
      <w:r>
        <w:rPr>
          <w:color w:val="231F20"/>
          <w:spacing w:val="-1"/>
        </w:rPr>
        <w:t>are</w:t>
      </w:r>
      <w:r>
        <w:rPr>
          <w:color w:val="231F20"/>
          <w:spacing w:val="-11"/>
        </w:rPr>
        <w:t> </w:t>
      </w:r>
      <w:r>
        <w:rPr>
          <w:color w:val="231F20"/>
          <w:spacing w:val="-1"/>
        </w:rPr>
        <w:t>diverse</w:t>
      </w:r>
      <w:r>
        <w:rPr>
          <w:color w:val="231F20"/>
          <w:spacing w:val="-52"/>
        </w:rPr>
        <w:t> </w:t>
      </w:r>
      <w:r>
        <w:rPr>
          <w:color w:val="231F20"/>
          <w:spacing w:val="-1"/>
        </w:rPr>
        <w:t>examples of programs and </w:t>
      </w:r>
      <w:r>
        <w:rPr>
          <w:color w:val="231F20"/>
        </w:rPr>
        <w:t>settings that are effectively</w:t>
      </w:r>
      <w:r>
        <w:rPr>
          <w:color w:val="231F20"/>
          <w:spacing w:val="1"/>
        </w:rPr>
        <w:t> </w:t>
      </w:r>
      <w:r>
        <w:rPr>
          <w:color w:val="231F20"/>
          <w:spacing w:val="-1"/>
        </w:rPr>
        <w:t>treating individuals with SMI and SUD </w:t>
      </w:r>
      <w:r>
        <w:rPr>
          <w:color w:val="231F20"/>
        </w:rPr>
        <w:t>using telehealth</w:t>
      </w:r>
      <w:r>
        <w:rPr>
          <w:color w:val="231F20"/>
          <w:spacing w:val="1"/>
        </w:rPr>
        <w:t> </w:t>
      </w:r>
      <w:r>
        <w:rPr>
          <w:color w:val="231F20"/>
          <w:spacing w:val="-1"/>
        </w:rPr>
        <w:t>modalities.</w:t>
      </w:r>
      <w:r>
        <w:rPr>
          <w:color w:val="231F20"/>
          <w:spacing w:val="-13"/>
        </w:rPr>
        <w:t> </w:t>
      </w:r>
      <w:r>
        <w:rPr>
          <w:color w:val="231F20"/>
          <w:spacing w:val="-1"/>
        </w:rPr>
        <w:t>The</w:t>
      </w:r>
      <w:r>
        <w:rPr>
          <w:color w:val="231F20"/>
          <w:spacing w:val="-9"/>
        </w:rPr>
        <w:t> </w:t>
      </w:r>
      <w:r>
        <w:rPr>
          <w:color w:val="231F20"/>
          <w:spacing w:val="-1"/>
        </w:rPr>
        <w:t>programs</w:t>
      </w:r>
      <w:r>
        <w:rPr>
          <w:color w:val="231F20"/>
          <w:spacing w:val="-9"/>
        </w:rPr>
        <w:t> </w:t>
      </w:r>
      <w:r>
        <w:rPr>
          <w:color w:val="231F20"/>
          <w:spacing w:val="-1"/>
        </w:rPr>
        <w:t>highlighted</w:t>
      </w:r>
      <w:r>
        <w:rPr>
          <w:color w:val="231F20"/>
          <w:spacing w:val="-8"/>
        </w:rPr>
        <w:t> </w:t>
      </w:r>
      <w:r>
        <w:rPr>
          <w:color w:val="231F20"/>
          <w:spacing w:val="-1"/>
        </w:rPr>
        <w:t>key</w:t>
      </w:r>
      <w:r>
        <w:rPr>
          <w:color w:val="231F20"/>
          <w:spacing w:val="-9"/>
        </w:rPr>
        <w:t> </w:t>
      </w:r>
      <w:r>
        <w:rPr>
          <w:color w:val="231F20"/>
          <w:spacing w:val="-1"/>
        </w:rPr>
        <w:t>themes:</w:t>
      </w:r>
    </w:p>
    <w:p>
      <w:pPr>
        <w:pStyle w:val="ListParagraph"/>
        <w:numPr>
          <w:ilvl w:val="1"/>
          <w:numId w:val="5"/>
        </w:numPr>
        <w:tabs>
          <w:tab w:pos="839" w:val="left" w:leader="none"/>
          <w:tab w:pos="840" w:val="left" w:leader="none"/>
        </w:tabs>
        <w:spacing w:line="264" w:lineRule="auto" w:before="162" w:after="0"/>
        <w:ind w:left="839" w:right="457" w:hanging="360"/>
        <w:jc w:val="left"/>
        <w:rPr>
          <w:rFonts w:ascii="Symbol" w:hAnsi="Symbol"/>
          <w:color w:val="010202"/>
          <w:sz w:val="22"/>
        </w:rPr>
      </w:pPr>
      <w:r>
        <w:rPr>
          <w:color w:val="010202"/>
          <w:sz w:val="22"/>
        </w:rPr>
        <w:t>Telephones are the least expensive and</w:t>
      </w:r>
      <w:r>
        <w:rPr>
          <w:color w:val="010202"/>
          <w:spacing w:val="1"/>
          <w:sz w:val="22"/>
        </w:rPr>
        <w:t> </w:t>
      </w:r>
      <w:r>
        <w:rPr>
          <w:color w:val="010202"/>
          <w:sz w:val="22"/>
        </w:rPr>
        <w:t>most accessible form of communication for</w:t>
      </w:r>
      <w:r>
        <w:rPr>
          <w:color w:val="010202"/>
          <w:spacing w:val="-52"/>
          <w:sz w:val="22"/>
        </w:rPr>
        <w:t> </w:t>
      </w:r>
      <w:r>
        <w:rPr>
          <w:color w:val="010202"/>
          <w:sz w:val="22"/>
        </w:rPr>
        <w:t>populations experiencing SMI and SUD,</w:t>
      </w:r>
      <w:r>
        <w:rPr>
          <w:color w:val="010202"/>
          <w:spacing w:val="1"/>
          <w:sz w:val="22"/>
        </w:rPr>
        <w:t> </w:t>
      </w:r>
      <w:r>
        <w:rPr>
          <w:color w:val="010202"/>
          <w:sz w:val="22"/>
        </w:rPr>
        <w:t>especially</w:t>
      </w:r>
      <w:r>
        <w:rPr>
          <w:color w:val="010202"/>
          <w:spacing w:val="-4"/>
          <w:sz w:val="22"/>
        </w:rPr>
        <w:t> </w:t>
      </w:r>
      <w:r>
        <w:rPr>
          <w:color w:val="010202"/>
          <w:sz w:val="22"/>
        </w:rPr>
        <w:t>Black,</w:t>
      </w:r>
      <w:r>
        <w:rPr>
          <w:color w:val="010202"/>
          <w:spacing w:val="-3"/>
          <w:sz w:val="22"/>
        </w:rPr>
        <w:t> </w:t>
      </w:r>
      <w:r>
        <w:rPr>
          <w:color w:val="010202"/>
          <w:sz w:val="22"/>
        </w:rPr>
        <w:t>Indigenous,</w:t>
      </w:r>
      <w:r>
        <w:rPr>
          <w:color w:val="010202"/>
          <w:spacing w:val="-3"/>
          <w:sz w:val="22"/>
        </w:rPr>
        <w:t> </w:t>
      </w:r>
      <w:r>
        <w:rPr>
          <w:color w:val="010202"/>
          <w:sz w:val="22"/>
        </w:rPr>
        <w:t>and</w:t>
      </w:r>
      <w:r>
        <w:rPr>
          <w:color w:val="010202"/>
          <w:spacing w:val="-3"/>
          <w:sz w:val="22"/>
        </w:rPr>
        <w:t> </w:t>
      </w:r>
      <w:r>
        <w:rPr>
          <w:color w:val="010202"/>
          <w:sz w:val="22"/>
        </w:rPr>
        <w:t>people</w:t>
      </w:r>
      <w:r>
        <w:rPr>
          <w:color w:val="010202"/>
          <w:spacing w:val="-3"/>
          <w:sz w:val="22"/>
        </w:rPr>
        <w:t> </w:t>
      </w:r>
      <w:r>
        <w:rPr>
          <w:color w:val="010202"/>
          <w:sz w:val="22"/>
        </w:rPr>
        <w:t>of</w:t>
      </w:r>
    </w:p>
    <w:p>
      <w:pPr>
        <w:pStyle w:val="BodyText"/>
        <w:spacing w:line="266" w:lineRule="auto" w:before="4"/>
        <w:ind w:left="839" w:right="36"/>
      </w:pPr>
      <w:r>
        <w:rPr>
          <w:color w:val="010202"/>
        </w:rPr>
        <w:t>color (BIPOC) and low-income populations.</w:t>
      </w:r>
      <w:r>
        <w:rPr>
          <w:color w:val="010202"/>
          <w:spacing w:val="1"/>
        </w:rPr>
        <w:t> </w:t>
      </w:r>
      <w:r>
        <w:rPr>
          <w:color w:val="010202"/>
        </w:rPr>
        <w:t>Telephone use should be encouraged, as it</w:t>
      </w:r>
      <w:r>
        <w:rPr>
          <w:color w:val="010202"/>
          <w:spacing w:val="1"/>
        </w:rPr>
        <w:t> </w:t>
      </w:r>
      <w:r>
        <w:rPr>
          <w:color w:val="010202"/>
        </w:rPr>
        <w:t>reduces prior structural and institutional barriers</w:t>
      </w:r>
      <w:r>
        <w:rPr>
          <w:color w:val="010202"/>
          <w:spacing w:val="-52"/>
        </w:rPr>
        <w:t> </w:t>
      </w:r>
      <w:r>
        <w:rPr>
          <w:color w:val="010202"/>
        </w:rPr>
        <w:t>that</w:t>
      </w:r>
      <w:r>
        <w:rPr>
          <w:color w:val="010202"/>
          <w:spacing w:val="-6"/>
        </w:rPr>
        <w:t> </w:t>
      </w:r>
      <w:r>
        <w:rPr>
          <w:color w:val="010202"/>
        </w:rPr>
        <w:t>have</w:t>
      </w:r>
      <w:r>
        <w:rPr>
          <w:color w:val="010202"/>
          <w:spacing w:val="-6"/>
        </w:rPr>
        <w:t> </w:t>
      </w:r>
      <w:r>
        <w:rPr>
          <w:color w:val="010202"/>
        </w:rPr>
        <w:t>made</w:t>
      </w:r>
      <w:r>
        <w:rPr>
          <w:color w:val="010202"/>
          <w:spacing w:val="-6"/>
        </w:rPr>
        <w:t> </w:t>
      </w:r>
      <w:r>
        <w:rPr>
          <w:color w:val="010202"/>
        </w:rPr>
        <w:t>contacting</w:t>
      </w:r>
      <w:r>
        <w:rPr>
          <w:color w:val="010202"/>
          <w:spacing w:val="-6"/>
        </w:rPr>
        <w:t> </w:t>
      </w:r>
      <w:r>
        <w:rPr>
          <w:color w:val="010202"/>
        </w:rPr>
        <w:t>these</w:t>
      </w:r>
      <w:r>
        <w:rPr>
          <w:color w:val="010202"/>
          <w:spacing w:val="-6"/>
        </w:rPr>
        <w:t> </w:t>
      </w:r>
      <w:r>
        <w:rPr>
          <w:color w:val="010202"/>
        </w:rPr>
        <w:t>groups</w:t>
      </w:r>
      <w:r>
        <w:rPr>
          <w:color w:val="010202"/>
          <w:spacing w:val="-5"/>
        </w:rPr>
        <w:t> </w:t>
      </w:r>
      <w:r>
        <w:rPr>
          <w:color w:val="010202"/>
        </w:rPr>
        <w:t>difficult.</w:t>
      </w:r>
    </w:p>
    <w:p>
      <w:pPr>
        <w:pStyle w:val="ListParagraph"/>
        <w:numPr>
          <w:ilvl w:val="1"/>
          <w:numId w:val="5"/>
        </w:numPr>
        <w:tabs>
          <w:tab w:pos="839" w:val="left" w:leader="none"/>
          <w:tab w:pos="840" w:val="left" w:leader="none"/>
        </w:tabs>
        <w:spacing w:line="264" w:lineRule="auto" w:before="28" w:after="0"/>
        <w:ind w:left="839" w:right="713" w:hanging="360"/>
        <w:jc w:val="left"/>
        <w:rPr>
          <w:rFonts w:ascii="Symbol" w:hAnsi="Symbol"/>
          <w:color w:val="010202"/>
          <w:sz w:val="22"/>
        </w:rPr>
      </w:pPr>
      <w:r>
        <w:rPr>
          <w:color w:val="010202"/>
          <w:sz w:val="22"/>
        </w:rPr>
        <w:t>Clients need training and assistance with</w:t>
      </w:r>
      <w:r>
        <w:rPr>
          <w:color w:val="010202"/>
          <w:spacing w:val="-52"/>
          <w:sz w:val="22"/>
        </w:rPr>
        <w:t> </w:t>
      </w:r>
      <w:r>
        <w:rPr>
          <w:color w:val="010202"/>
          <w:sz w:val="22"/>
        </w:rPr>
        <w:t>technology</w:t>
      </w:r>
      <w:r>
        <w:rPr>
          <w:color w:val="010202"/>
          <w:spacing w:val="-2"/>
          <w:sz w:val="22"/>
        </w:rPr>
        <w:t> </w:t>
      </w:r>
      <w:r>
        <w:rPr>
          <w:color w:val="010202"/>
          <w:sz w:val="22"/>
        </w:rPr>
        <w:t>literacy,</w:t>
      </w:r>
      <w:r>
        <w:rPr>
          <w:color w:val="010202"/>
          <w:spacing w:val="-1"/>
          <w:sz w:val="22"/>
        </w:rPr>
        <w:t> </w:t>
      </w:r>
      <w:r>
        <w:rPr>
          <w:color w:val="010202"/>
          <w:sz w:val="22"/>
        </w:rPr>
        <w:t>as</w:t>
      </w:r>
      <w:r>
        <w:rPr>
          <w:color w:val="010202"/>
          <w:spacing w:val="-1"/>
          <w:sz w:val="22"/>
        </w:rPr>
        <w:t> </w:t>
      </w:r>
      <w:r>
        <w:rPr>
          <w:color w:val="010202"/>
          <w:sz w:val="22"/>
        </w:rPr>
        <w:t>do</w:t>
      </w:r>
      <w:r>
        <w:rPr>
          <w:color w:val="010202"/>
          <w:spacing w:val="-2"/>
          <w:sz w:val="22"/>
        </w:rPr>
        <w:t> </w:t>
      </w:r>
      <w:r>
        <w:rPr>
          <w:color w:val="010202"/>
          <w:sz w:val="22"/>
        </w:rPr>
        <w:t>providers.</w:t>
      </w:r>
    </w:p>
    <w:p>
      <w:pPr>
        <w:pStyle w:val="ListParagraph"/>
        <w:numPr>
          <w:ilvl w:val="1"/>
          <w:numId w:val="5"/>
        </w:numPr>
        <w:tabs>
          <w:tab w:pos="839" w:val="left" w:leader="none"/>
          <w:tab w:pos="841" w:val="left" w:leader="none"/>
        </w:tabs>
        <w:spacing w:line="264" w:lineRule="auto" w:before="101" w:after="0"/>
        <w:ind w:left="840" w:right="938" w:hanging="360"/>
        <w:jc w:val="left"/>
        <w:rPr>
          <w:rFonts w:ascii="Symbol" w:hAnsi="Symbol"/>
          <w:color w:val="010202"/>
          <w:sz w:val="22"/>
        </w:rPr>
      </w:pPr>
      <w:r>
        <w:rPr>
          <w:color w:val="010202"/>
          <w:sz w:val="22"/>
        </w:rPr>
        <w:br w:type="column"/>
      </w:r>
      <w:r>
        <w:rPr>
          <w:color w:val="010202"/>
          <w:sz w:val="22"/>
        </w:rPr>
        <w:t>The use of technology is much more client-</w:t>
      </w:r>
      <w:r>
        <w:rPr>
          <w:color w:val="010202"/>
          <w:spacing w:val="1"/>
          <w:sz w:val="22"/>
        </w:rPr>
        <w:t> </w:t>
      </w:r>
      <w:r>
        <w:rPr>
          <w:color w:val="010202"/>
          <w:sz w:val="22"/>
        </w:rPr>
        <w:t>centered than many traditional approaches and</w:t>
      </w:r>
      <w:r>
        <w:rPr>
          <w:color w:val="010202"/>
          <w:spacing w:val="-52"/>
          <w:sz w:val="22"/>
        </w:rPr>
        <w:t> </w:t>
      </w:r>
      <w:r>
        <w:rPr>
          <w:color w:val="010202"/>
          <w:sz w:val="22"/>
        </w:rPr>
        <w:t>can allow for creative ways to meet clients’</w:t>
      </w:r>
      <w:r>
        <w:rPr>
          <w:color w:val="010202"/>
          <w:spacing w:val="1"/>
          <w:sz w:val="22"/>
        </w:rPr>
        <w:t> </w:t>
      </w:r>
      <w:r>
        <w:rPr>
          <w:color w:val="010202"/>
          <w:sz w:val="22"/>
        </w:rPr>
        <w:t>needs</w:t>
      </w:r>
      <w:r>
        <w:rPr>
          <w:color w:val="010202"/>
          <w:spacing w:val="-2"/>
          <w:sz w:val="22"/>
        </w:rPr>
        <w:t> </w:t>
      </w:r>
      <w:r>
        <w:rPr>
          <w:color w:val="010202"/>
          <w:sz w:val="22"/>
        </w:rPr>
        <w:t>efficiently</w:t>
      </w:r>
      <w:r>
        <w:rPr>
          <w:color w:val="010202"/>
          <w:spacing w:val="-2"/>
          <w:sz w:val="22"/>
        </w:rPr>
        <w:t> </w:t>
      </w:r>
      <w:r>
        <w:rPr>
          <w:color w:val="010202"/>
          <w:sz w:val="22"/>
        </w:rPr>
        <w:t>and</w:t>
      </w:r>
      <w:r>
        <w:rPr>
          <w:color w:val="010202"/>
          <w:spacing w:val="-2"/>
          <w:sz w:val="22"/>
        </w:rPr>
        <w:t> </w:t>
      </w:r>
      <w:r>
        <w:rPr>
          <w:color w:val="010202"/>
          <w:sz w:val="22"/>
        </w:rPr>
        <w:t>effectively.</w:t>
      </w:r>
    </w:p>
    <w:p>
      <w:pPr>
        <w:pStyle w:val="ListParagraph"/>
        <w:numPr>
          <w:ilvl w:val="1"/>
          <w:numId w:val="5"/>
        </w:numPr>
        <w:tabs>
          <w:tab w:pos="839" w:val="left" w:leader="none"/>
          <w:tab w:pos="841" w:val="left" w:leader="none"/>
        </w:tabs>
        <w:spacing w:line="264" w:lineRule="auto" w:before="35" w:after="0"/>
        <w:ind w:left="840" w:right="1143" w:hanging="360"/>
        <w:jc w:val="left"/>
        <w:rPr>
          <w:rFonts w:ascii="Symbol" w:hAnsi="Symbol"/>
          <w:color w:val="010202"/>
          <w:sz w:val="22"/>
        </w:rPr>
      </w:pPr>
      <w:r>
        <w:rPr>
          <w:color w:val="010202"/>
          <w:sz w:val="22"/>
        </w:rPr>
        <w:t>Telehealth</w:t>
      </w:r>
      <w:r>
        <w:rPr>
          <w:color w:val="010202"/>
          <w:spacing w:val="-8"/>
          <w:sz w:val="22"/>
        </w:rPr>
        <w:t> </w:t>
      </w:r>
      <w:r>
        <w:rPr>
          <w:color w:val="010202"/>
          <w:sz w:val="22"/>
        </w:rPr>
        <w:t>approaches</w:t>
      </w:r>
      <w:r>
        <w:rPr>
          <w:color w:val="010202"/>
          <w:spacing w:val="-7"/>
          <w:sz w:val="22"/>
        </w:rPr>
        <w:t> </w:t>
      </w:r>
      <w:r>
        <w:rPr>
          <w:color w:val="010202"/>
          <w:sz w:val="22"/>
        </w:rPr>
        <w:t>should</w:t>
      </w:r>
      <w:r>
        <w:rPr>
          <w:color w:val="010202"/>
          <w:spacing w:val="-7"/>
          <w:sz w:val="22"/>
        </w:rPr>
        <w:t> </w:t>
      </w:r>
      <w:r>
        <w:rPr>
          <w:color w:val="010202"/>
          <w:sz w:val="22"/>
        </w:rPr>
        <w:t>be</w:t>
      </w:r>
      <w:r>
        <w:rPr>
          <w:color w:val="010202"/>
          <w:spacing w:val="-7"/>
          <w:sz w:val="22"/>
        </w:rPr>
        <w:t> </w:t>
      </w:r>
      <w:r>
        <w:rPr>
          <w:color w:val="010202"/>
          <w:sz w:val="22"/>
        </w:rPr>
        <w:t>maintained</w:t>
      </w:r>
      <w:r>
        <w:rPr>
          <w:color w:val="010202"/>
          <w:spacing w:val="-52"/>
          <w:sz w:val="22"/>
        </w:rPr>
        <w:t> </w:t>
      </w:r>
      <w:r>
        <w:rPr>
          <w:color w:val="010202"/>
          <w:sz w:val="22"/>
        </w:rPr>
        <w:t>long term and integrated into the available</w:t>
      </w:r>
      <w:r>
        <w:rPr>
          <w:color w:val="010202"/>
          <w:spacing w:val="1"/>
          <w:sz w:val="22"/>
        </w:rPr>
        <w:t> </w:t>
      </w:r>
      <w:r>
        <w:rPr>
          <w:color w:val="010202"/>
          <w:sz w:val="22"/>
        </w:rPr>
        <w:t>treatment choices.</w:t>
      </w:r>
    </w:p>
    <w:p>
      <w:pPr>
        <w:pStyle w:val="BodyText"/>
        <w:spacing w:before="183"/>
        <w:ind w:left="120"/>
      </w:pPr>
      <w:r>
        <w:rPr>
          <w:color w:val="231F20"/>
        </w:rPr>
        <w:t>The examples</w:t>
      </w:r>
      <w:r>
        <w:rPr>
          <w:color w:val="231F20"/>
          <w:spacing w:val="-1"/>
        </w:rPr>
        <w:t> </w:t>
      </w:r>
      <w:r>
        <w:rPr>
          <w:color w:val="231F20"/>
        </w:rPr>
        <w:t>detailed in this chapter:</w:t>
      </w:r>
    </w:p>
    <w:p>
      <w:pPr>
        <w:pStyle w:val="ListParagraph"/>
        <w:numPr>
          <w:ilvl w:val="1"/>
          <w:numId w:val="5"/>
        </w:numPr>
        <w:tabs>
          <w:tab w:pos="359" w:val="left" w:leader="none"/>
          <w:tab w:pos="840" w:val="left" w:leader="none"/>
        </w:tabs>
        <w:spacing w:line="240" w:lineRule="auto" w:before="101" w:after="0"/>
        <w:ind w:left="839" w:right="1812" w:hanging="840"/>
        <w:jc w:val="right"/>
        <w:rPr>
          <w:rFonts w:ascii="Symbol" w:hAnsi="Symbol"/>
          <w:color w:val="010202"/>
          <w:sz w:val="22"/>
        </w:rPr>
      </w:pPr>
      <w:r>
        <w:rPr>
          <w:color w:val="010202"/>
          <w:sz w:val="22"/>
        </w:rPr>
        <w:t>Include one or more of the treatment</w:t>
      </w:r>
    </w:p>
    <w:p>
      <w:pPr>
        <w:pStyle w:val="BodyText"/>
        <w:spacing w:before="27"/>
        <w:ind w:right="1859"/>
        <w:jc w:val="right"/>
      </w:pPr>
      <w:r>
        <w:rPr>
          <w:color w:val="010202"/>
        </w:rPr>
        <w:t>interventions</w:t>
      </w:r>
      <w:r>
        <w:rPr>
          <w:color w:val="010202"/>
          <w:spacing w:val="-3"/>
        </w:rPr>
        <w:t> </w:t>
      </w:r>
      <w:r>
        <w:rPr>
          <w:color w:val="010202"/>
        </w:rPr>
        <w:t>identified</w:t>
      </w:r>
      <w:r>
        <w:rPr>
          <w:color w:val="010202"/>
          <w:spacing w:val="-2"/>
        </w:rPr>
        <w:t> </w:t>
      </w:r>
      <w:r>
        <w:rPr>
          <w:color w:val="010202"/>
        </w:rPr>
        <w:t>in</w:t>
      </w:r>
      <w:r>
        <w:rPr>
          <w:color w:val="010202"/>
          <w:spacing w:val="-2"/>
        </w:rPr>
        <w:t> </w:t>
      </w:r>
      <w:r>
        <w:rPr>
          <w:color w:val="010202"/>
        </w:rPr>
        <w:t>Chapter</w:t>
      </w:r>
      <w:r>
        <w:rPr>
          <w:color w:val="010202"/>
          <w:spacing w:val="-3"/>
        </w:rPr>
        <w:t> </w:t>
      </w:r>
      <w:r>
        <w:rPr>
          <w:color w:val="010202"/>
        </w:rPr>
        <w:t>2</w:t>
      </w:r>
    </w:p>
    <w:p>
      <w:pPr>
        <w:pStyle w:val="ListParagraph"/>
        <w:numPr>
          <w:ilvl w:val="1"/>
          <w:numId w:val="5"/>
        </w:numPr>
        <w:tabs>
          <w:tab w:pos="840" w:val="left" w:leader="none"/>
        </w:tabs>
        <w:spacing w:line="240" w:lineRule="auto" w:before="58" w:after="0"/>
        <w:ind w:left="839" w:right="0" w:hanging="361"/>
        <w:jc w:val="both"/>
        <w:rPr>
          <w:rFonts w:ascii="Symbol" w:hAnsi="Symbol"/>
          <w:color w:val="010202"/>
          <w:sz w:val="22"/>
        </w:rPr>
      </w:pPr>
      <w:r>
        <w:rPr>
          <w:color w:val="010202"/>
          <w:sz w:val="22"/>
        </w:rPr>
        <w:t>Have research</w:t>
      </w:r>
      <w:r>
        <w:rPr>
          <w:color w:val="010202"/>
          <w:spacing w:val="-1"/>
          <w:sz w:val="22"/>
        </w:rPr>
        <w:t> </w:t>
      </w:r>
      <w:r>
        <w:rPr>
          <w:color w:val="010202"/>
          <w:sz w:val="22"/>
        </w:rPr>
        <w:t>to support their impact on SMI or</w:t>
      </w:r>
    </w:p>
    <w:p>
      <w:pPr>
        <w:pStyle w:val="BodyText"/>
        <w:spacing w:before="26"/>
        <w:ind w:left="839"/>
        <w:jc w:val="both"/>
      </w:pPr>
      <w:r>
        <w:rPr>
          <w:color w:val="010202"/>
        </w:rPr>
        <w:t>SUD,</w:t>
      </w:r>
      <w:r>
        <w:rPr>
          <w:color w:val="010202"/>
          <w:spacing w:val="-3"/>
        </w:rPr>
        <w:t> </w:t>
      </w:r>
      <w:r>
        <w:rPr>
          <w:color w:val="010202"/>
        </w:rPr>
        <w:t>or</w:t>
      </w:r>
      <w:r>
        <w:rPr>
          <w:color w:val="010202"/>
          <w:spacing w:val="-2"/>
        </w:rPr>
        <w:t> </w:t>
      </w:r>
      <w:r>
        <w:rPr>
          <w:color w:val="010202"/>
        </w:rPr>
        <w:t>are</w:t>
      </w:r>
      <w:r>
        <w:rPr>
          <w:color w:val="010202"/>
          <w:spacing w:val="-2"/>
        </w:rPr>
        <w:t> </w:t>
      </w:r>
      <w:r>
        <w:rPr>
          <w:color w:val="010202"/>
        </w:rPr>
        <w:t>identified</w:t>
      </w:r>
      <w:r>
        <w:rPr>
          <w:color w:val="010202"/>
          <w:spacing w:val="-2"/>
        </w:rPr>
        <w:t> </w:t>
      </w:r>
      <w:r>
        <w:rPr>
          <w:color w:val="010202"/>
        </w:rPr>
        <w:t>as</w:t>
      </w:r>
      <w:r>
        <w:rPr>
          <w:color w:val="010202"/>
          <w:spacing w:val="-1"/>
        </w:rPr>
        <w:t> </w:t>
      </w:r>
      <w:r>
        <w:rPr>
          <w:color w:val="010202"/>
        </w:rPr>
        <w:t>a</w:t>
      </w:r>
      <w:r>
        <w:rPr>
          <w:color w:val="010202"/>
          <w:spacing w:val="-2"/>
        </w:rPr>
        <w:t> </w:t>
      </w:r>
      <w:r>
        <w:rPr>
          <w:color w:val="010202"/>
        </w:rPr>
        <w:t>promising</w:t>
      </w:r>
      <w:r>
        <w:rPr>
          <w:color w:val="010202"/>
          <w:spacing w:val="-2"/>
        </w:rPr>
        <w:t> </w:t>
      </w:r>
      <w:r>
        <w:rPr>
          <w:color w:val="010202"/>
        </w:rPr>
        <w:t>practice</w:t>
      </w:r>
    </w:p>
    <w:p>
      <w:pPr>
        <w:pStyle w:val="ListParagraph"/>
        <w:numPr>
          <w:ilvl w:val="1"/>
          <w:numId w:val="5"/>
        </w:numPr>
        <w:tabs>
          <w:tab w:pos="840" w:val="left" w:leader="none"/>
        </w:tabs>
        <w:spacing w:line="264" w:lineRule="auto" w:before="58" w:after="0"/>
        <w:ind w:left="839" w:right="1551" w:hanging="360"/>
        <w:jc w:val="both"/>
        <w:rPr>
          <w:rFonts w:ascii="Symbol" w:hAnsi="Symbol"/>
          <w:color w:val="010202"/>
          <w:sz w:val="22"/>
        </w:rPr>
      </w:pPr>
      <w:r>
        <w:rPr>
          <w:color w:val="010202"/>
          <w:sz w:val="22"/>
        </w:rPr>
        <w:t>Are</w:t>
      </w:r>
      <w:r>
        <w:rPr>
          <w:color w:val="010202"/>
          <w:spacing w:val="-7"/>
          <w:sz w:val="22"/>
        </w:rPr>
        <w:t> </w:t>
      </w:r>
      <w:r>
        <w:rPr>
          <w:color w:val="010202"/>
          <w:sz w:val="22"/>
        </w:rPr>
        <w:t>appropriate</w:t>
      </w:r>
      <w:r>
        <w:rPr>
          <w:color w:val="010202"/>
          <w:spacing w:val="-5"/>
          <w:sz w:val="22"/>
        </w:rPr>
        <w:t> </w:t>
      </w:r>
      <w:r>
        <w:rPr>
          <w:color w:val="010202"/>
          <w:sz w:val="22"/>
        </w:rPr>
        <w:t>and</w:t>
      </w:r>
      <w:r>
        <w:rPr>
          <w:color w:val="010202"/>
          <w:spacing w:val="-5"/>
          <w:sz w:val="22"/>
        </w:rPr>
        <w:t> </w:t>
      </w:r>
      <w:r>
        <w:rPr>
          <w:color w:val="010202"/>
          <w:sz w:val="22"/>
        </w:rPr>
        <w:t>effective</w:t>
      </w:r>
      <w:r>
        <w:rPr>
          <w:color w:val="010202"/>
          <w:spacing w:val="-5"/>
          <w:sz w:val="22"/>
        </w:rPr>
        <w:t> </w:t>
      </w:r>
      <w:r>
        <w:rPr>
          <w:color w:val="010202"/>
          <w:sz w:val="22"/>
        </w:rPr>
        <w:t>for</w:t>
      </w:r>
      <w:r>
        <w:rPr>
          <w:color w:val="010202"/>
          <w:spacing w:val="-5"/>
          <w:sz w:val="22"/>
        </w:rPr>
        <w:t> </w:t>
      </w:r>
      <w:r>
        <w:rPr>
          <w:color w:val="010202"/>
          <w:sz w:val="22"/>
        </w:rPr>
        <w:t>varied</w:t>
      </w:r>
      <w:r>
        <w:rPr>
          <w:color w:val="010202"/>
          <w:spacing w:val="-53"/>
          <w:sz w:val="22"/>
        </w:rPr>
        <w:t> </w:t>
      </w:r>
      <w:r>
        <w:rPr>
          <w:color w:val="010202"/>
          <w:sz w:val="22"/>
        </w:rPr>
        <w:t>geographic areas, practice settings, and</w:t>
      </w:r>
      <w:r>
        <w:rPr>
          <w:color w:val="010202"/>
          <w:spacing w:val="-52"/>
          <w:sz w:val="22"/>
        </w:rPr>
        <w:t> </w:t>
      </w:r>
      <w:r>
        <w:rPr>
          <w:color w:val="010202"/>
          <w:sz w:val="22"/>
        </w:rPr>
        <w:t>populations</w:t>
      </w:r>
    </w:p>
    <w:p>
      <w:pPr>
        <w:pStyle w:val="BodyText"/>
        <w:spacing w:line="266" w:lineRule="auto" w:before="183"/>
        <w:ind w:left="119" w:right="842"/>
      </w:pPr>
      <w:r>
        <w:rPr>
          <w:color w:val="231F20"/>
        </w:rPr>
        <w:t>Treatment programs should implement telehealth-</w:t>
      </w:r>
      <w:r>
        <w:rPr>
          <w:color w:val="231F20"/>
          <w:spacing w:val="1"/>
        </w:rPr>
        <w:t> </w:t>
      </w:r>
      <w:r>
        <w:rPr>
          <w:color w:val="231F20"/>
        </w:rPr>
        <w:t>delivered practices with fidelity to evaluated models.</w:t>
      </w:r>
      <w:r>
        <w:rPr>
          <w:color w:val="231F20"/>
          <w:spacing w:val="1"/>
        </w:rPr>
        <w:t> </w:t>
      </w:r>
      <w:r>
        <w:rPr>
          <w:color w:val="231F20"/>
        </w:rPr>
        <w:t>Fidelity is the degree to which a program delivers a</w:t>
      </w:r>
      <w:r>
        <w:rPr>
          <w:color w:val="231F20"/>
          <w:spacing w:val="1"/>
        </w:rPr>
        <w:t> </w:t>
      </w:r>
      <w:r>
        <w:rPr>
          <w:color w:val="231F20"/>
        </w:rPr>
        <w:t>practice as intended and must be maintained for desired</w:t>
      </w:r>
      <w:r>
        <w:rPr>
          <w:color w:val="231F20"/>
          <w:spacing w:val="-52"/>
        </w:rPr>
        <w:t> </w:t>
      </w:r>
      <w:r>
        <w:rPr>
          <w:color w:val="231F20"/>
        </w:rPr>
        <w:t>therapy outcomes. Regardless of whether a practice</w:t>
      </w:r>
    </w:p>
    <w:p>
      <w:pPr>
        <w:pStyle w:val="BodyText"/>
        <w:spacing w:line="266" w:lineRule="auto"/>
        <w:ind w:left="119" w:right="1126"/>
      </w:pPr>
      <w:r>
        <w:rPr>
          <w:color w:val="231F20"/>
        </w:rPr>
        <w:t>is</w:t>
      </w:r>
      <w:r>
        <w:rPr>
          <w:color w:val="231F20"/>
          <w:spacing w:val="6"/>
        </w:rPr>
        <w:t> </w:t>
      </w:r>
      <w:r>
        <w:rPr>
          <w:color w:val="231F20"/>
        </w:rPr>
        <w:t>delivered</w:t>
      </w:r>
      <w:r>
        <w:rPr>
          <w:color w:val="231F20"/>
          <w:spacing w:val="7"/>
        </w:rPr>
        <w:t> </w:t>
      </w:r>
      <w:r>
        <w:rPr>
          <w:color w:val="231F20"/>
        </w:rPr>
        <w:t>in</w:t>
      </w:r>
      <w:r>
        <w:rPr>
          <w:color w:val="231F20"/>
          <w:spacing w:val="7"/>
        </w:rPr>
        <w:t> </w:t>
      </w:r>
      <w:r>
        <w:rPr>
          <w:color w:val="231F20"/>
        </w:rPr>
        <w:t>person,</w:t>
      </w:r>
      <w:r>
        <w:rPr>
          <w:color w:val="231F20"/>
          <w:spacing w:val="7"/>
        </w:rPr>
        <w:t> </w:t>
      </w:r>
      <w:r>
        <w:rPr>
          <w:color w:val="231F20"/>
        </w:rPr>
        <w:t>using</w:t>
      </w:r>
      <w:r>
        <w:rPr>
          <w:color w:val="231F20"/>
          <w:spacing w:val="7"/>
        </w:rPr>
        <w:t> </w:t>
      </w:r>
      <w:r>
        <w:rPr>
          <w:color w:val="231F20"/>
        </w:rPr>
        <w:t>telehealth</w:t>
      </w:r>
      <w:r>
        <w:rPr>
          <w:color w:val="231F20"/>
          <w:spacing w:val="7"/>
        </w:rPr>
        <w:t> </w:t>
      </w:r>
      <w:r>
        <w:rPr>
          <w:color w:val="231F20"/>
        </w:rPr>
        <w:t>modalities,</w:t>
      </w:r>
      <w:r>
        <w:rPr>
          <w:color w:val="231F20"/>
          <w:spacing w:val="1"/>
        </w:rPr>
        <w:t> </w:t>
      </w:r>
      <w:r>
        <w:rPr>
          <w:color w:val="231F20"/>
        </w:rPr>
        <w:t>or through a combination of in-person and virtual</w:t>
      </w:r>
      <w:r>
        <w:rPr>
          <w:color w:val="231F20"/>
          <w:spacing w:val="1"/>
        </w:rPr>
        <w:t> </w:t>
      </w:r>
      <w:r>
        <w:rPr>
          <w:color w:val="231F20"/>
        </w:rPr>
        <w:t>modalities,</w:t>
      </w:r>
      <w:r>
        <w:rPr>
          <w:color w:val="231F20"/>
          <w:spacing w:val="-4"/>
        </w:rPr>
        <w:t> </w:t>
      </w:r>
      <w:r>
        <w:rPr>
          <w:color w:val="231F20"/>
        </w:rPr>
        <w:t>clinicians</w:t>
      </w:r>
      <w:r>
        <w:rPr>
          <w:color w:val="231F20"/>
          <w:spacing w:val="-3"/>
        </w:rPr>
        <w:t> </w:t>
      </w:r>
      <w:r>
        <w:rPr>
          <w:color w:val="231F20"/>
        </w:rPr>
        <w:t>must</w:t>
      </w:r>
      <w:r>
        <w:rPr>
          <w:color w:val="231F20"/>
          <w:spacing w:val="-3"/>
        </w:rPr>
        <w:t> </w:t>
      </w:r>
      <w:r>
        <w:rPr>
          <w:color w:val="231F20"/>
        </w:rPr>
        <w:t>ensure</w:t>
      </w:r>
      <w:r>
        <w:rPr>
          <w:color w:val="231F20"/>
          <w:spacing w:val="-3"/>
        </w:rPr>
        <w:t> </w:t>
      </w:r>
      <w:r>
        <w:rPr>
          <w:color w:val="231F20"/>
        </w:rPr>
        <w:t>treatment</w:t>
      </w:r>
      <w:r>
        <w:rPr>
          <w:color w:val="231F20"/>
          <w:spacing w:val="-3"/>
        </w:rPr>
        <w:t> </w:t>
      </w:r>
      <w:r>
        <w:rPr>
          <w:color w:val="231F20"/>
        </w:rPr>
        <w:t>services</w:t>
      </w:r>
    </w:p>
    <w:p>
      <w:pPr>
        <w:pStyle w:val="BodyText"/>
        <w:spacing w:line="266" w:lineRule="auto"/>
        <w:ind w:left="119" w:right="726"/>
      </w:pPr>
      <w:r>
        <w:rPr>
          <w:color w:val="231F20"/>
          <w:w w:val="95"/>
        </w:rPr>
        <w:t>maintain</w:t>
      </w:r>
      <w:r>
        <w:rPr>
          <w:color w:val="231F20"/>
          <w:spacing w:val="1"/>
          <w:w w:val="95"/>
        </w:rPr>
        <w:t> </w:t>
      </w:r>
      <w:r>
        <w:rPr>
          <w:color w:val="231F20"/>
          <w:w w:val="95"/>
        </w:rPr>
        <w:t>fidelity to</w:t>
      </w:r>
      <w:r>
        <w:rPr>
          <w:color w:val="231F20"/>
          <w:spacing w:val="1"/>
          <w:w w:val="95"/>
        </w:rPr>
        <w:t> </w:t>
      </w:r>
      <w:r>
        <w:rPr>
          <w:color w:val="231F20"/>
          <w:w w:val="95"/>
        </w:rPr>
        <w:t>the</w:t>
      </w:r>
      <w:r>
        <w:rPr>
          <w:color w:val="231F20"/>
          <w:spacing w:val="1"/>
          <w:w w:val="95"/>
        </w:rPr>
        <w:t> </w:t>
      </w:r>
      <w:r>
        <w:rPr>
          <w:color w:val="231F20"/>
          <w:w w:val="95"/>
        </w:rPr>
        <w:t>original</w:t>
      </w:r>
      <w:r>
        <w:rPr>
          <w:color w:val="231F20"/>
          <w:spacing w:val="1"/>
          <w:w w:val="95"/>
        </w:rPr>
        <w:t> </w:t>
      </w:r>
      <w:r>
        <w:rPr>
          <w:color w:val="231F20"/>
          <w:w w:val="95"/>
        </w:rPr>
        <w:t>practice. As practitioners</w:t>
      </w:r>
      <w:r>
        <w:rPr>
          <w:color w:val="231F20"/>
          <w:spacing w:val="-50"/>
          <w:w w:val="95"/>
        </w:rPr>
        <w:t> </w:t>
      </w:r>
      <w:r>
        <w:rPr>
          <w:color w:val="231F20"/>
        </w:rPr>
        <w:t>modify practices to use telehealth modalities and address</w:t>
      </w:r>
      <w:r>
        <w:rPr>
          <w:color w:val="231F20"/>
          <w:spacing w:val="-52"/>
        </w:rPr>
        <w:t> </w:t>
      </w:r>
      <w:r>
        <w:rPr>
          <w:color w:val="231F20"/>
        </w:rPr>
        <w:t>the needs and constraints of their population, budget,</w:t>
      </w:r>
      <w:r>
        <w:rPr>
          <w:color w:val="231F20"/>
          <w:spacing w:val="1"/>
        </w:rPr>
        <w:t> </w:t>
      </w:r>
      <w:r>
        <w:rPr>
          <w:color w:val="231F20"/>
        </w:rPr>
        <w:t>setting, and other local factors, they should strive to</w:t>
      </w:r>
      <w:r>
        <w:rPr>
          <w:color w:val="231F20"/>
          <w:spacing w:val="1"/>
        </w:rPr>
        <w:t> </w:t>
      </w:r>
      <w:r>
        <w:rPr>
          <w:color w:val="231F20"/>
        </w:rPr>
        <w:t>adhere to the practice’s foundational principles and</w:t>
      </w:r>
      <w:r>
        <w:rPr>
          <w:color w:val="231F20"/>
          <w:spacing w:val="1"/>
        </w:rPr>
        <w:t> </w:t>
      </w:r>
      <w:r>
        <w:rPr>
          <w:color w:val="231F20"/>
        </w:rPr>
        <w:t>document any adaptations so they</w:t>
      </w:r>
      <w:r>
        <w:rPr>
          <w:color w:val="231F20"/>
          <w:spacing w:val="-1"/>
        </w:rPr>
        <w:t> </w:t>
      </w:r>
      <w:r>
        <w:rPr>
          <w:color w:val="231F20"/>
        </w:rPr>
        <w:t>can be evaluated.</w:t>
      </w:r>
    </w:p>
    <w:p>
      <w:pPr>
        <w:spacing w:after="0" w:line="266" w:lineRule="auto"/>
        <w:sectPr>
          <w:type w:val="continuous"/>
          <w:pgSz w:w="12240" w:h="15840"/>
          <w:pgMar w:header="0" w:footer="666" w:top="1500" w:bottom="0" w:left="600" w:right="0"/>
          <w:cols w:num="2" w:equalWidth="0">
            <w:col w:w="5143" w:space="616"/>
            <w:col w:w="5881"/>
          </w:cols>
        </w:sectPr>
      </w:pPr>
    </w:p>
    <w:p>
      <w:pPr>
        <w:pStyle w:val="BodyText"/>
        <w:rPr>
          <w:sz w:val="20"/>
        </w:rPr>
      </w:pPr>
      <w:r>
        <w:rPr/>
        <w:pict>
          <v:rect style="position:absolute;margin-left:0pt;margin-top:116.330101pt;width:612pt;height:1pt;mso-position-horizontal-relative:page;mso-position-vertical-relative:page;z-index:-17867776" id="docshape154" filled="true" fillcolor="#1c384b" stroked="false">
            <v:fill type="solid"/>
            <w10:wrap type="none"/>
          </v:rect>
        </w:pict>
      </w:r>
    </w:p>
    <w:p>
      <w:pPr>
        <w:pStyle w:val="BodyText"/>
        <w:spacing w:before="3"/>
        <w:rPr>
          <w:sz w:val="19"/>
        </w:rPr>
      </w:pPr>
    </w:p>
    <w:p>
      <w:pPr>
        <w:pStyle w:val="Heading2"/>
        <w:spacing w:before="100"/>
      </w:pPr>
      <w:bookmarkStart w:name="Eastern Shore Mobile Care Collaborative " w:id="32"/>
      <w:bookmarkEnd w:id="32"/>
      <w:r>
        <w:rPr/>
      </w:r>
      <w:r>
        <w:rPr>
          <w:color w:val="1C384B"/>
        </w:rPr>
        <w:t>Eastern</w:t>
      </w:r>
      <w:r>
        <w:rPr>
          <w:color w:val="1C384B"/>
          <w:spacing w:val="2"/>
        </w:rPr>
        <w:t> </w:t>
      </w:r>
      <w:r>
        <w:rPr>
          <w:color w:val="1C384B"/>
        </w:rPr>
        <w:t>Shore</w:t>
      </w:r>
      <w:r>
        <w:rPr>
          <w:color w:val="1C384B"/>
          <w:spacing w:val="3"/>
        </w:rPr>
        <w:t> </w:t>
      </w:r>
      <w:r>
        <w:rPr>
          <w:color w:val="1C384B"/>
        </w:rPr>
        <w:t>Mobile</w:t>
      </w:r>
      <w:r>
        <w:rPr>
          <w:color w:val="1C384B"/>
          <w:spacing w:val="3"/>
        </w:rPr>
        <w:t> </w:t>
      </w:r>
      <w:r>
        <w:rPr>
          <w:color w:val="1C384B"/>
        </w:rPr>
        <w:t>Care</w:t>
      </w:r>
      <w:r>
        <w:rPr>
          <w:color w:val="1C384B"/>
          <w:spacing w:val="2"/>
        </w:rPr>
        <w:t> </w:t>
      </w:r>
      <w:r>
        <w:rPr>
          <w:color w:val="1C384B"/>
        </w:rPr>
        <w:t>Collaborative</w:t>
      </w:r>
      <w:r>
        <w:rPr>
          <w:color w:val="1C384B"/>
          <w:spacing w:val="3"/>
        </w:rPr>
        <w:t> </w:t>
      </w:r>
      <w:r>
        <w:rPr>
          <w:color w:val="1C384B"/>
        </w:rPr>
        <w:t>(ESMCC)</w:t>
      </w:r>
    </w:p>
    <w:p>
      <w:pPr>
        <w:pStyle w:val="BodyText"/>
        <w:spacing w:before="55"/>
        <w:ind w:left="120"/>
        <w:rPr>
          <w:rFonts w:ascii="Arial"/>
        </w:rPr>
      </w:pPr>
      <w:r>
        <w:rPr>
          <w:rFonts w:ascii="Arial"/>
          <w:color w:val="CE372E"/>
        </w:rPr>
        <w:t>Caroline</w:t>
      </w:r>
      <w:r>
        <w:rPr>
          <w:rFonts w:ascii="Arial"/>
          <w:color w:val="CE372E"/>
          <w:spacing w:val="-10"/>
        </w:rPr>
        <w:t> </w:t>
      </w:r>
      <w:r>
        <w:rPr>
          <w:rFonts w:ascii="Arial"/>
          <w:color w:val="CE372E"/>
        </w:rPr>
        <w:t>County,</w:t>
      </w:r>
      <w:r>
        <w:rPr>
          <w:rFonts w:ascii="Arial"/>
          <w:color w:val="CE372E"/>
          <w:spacing w:val="-10"/>
        </w:rPr>
        <w:t> </w:t>
      </w:r>
      <w:r>
        <w:rPr>
          <w:rFonts w:ascii="Arial"/>
          <w:color w:val="CE372E"/>
        </w:rPr>
        <w:t>MD</w:t>
      </w:r>
    </w:p>
    <w:p>
      <w:pPr>
        <w:pStyle w:val="BodyText"/>
        <w:rPr>
          <w:rFonts w:ascii="Arial"/>
          <w:sz w:val="24"/>
        </w:rPr>
      </w:pPr>
    </w:p>
    <w:p>
      <w:pPr>
        <w:pStyle w:val="BodyText"/>
        <w:rPr>
          <w:rFonts w:ascii="Arial"/>
          <w:sz w:val="24"/>
        </w:rPr>
      </w:pPr>
    </w:p>
    <w:p>
      <w:pPr>
        <w:pStyle w:val="BodyText"/>
        <w:rPr>
          <w:rFonts w:ascii="Arial"/>
          <w:sz w:val="24"/>
        </w:rPr>
      </w:pPr>
    </w:p>
    <w:p>
      <w:pPr>
        <w:pStyle w:val="BodyText"/>
        <w:spacing w:line="266" w:lineRule="auto" w:before="180"/>
        <w:ind w:left="120" w:right="6506"/>
      </w:pPr>
      <w:r>
        <w:rPr/>
        <w:pict>
          <v:group style="position:absolute;margin-left:324pt;margin-top:11.645605pt;width:253.45pt;height:362.8pt;mso-position-horizontal-relative:page;mso-position-vertical-relative:paragraph;z-index:15752192" id="docshapegroup155" coordorigin="6480,233" coordsize="5069,7256">
            <v:shape style="position:absolute;left:6480;top:232;width:5069;height:7256" id="docshape156" coordorigin="6480,233" coordsize="5069,7256" path="m11459,233l6570,233,6535,240,6506,259,6487,288,6480,323,6480,7399,6487,7434,6506,7463,6535,7482,6570,7489,11459,7489,11494,7482,11522,7463,11542,7434,11549,7399,11549,323,11542,288,11522,259,11494,240,11459,233xe" filled="true" fillcolor="#f7e0e0" stroked="false">
              <v:path arrowok="t"/>
              <v:fill type="solid"/>
            </v:shape>
            <v:shape style="position:absolute;left:6660;top:395;width:4545;height:3456" type="#_x0000_t202" id="docshape157" filled="false" stroked="false">
              <v:textbox inset="0,0,0,0">
                <w:txbxContent>
                  <w:p>
                    <w:pPr>
                      <w:spacing w:line="259" w:lineRule="auto" w:before="0"/>
                      <w:ind w:left="0" w:right="327" w:firstLine="0"/>
                      <w:jc w:val="left"/>
                      <w:rPr>
                        <w:rFonts w:ascii="Arial"/>
                        <w:sz w:val="21"/>
                      </w:rPr>
                    </w:pPr>
                    <w:r>
                      <w:rPr>
                        <w:rFonts w:ascii="Arial"/>
                        <w:color w:val="010202"/>
                        <w:sz w:val="21"/>
                      </w:rPr>
                      <w:t>A mobile van addresses the challenge posed</w:t>
                    </w:r>
                    <w:r>
                      <w:rPr>
                        <w:rFonts w:ascii="Arial"/>
                        <w:color w:val="010202"/>
                        <w:spacing w:val="-56"/>
                        <w:sz w:val="21"/>
                      </w:rPr>
                      <w:t> </w:t>
                    </w:r>
                    <w:r>
                      <w:rPr>
                        <w:rFonts w:ascii="Arial"/>
                        <w:color w:val="010202"/>
                        <w:sz w:val="21"/>
                      </w:rPr>
                      <w:t>by</w:t>
                    </w:r>
                    <w:r>
                      <w:rPr>
                        <w:rFonts w:ascii="Arial"/>
                        <w:color w:val="010202"/>
                        <w:spacing w:val="-3"/>
                        <w:sz w:val="21"/>
                      </w:rPr>
                      <w:t> </w:t>
                    </w:r>
                    <w:r>
                      <w:rPr>
                        <w:rFonts w:ascii="Arial"/>
                        <w:color w:val="010202"/>
                        <w:sz w:val="21"/>
                      </w:rPr>
                      <w:t>lack</w:t>
                    </w:r>
                    <w:r>
                      <w:rPr>
                        <w:rFonts w:ascii="Arial"/>
                        <w:color w:val="010202"/>
                        <w:spacing w:val="-2"/>
                        <w:sz w:val="21"/>
                      </w:rPr>
                      <w:t> </w:t>
                    </w:r>
                    <w:r>
                      <w:rPr>
                        <w:rFonts w:ascii="Arial"/>
                        <w:color w:val="010202"/>
                        <w:sz w:val="21"/>
                      </w:rPr>
                      <w:t>of</w:t>
                    </w:r>
                    <w:r>
                      <w:rPr>
                        <w:rFonts w:ascii="Arial"/>
                        <w:color w:val="010202"/>
                        <w:spacing w:val="-3"/>
                        <w:sz w:val="21"/>
                      </w:rPr>
                      <w:t> </w:t>
                    </w:r>
                    <w:r>
                      <w:rPr>
                        <w:rFonts w:ascii="Arial"/>
                        <w:color w:val="010202"/>
                        <w:sz w:val="21"/>
                      </w:rPr>
                      <w:t>access</w:t>
                    </w:r>
                    <w:r>
                      <w:rPr>
                        <w:rFonts w:ascii="Arial"/>
                        <w:color w:val="010202"/>
                        <w:spacing w:val="-2"/>
                        <w:sz w:val="21"/>
                      </w:rPr>
                      <w:t> </w:t>
                    </w:r>
                    <w:r>
                      <w:rPr>
                        <w:rFonts w:ascii="Arial"/>
                        <w:color w:val="010202"/>
                        <w:sz w:val="21"/>
                      </w:rPr>
                      <w:t>to</w:t>
                    </w:r>
                    <w:r>
                      <w:rPr>
                        <w:rFonts w:ascii="Arial"/>
                        <w:color w:val="010202"/>
                        <w:spacing w:val="-2"/>
                        <w:sz w:val="21"/>
                      </w:rPr>
                      <w:t> </w:t>
                    </w:r>
                    <w:r>
                      <w:rPr>
                        <w:rFonts w:ascii="Arial"/>
                        <w:color w:val="010202"/>
                        <w:sz w:val="21"/>
                      </w:rPr>
                      <w:t>technology</w:t>
                    </w:r>
                    <w:r>
                      <w:rPr>
                        <w:rFonts w:ascii="Arial"/>
                        <w:color w:val="010202"/>
                        <w:spacing w:val="-3"/>
                        <w:sz w:val="21"/>
                      </w:rPr>
                      <w:t> </w:t>
                    </w:r>
                    <w:r>
                      <w:rPr>
                        <w:rFonts w:ascii="Arial"/>
                        <w:color w:val="010202"/>
                        <w:sz w:val="21"/>
                      </w:rPr>
                      <w:t>and</w:t>
                    </w:r>
                    <w:r>
                      <w:rPr>
                        <w:rFonts w:ascii="Arial"/>
                        <w:color w:val="010202"/>
                        <w:spacing w:val="-2"/>
                        <w:sz w:val="21"/>
                      </w:rPr>
                      <w:t> </w:t>
                    </w:r>
                    <w:r>
                      <w:rPr>
                        <w:rFonts w:ascii="Arial"/>
                        <w:color w:val="010202"/>
                        <w:sz w:val="21"/>
                      </w:rPr>
                      <w:t>waivered</w:t>
                    </w:r>
                  </w:p>
                  <w:p>
                    <w:pPr>
                      <w:spacing w:line="259" w:lineRule="auto" w:before="0"/>
                      <w:ind w:left="0" w:right="10" w:firstLine="0"/>
                      <w:jc w:val="left"/>
                      <w:rPr>
                        <w:rFonts w:ascii="Arial"/>
                        <w:sz w:val="21"/>
                      </w:rPr>
                    </w:pPr>
                    <w:r>
                      <w:rPr>
                        <w:rFonts w:ascii="Arial"/>
                        <w:color w:val="010202"/>
                        <w:sz w:val="21"/>
                      </w:rPr>
                      <w:t>medication-assisted</w:t>
                    </w:r>
                    <w:r>
                      <w:rPr>
                        <w:rFonts w:ascii="Arial"/>
                        <w:color w:val="010202"/>
                        <w:spacing w:val="-9"/>
                        <w:sz w:val="21"/>
                      </w:rPr>
                      <w:t> </w:t>
                    </w:r>
                    <w:r>
                      <w:rPr>
                        <w:rFonts w:ascii="Arial"/>
                        <w:color w:val="010202"/>
                        <w:sz w:val="21"/>
                      </w:rPr>
                      <w:t>treatment</w:t>
                    </w:r>
                    <w:r>
                      <w:rPr>
                        <w:rFonts w:ascii="Arial"/>
                        <w:color w:val="010202"/>
                        <w:spacing w:val="-8"/>
                        <w:sz w:val="21"/>
                      </w:rPr>
                      <w:t> </w:t>
                    </w:r>
                    <w:r>
                      <w:rPr>
                        <w:rFonts w:ascii="Arial"/>
                        <w:color w:val="010202"/>
                        <w:sz w:val="21"/>
                      </w:rPr>
                      <w:t>(MAT)</w:t>
                    </w:r>
                    <w:r>
                      <w:rPr>
                        <w:rFonts w:ascii="Arial"/>
                        <w:color w:val="010202"/>
                        <w:spacing w:val="-8"/>
                        <w:sz w:val="21"/>
                      </w:rPr>
                      <w:t> </w:t>
                    </w:r>
                    <w:r>
                      <w:rPr>
                        <w:rFonts w:ascii="Arial"/>
                        <w:color w:val="010202"/>
                        <w:sz w:val="21"/>
                      </w:rPr>
                      <w:t>prescribers</w:t>
                    </w:r>
                    <w:r>
                      <w:rPr>
                        <w:rFonts w:ascii="Arial"/>
                        <w:color w:val="010202"/>
                        <w:spacing w:val="-56"/>
                        <w:sz w:val="21"/>
                      </w:rPr>
                      <w:t> </w:t>
                    </w:r>
                    <w:r>
                      <w:rPr>
                        <w:rFonts w:ascii="Arial"/>
                        <w:color w:val="010202"/>
                        <w:sz w:val="21"/>
                      </w:rPr>
                      <w:t>in rural areas, bringing OUD services delivered</w:t>
                    </w:r>
                    <w:r>
                      <w:rPr>
                        <w:rFonts w:ascii="Arial"/>
                        <w:color w:val="010202"/>
                        <w:spacing w:val="1"/>
                        <w:sz w:val="21"/>
                      </w:rPr>
                      <w:t> </w:t>
                    </w:r>
                    <w:r>
                      <w:rPr>
                        <w:rFonts w:ascii="Arial"/>
                        <w:color w:val="010202"/>
                        <w:sz w:val="21"/>
                      </w:rPr>
                      <w:t>through both in-person and telehealth</w:t>
                    </w:r>
                    <w:r>
                      <w:rPr>
                        <w:rFonts w:ascii="Arial"/>
                        <w:color w:val="010202"/>
                        <w:spacing w:val="1"/>
                        <w:sz w:val="21"/>
                      </w:rPr>
                      <w:t> </w:t>
                    </w:r>
                    <w:r>
                      <w:rPr>
                        <w:rFonts w:ascii="Arial"/>
                        <w:color w:val="010202"/>
                        <w:sz w:val="21"/>
                      </w:rPr>
                      <w:t>appointments.</w:t>
                    </w:r>
                  </w:p>
                  <w:p>
                    <w:pPr>
                      <w:spacing w:before="74"/>
                      <w:ind w:left="0" w:right="0" w:firstLine="0"/>
                      <w:jc w:val="left"/>
                      <w:rPr>
                        <w:rFonts w:ascii="Arial Black"/>
                        <w:sz w:val="21"/>
                      </w:rPr>
                    </w:pPr>
                    <w:r>
                      <w:rPr>
                        <w:rFonts w:ascii="Arial Black"/>
                        <w:color w:val="CE384B"/>
                        <w:sz w:val="21"/>
                      </w:rPr>
                      <w:t>Treatment</w:t>
                    </w:r>
                    <w:r>
                      <w:rPr>
                        <w:rFonts w:ascii="Arial Black"/>
                        <w:color w:val="CE384B"/>
                        <w:spacing w:val="-5"/>
                        <w:sz w:val="21"/>
                      </w:rPr>
                      <w:t> </w:t>
                    </w:r>
                    <w:r>
                      <w:rPr>
                        <w:rFonts w:ascii="Arial Black"/>
                        <w:color w:val="CE384B"/>
                        <w:sz w:val="21"/>
                      </w:rPr>
                      <w:t>Offered</w:t>
                    </w:r>
                  </w:p>
                  <w:p>
                    <w:pPr>
                      <w:spacing w:before="118"/>
                      <w:ind w:left="0" w:right="0" w:firstLine="0"/>
                      <w:jc w:val="left"/>
                      <w:rPr>
                        <w:rFonts w:ascii="Arial"/>
                        <w:sz w:val="21"/>
                      </w:rPr>
                    </w:pPr>
                    <w:r>
                      <w:rPr>
                        <w:rFonts w:ascii="Arial"/>
                        <w:color w:val="010202"/>
                        <w:sz w:val="21"/>
                      </w:rPr>
                      <w:t>Medication-Assisted</w:t>
                    </w:r>
                    <w:r>
                      <w:rPr>
                        <w:rFonts w:ascii="Arial"/>
                        <w:color w:val="010202"/>
                        <w:spacing w:val="-12"/>
                        <w:sz w:val="21"/>
                      </w:rPr>
                      <w:t> </w:t>
                    </w:r>
                    <w:r>
                      <w:rPr>
                        <w:rFonts w:ascii="Arial"/>
                        <w:color w:val="010202"/>
                        <w:sz w:val="21"/>
                      </w:rPr>
                      <w:t>Treatment</w:t>
                    </w:r>
                    <w:r>
                      <w:rPr>
                        <w:rFonts w:ascii="Arial"/>
                        <w:color w:val="010202"/>
                        <w:spacing w:val="-7"/>
                        <w:sz w:val="21"/>
                      </w:rPr>
                      <w:t> </w:t>
                    </w:r>
                    <w:r>
                      <w:rPr>
                        <w:rFonts w:ascii="Arial"/>
                        <w:color w:val="010202"/>
                        <w:sz w:val="21"/>
                      </w:rPr>
                      <w:t>(MAT)</w:t>
                    </w:r>
                  </w:p>
                  <w:p>
                    <w:pPr>
                      <w:spacing w:before="104"/>
                      <w:ind w:left="0" w:right="0" w:firstLine="0"/>
                      <w:jc w:val="left"/>
                      <w:rPr>
                        <w:rFonts w:ascii="Arial Black"/>
                        <w:sz w:val="21"/>
                      </w:rPr>
                    </w:pPr>
                    <w:r>
                      <w:rPr>
                        <w:rFonts w:ascii="Arial Black"/>
                        <w:color w:val="CE384B"/>
                        <w:sz w:val="21"/>
                      </w:rPr>
                      <w:t>Population</w:t>
                    </w:r>
                    <w:r>
                      <w:rPr>
                        <w:rFonts w:ascii="Arial Black"/>
                        <w:color w:val="CE384B"/>
                        <w:spacing w:val="-7"/>
                        <w:sz w:val="21"/>
                      </w:rPr>
                      <w:t> </w:t>
                    </w:r>
                    <w:r>
                      <w:rPr>
                        <w:rFonts w:ascii="Arial Black"/>
                        <w:color w:val="CE384B"/>
                        <w:sz w:val="21"/>
                      </w:rPr>
                      <w:t>of</w:t>
                    </w:r>
                    <w:r>
                      <w:rPr>
                        <w:rFonts w:ascii="Arial Black"/>
                        <w:color w:val="CE384B"/>
                        <w:spacing w:val="5"/>
                        <w:sz w:val="21"/>
                      </w:rPr>
                      <w:t> </w:t>
                    </w:r>
                    <w:r>
                      <w:rPr>
                        <w:rFonts w:ascii="Arial Black"/>
                        <w:color w:val="CE384B"/>
                        <w:sz w:val="21"/>
                      </w:rPr>
                      <w:t>Focus</w:t>
                    </w:r>
                  </w:p>
                  <w:p>
                    <w:pPr>
                      <w:spacing w:before="119"/>
                      <w:ind w:left="0" w:right="0" w:firstLine="0"/>
                      <w:jc w:val="left"/>
                      <w:rPr>
                        <w:rFonts w:ascii="Arial"/>
                        <w:sz w:val="21"/>
                      </w:rPr>
                    </w:pPr>
                    <w:r>
                      <w:rPr>
                        <w:rFonts w:ascii="Arial"/>
                        <w:color w:val="010202"/>
                        <w:spacing w:val="-2"/>
                        <w:sz w:val="21"/>
                      </w:rPr>
                      <w:t>People</w:t>
                    </w:r>
                    <w:r>
                      <w:rPr>
                        <w:rFonts w:ascii="Arial"/>
                        <w:color w:val="010202"/>
                        <w:spacing w:val="-12"/>
                        <w:sz w:val="21"/>
                      </w:rPr>
                      <w:t> </w:t>
                    </w:r>
                    <w:r>
                      <w:rPr>
                        <w:rFonts w:ascii="Arial"/>
                        <w:color w:val="010202"/>
                        <w:spacing w:val="-2"/>
                        <w:sz w:val="21"/>
                      </w:rPr>
                      <w:t>experiencing</w:t>
                    </w:r>
                    <w:r>
                      <w:rPr>
                        <w:rFonts w:ascii="Arial"/>
                        <w:color w:val="010202"/>
                        <w:spacing w:val="-12"/>
                        <w:sz w:val="21"/>
                      </w:rPr>
                      <w:t> </w:t>
                    </w:r>
                    <w:r>
                      <w:rPr>
                        <w:rFonts w:ascii="Arial"/>
                        <w:color w:val="010202"/>
                        <w:spacing w:val="-2"/>
                        <w:sz w:val="21"/>
                      </w:rPr>
                      <w:t>opioid</w:t>
                    </w:r>
                    <w:r>
                      <w:rPr>
                        <w:rFonts w:ascii="Arial"/>
                        <w:color w:val="010202"/>
                        <w:spacing w:val="-11"/>
                        <w:sz w:val="21"/>
                      </w:rPr>
                      <w:t> </w:t>
                    </w:r>
                    <w:r>
                      <w:rPr>
                        <w:rFonts w:ascii="Arial"/>
                        <w:color w:val="010202"/>
                        <w:spacing w:val="-1"/>
                        <w:sz w:val="21"/>
                      </w:rPr>
                      <w:t>use</w:t>
                    </w:r>
                    <w:r>
                      <w:rPr>
                        <w:rFonts w:ascii="Arial"/>
                        <w:color w:val="010202"/>
                        <w:spacing w:val="-12"/>
                        <w:sz w:val="21"/>
                      </w:rPr>
                      <w:t> </w:t>
                    </w:r>
                    <w:r>
                      <w:rPr>
                        <w:rFonts w:ascii="Arial"/>
                        <w:color w:val="010202"/>
                        <w:spacing w:val="-1"/>
                        <w:sz w:val="21"/>
                      </w:rPr>
                      <w:t>disorder</w:t>
                    </w:r>
                  </w:p>
                  <w:p>
                    <w:pPr>
                      <w:spacing w:before="104"/>
                      <w:ind w:left="0" w:right="0" w:firstLine="0"/>
                      <w:jc w:val="left"/>
                      <w:rPr>
                        <w:rFonts w:ascii="Arial Black"/>
                        <w:sz w:val="21"/>
                      </w:rPr>
                    </w:pPr>
                    <w:r>
                      <w:rPr>
                        <w:rFonts w:ascii="Arial Black"/>
                        <w:color w:val="CE384B"/>
                        <w:sz w:val="21"/>
                      </w:rPr>
                      <w:t>Related</w:t>
                    </w:r>
                    <w:r>
                      <w:rPr>
                        <w:rFonts w:ascii="Arial Black"/>
                        <w:color w:val="CE384B"/>
                        <w:spacing w:val="-8"/>
                        <w:sz w:val="21"/>
                      </w:rPr>
                      <w:t> </w:t>
                    </w:r>
                    <w:r>
                      <w:rPr>
                        <w:rFonts w:ascii="Arial Black"/>
                        <w:color w:val="CE384B"/>
                        <w:sz w:val="21"/>
                      </w:rPr>
                      <w:t>Resources</w:t>
                    </w:r>
                  </w:p>
                </w:txbxContent>
              </v:textbox>
              <w10:wrap type="none"/>
            </v:shape>
            <v:shape style="position:absolute;left:6660;top:3959;width:125;height:1136" type="#_x0000_t202" id="docshape158" filled="false" stroked="false">
              <v:textbox inset="0,0,0,0">
                <w:txbxContent>
                  <w:p>
                    <w:pPr>
                      <w:spacing w:line="253" w:lineRule="exact" w:before="0"/>
                      <w:ind w:left="0" w:right="0" w:firstLine="0"/>
                      <w:jc w:val="left"/>
                      <w:rPr>
                        <w:rFonts w:ascii="Century Gothic" w:hAnsi="Century Gothic"/>
                        <w:sz w:val="21"/>
                      </w:rPr>
                    </w:pPr>
                    <w:r>
                      <w:rPr>
                        <w:rFonts w:ascii="Century Gothic" w:hAnsi="Century Gothic"/>
                        <w:color w:val="010202"/>
                        <w:w w:val="82"/>
                        <w:sz w:val="21"/>
                      </w:rPr>
                      <w:t>•</w:t>
                    </w:r>
                  </w:p>
                  <w:p>
                    <w:pPr>
                      <w:spacing w:before="182"/>
                      <w:ind w:left="0" w:right="0" w:firstLine="0"/>
                      <w:jc w:val="left"/>
                      <w:rPr>
                        <w:rFonts w:ascii="Century Gothic" w:hAnsi="Century Gothic"/>
                        <w:sz w:val="21"/>
                      </w:rPr>
                    </w:pPr>
                    <w:r>
                      <w:rPr>
                        <w:rFonts w:ascii="Century Gothic" w:hAnsi="Century Gothic"/>
                        <w:color w:val="010202"/>
                        <w:w w:val="82"/>
                        <w:sz w:val="21"/>
                      </w:rPr>
                      <w:t>•</w:t>
                    </w:r>
                  </w:p>
                  <w:p>
                    <w:pPr>
                      <w:spacing w:before="183"/>
                      <w:ind w:left="0" w:right="0" w:firstLine="0"/>
                      <w:jc w:val="left"/>
                      <w:rPr>
                        <w:rFonts w:ascii="Century Gothic" w:hAnsi="Century Gothic"/>
                        <w:sz w:val="21"/>
                      </w:rPr>
                    </w:pPr>
                    <w:r>
                      <w:rPr>
                        <w:rFonts w:ascii="Century Gothic" w:hAnsi="Century Gothic"/>
                        <w:color w:val="010202"/>
                        <w:w w:val="82"/>
                        <w:sz w:val="21"/>
                      </w:rPr>
                      <w:t>•</w:t>
                    </w:r>
                  </w:p>
                </w:txbxContent>
              </v:textbox>
              <w10:wrap type="none"/>
            </v:shape>
            <v:shape style="position:absolute;left:7019;top:3975;width:1444;height:235" type="#_x0000_t202" id="docshape159" filled="false" stroked="false">
              <v:textbox inset="0,0,0,0">
                <w:txbxContent>
                  <w:p>
                    <w:pPr>
                      <w:spacing w:line="235" w:lineRule="exact" w:before="0"/>
                      <w:ind w:left="0" w:right="0" w:firstLine="0"/>
                      <w:jc w:val="left"/>
                      <w:rPr>
                        <w:rFonts w:ascii="Arial"/>
                        <w:sz w:val="21"/>
                      </w:rPr>
                    </w:pPr>
                    <w:hyperlink r:id="rId312">
                      <w:r>
                        <w:rPr>
                          <w:rFonts w:ascii="Arial"/>
                          <w:color w:val="3953A4"/>
                          <w:sz w:val="21"/>
                          <w:u w:val="single" w:color="3953A4"/>
                        </w:rPr>
                        <w:t>Project</w:t>
                      </w:r>
                      <w:r>
                        <w:rPr>
                          <w:rFonts w:ascii="Arial"/>
                          <w:color w:val="3953A4"/>
                          <w:spacing w:val="-1"/>
                          <w:sz w:val="21"/>
                          <w:u w:val="single" w:color="3953A4"/>
                        </w:rPr>
                        <w:t> </w:t>
                      </w:r>
                      <w:r>
                        <w:rPr>
                          <w:rFonts w:ascii="Arial"/>
                          <w:color w:val="3953A4"/>
                          <w:sz w:val="21"/>
                          <w:u w:val="single" w:color="3953A4"/>
                        </w:rPr>
                        <w:t>website</w:t>
                      </w:r>
                    </w:hyperlink>
                  </w:p>
                </w:txbxContent>
              </v:textbox>
              <w10:wrap type="none"/>
            </v:shape>
            <v:shape style="position:absolute;left:7019;top:4415;width:4034;height:935" type="#_x0000_t202" id="docshape160" filled="false" stroked="false">
              <v:textbox inset="0,0,0,0">
                <w:txbxContent>
                  <w:p>
                    <w:pPr>
                      <w:spacing w:line="235" w:lineRule="exact" w:before="0"/>
                      <w:ind w:left="0" w:right="0" w:firstLine="0"/>
                      <w:jc w:val="left"/>
                      <w:rPr>
                        <w:rFonts w:ascii="Arial"/>
                        <w:sz w:val="21"/>
                      </w:rPr>
                    </w:pPr>
                    <w:hyperlink r:id="rId313">
                      <w:r>
                        <w:rPr>
                          <w:rFonts w:ascii="Arial"/>
                          <w:color w:val="3953A4"/>
                          <w:sz w:val="21"/>
                          <w:u w:val="single" w:color="3953A4"/>
                        </w:rPr>
                        <w:t>Introduction to ESMCC video</w:t>
                      </w:r>
                    </w:hyperlink>
                  </w:p>
                  <w:p>
                    <w:pPr>
                      <w:spacing w:line="240" w:lineRule="auto" w:before="2"/>
                      <w:rPr>
                        <w:rFonts w:ascii="Arial"/>
                        <w:sz w:val="17"/>
                      </w:rPr>
                    </w:pPr>
                  </w:p>
                  <w:p>
                    <w:pPr>
                      <w:spacing w:before="1"/>
                      <w:ind w:left="0" w:right="0" w:firstLine="0"/>
                      <w:jc w:val="left"/>
                      <w:rPr>
                        <w:rFonts w:ascii="Arial"/>
                        <w:sz w:val="21"/>
                      </w:rPr>
                    </w:pPr>
                    <w:hyperlink r:id="rId314">
                      <w:r>
                        <w:rPr>
                          <w:rFonts w:ascii="Arial"/>
                          <w:color w:val="3953A4"/>
                          <w:spacing w:val="-1"/>
                          <w:sz w:val="21"/>
                          <w:u w:val="single" w:color="3953A4"/>
                        </w:rPr>
                        <w:t>University</w:t>
                      </w:r>
                      <w:r>
                        <w:rPr>
                          <w:rFonts w:ascii="Arial"/>
                          <w:color w:val="3953A4"/>
                          <w:spacing w:val="-3"/>
                          <w:sz w:val="21"/>
                          <w:u w:val="single" w:color="3953A4"/>
                        </w:rPr>
                        <w:t> </w:t>
                      </w:r>
                      <w:r>
                        <w:rPr>
                          <w:rFonts w:ascii="Arial"/>
                          <w:color w:val="3953A4"/>
                          <w:sz w:val="21"/>
                          <w:u w:val="single" w:color="3953A4"/>
                        </w:rPr>
                        <w:t>of</w:t>
                      </w:r>
                      <w:r>
                        <w:rPr>
                          <w:rFonts w:ascii="Arial"/>
                          <w:color w:val="3953A4"/>
                          <w:spacing w:val="-2"/>
                          <w:sz w:val="21"/>
                          <w:u w:val="single" w:color="3953A4"/>
                        </w:rPr>
                        <w:t> </w:t>
                      </w:r>
                      <w:r>
                        <w:rPr>
                          <w:rFonts w:ascii="Arial"/>
                          <w:color w:val="3953A4"/>
                          <w:sz w:val="21"/>
                          <w:u w:val="single" w:color="3953A4"/>
                        </w:rPr>
                        <w:t>Maryland</w:t>
                      </w:r>
                      <w:r>
                        <w:rPr>
                          <w:rFonts w:ascii="Arial"/>
                          <w:color w:val="3953A4"/>
                          <w:spacing w:val="-2"/>
                          <w:sz w:val="21"/>
                          <w:u w:val="single" w:color="3953A4"/>
                        </w:rPr>
                        <w:t> </w:t>
                      </w:r>
                      <w:r>
                        <w:rPr>
                          <w:rFonts w:ascii="Arial"/>
                          <w:color w:val="3953A4"/>
                          <w:sz w:val="21"/>
                          <w:u w:val="single" w:color="3953A4"/>
                        </w:rPr>
                        <w:t>Division</w:t>
                      </w:r>
                      <w:r>
                        <w:rPr>
                          <w:rFonts w:ascii="Arial"/>
                          <w:color w:val="3953A4"/>
                          <w:spacing w:val="-2"/>
                          <w:sz w:val="21"/>
                          <w:u w:val="single" w:color="3953A4"/>
                        </w:rPr>
                        <w:t> </w:t>
                      </w:r>
                      <w:r>
                        <w:rPr>
                          <w:rFonts w:ascii="Arial"/>
                          <w:color w:val="3953A4"/>
                          <w:sz w:val="21"/>
                          <w:u w:val="single" w:color="3953A4"/>
                        </w:rPr>
                        <w:t>of</w:t>
                      </w:r>
                      <w:r>
                        <w:rPr>
                          <w:rFonts w:ascii="Arial"/>
                          <w:color w:val="3953A4"/>
                          <w:spacing w:val="-13"/>
                          <w:sz w:val="21"/>
                          <w:u w:val="single" w:color="3953A4"/>
                        </w:rPr>
                        <w:t> </w:t>
                      </w:r>
                      <w:r>
                        <w:rPr>
                          <w:rFonts w:ascii="Arial"/>
                          <w:color w:val="3953A4"/>
                          <w:sz w:val="21"/>
                          <w:u w:val="single" w:color="3953A4"/>
                        </w:rPr>
                        <w:t>Addiction</w:t>
                      </w:r>
                    </w:hyperlink>
                  </w:p>
                  <w:p>
                    <w:pPr>
                      <w:spacing w:before="18"/>
                      <w:ind w:left="0" w:right="0" w:firstLine="0"/>
                      <w:jc w:val="left"/>
                      <w:rPr>
                        <w:rFonts w:ascii="Arial"/>
                        <w:sz w:val="21"/>
                      </w:rPr>
                    </w:pPr>
                    <w:hyperlink r:id="rId314">
                      <w:r>
                        <w:rPr>
                          <w:rFonts w:ascii="Arial"/>
                          <w:color w:val="3953A4"/>
                          <w:sz w:val="21"/>
                          <w:u w:val="single" w:color="3953A4"/>
                        </w:rPr>
                        <w:t>Research</w:t>
                      </w:r>
                      <w:r>
                        <w:rPr>
                          <w:rFonts w:ascii="Arial"/>
                          <w:color w:val="3953A4"/>
                          <w:spacing w:val="-3"/>
                          <w:sz w:val="21"/>
                          <w:u w:val="single" w:color="3953A4"/>
                        </w:rPr>
                        <w:t> </w:t>
                      </w:r>
                      <w:r>
                        <w:rPr>
                          <w:rFonts w:ascii="Arial"/>
                          <w:color w:val="3953A4"/>
                          <w:sz w:val="21"/>
                          <w:u w:val="single" w:color="3953A4"/>
                        </w:rPr>
                        <w:t>and</w:t>
                      </w:r>
                      <w:r>
                        <w:rPr>
                          <w:rFonts w:ascii="Arial"/>
                          <w:color w:val="3953A4"/>
                          <w:spacing w:val="-5"/>
                          <w:sz w:val="21"/>
                          <w:u w:val="single" w:color="3953A4"/>
                        </w:rPr>
                        <w:t> </w:t>
                      </w:r>
                      <w:r>
                        <w:rPr>
                          <w:rFonts w:ascii="Arial"/>
                          <w:color w:val="3953A4"/>
                          <w:sz w:val="21"/>
                          <w:u w:val="single" w:color="3953A4"/>
                        </w:rPr>
                        <w:t>Treatmen</w:t>
                      </w:r>
                    </w:hyperlink>
                    <w:r>
                      <w:rPr>
                        <w:rFonts w:ascii="Arial"/>
                        <w:color w:val="3953A4"/>
                        <w:sz w:val="21"/>
                        <w:u w:val="single" w:color="3953A4"/>
                      </w:rPr>
                      <w:t>t</w:t>
                    </w:r>
                    <w:r>
                      <w:rPr>
                        <w:rFonts w:ascii="Arial"/>
                        <w:color w:val="3953A4"/>
                        <w:spacing w:val="-2"/>
                        <w:sz w:val="21"/>
                        <w:u w:val="single" w:color="3953A4"/>
                      </w:rPr>
                      <w:t> </w:t>
                    </w:r>
                    <w:r>
                      <w:rPr>
                        <w:rFonts w:ascii="Arial"/>
                        <w:color w:val="3953A4"/>
                        <w:sz w:val="21"/>
                        <w:u w:val="single" w:color="3953A4"/>
                      </w:rPr>
                      <w:t>website</w:t>
                    </w:r>
                  </w:p>
                </w:txbxContent>
              </v:textbox>
              <w10:wrap type="none"/>
            </v:shape>
            <v:shape style="position:absolute;left:6660;top:5539;width:4637;height:1471" type="#_x0000_t202" id="docshape161" filled="false" stroked="false">
              <v:textbox inset="0,0,0,0">
                <w:txbxContent>
                  <w:p>
                    <w:pPr>
                      <w:numPr>
                        <w:ilvl w:val="0"/>
                        <w:numId w:val="63"/>
                      </w:numPr>
                      <w:tabs>
                        <w:tab w:pos="359" w:val="left" w:leader="none"/>
                        <w:tab w:pos="360" w:val="left" w:leader="none"/>
                      </w:tabs>
                      <w:spacing w:line="256" w:lineRule="auto" w:before="0"/>
                      <w:ind w:left="359" w:right="18" w:hanging="360"/>
                      <w:jc w:val="left"/>
                      <w:rPr>
                        <w:rFonts w:ascii="Arial" w:hAnsi="Arial"/>
                        <w:sz w:val="21"/>
                      </w:rPr>
                    </w:pPr>
                    <w:hyperlink r:id="rId162">
                      <w:r>
                        <w:rPr>
                          <w:rFonts w:ascii="Arial" w:hAnsi="Arial"/>
                          <w:color w:val="3953A4"/>
                          <w:spacing w:val="-1"/>
                          <w:sz w:val="21"/>
                          <w:u w:val="single" w:color="3953A4"/>
                        </w:rPr>
                        <w:t>Telemedicine’s </w:t>
                      </w:r>
                      <w:r>
                        <w:rPr>
                          <w:rFonts w:ascii="Arial" w:hAnsi="Arial"/>
                          <w:color w:val="3953A4"/>
                          <w:sz w:val="21"/>
                          <w:u w:val="single" w:color="3953A4"/>
                        </w:rPr>
                        <w:t>Role in Addressing the Opioid</w:t>
                      </w:r>
                    </w:hyperlink>
                    <w:r>
                      <w:rPr>
                        <w:rFonts w:ascii="Arial" w:hAnsi="Arial"/>
                        <w:color w:val="3953A4"/>
                        <w:spacing w:val="-56"/>
                        <w:sz w:val="21"/>
                      </w:rPr>
                      <w:t> </w:t>
                    </w:r>
                    <w:hyperlink r:id="rId162">
                      <w:r>
                        <w:rPr>
                          <w:rFonts w:ascii="Arial" w:hAnsi="Arial"/>
                          <w:color w:val="3953A4"/>
                          <w:sz w:val="21"/>
                          <w:u w:val="single" w:color="3953A4"/>
                        </w:rPr>
                        <w:t>Epidemi</w:t>
                      </w:r>
                    </w:hyperlink>
                    <w:r>
                      <w:rPr>
                        <w:rFonts w:ascii="Arial" w:hAnsi="Arial"/>
                        <w:color w:val="3953A4"/>
                        <w:sz w:val="21"/>
                        <w:u w:val="single" w:color="3953A4"/>
                      </w:rPr>
                      <w:t>c article</w:t>
                    </w:r>
                  </w:p>
                  <w:p>
                    <w:pPr>
                      <w:numPr>
                        <w:ilvl w:val="0"/>
                        <w:numId w:val="63"/>
                      </w:numPr>
                      <w:tabs>
                        <w:tab w:pos="359" w:val="left" w:leader="none"/>
                        <w:tab w:pos="360" w:val="left" w:leader="none"/>
                      </w:tabs>
                      <w:spacing w:line="256" w:lineRule="auto" w:before="157"/>
                      <w:ind w:left="359" w:right="442" w:hanging="360"/>
                      <w:jc w:val="left"/>
                      <w:rPr>
                        <w:rFonts w:ascii="Arial"/>
                        <w:sz w:val="21"/>
                      </w:rPr>
                    </w:pPr>
                    <w:hyperlink r:id="rId315">
                      <w:r>
                        <w:rPr>
                          <w:rFonts w:ascii="Arial"/>
                          <w:color w:val="3953A4"/>
                          <w:sz w:val="21"/>
                          <w:u w:val="single" w:color="3953A4"/>
                        </w:rPr>
                        <w:t>Expanding Access to Buprenorphine</w:t>
                      </w:r>
                    </w:hyperlink>
                    <w:r>
                      <w:rPr>
                        <w:rFonts w:ascii="Arial"/>
                        <w:color w:val="3953A4"/>
                        <w:spacing w:val="1"/>
                        <w:sz w:val="21"/>
                      </w:rPr>
                      <w:t> </w:t>
                    </w:r>
                    <w:hyperlink r:id="rId315">
                      <w:r>
                        <w:rPr>
                          <w:rFonts w:ascii="Arial"/>
                          <w:color w:val="3953A4"/>
                          <w:sz w:val="21"/>
                          <w:u w:val="single" w:color="3953A4"/>
                        </w:rPr>
                        <w:t>Treatment in Rural Areas with the Use of</w:t>
                      </w:r>
                    </w:hyperlink>
                    <w:r>
                      <w:rPr>
                        <w:rFonts w:ascii="Arial"/>
                        <w:color w:val="3953A4"/>
                        <w:spacing w:val="-56"/>
                        <w:sz w:val="21"/>
                      </w:rPr>
                      <w:t> </w:t>
                    </w:r>
                    <w:hyperlink r:id="rId315">
                      <w:r>
                        <w:rPr>
                          <w:rFonts w:ascii="Arial"/>
                          <w:color w:val="3953A4"/>
                          <w:sz w:val="21"/>
                          <w:u w:val="single" w:color="3953A4"/>
                        </w:rPr>
                        <w:t>Telemedicin</w:t>
                      </w:r>
                    </w:hyperlink>
                    <w:r>
                      <w:rPr>
                        <w:rFonts w:ascii="Arial"/>
                        <w:color w:val="3953A4"/>
                        <w:sz w:val="21"/>
                        <w:u w:val="single" w:color="3953A4"/>
                      </w:rPr>
                      <w:t>e</w:t>
                    </w:r>
                    <w:r>
                      <w:rPr>
                        <w:rFonts w:ascii="Arial"/>
                        <w:color w:val="3953A4"/>
                        <w:spacing w:val="-1"/>
                        <w:sz w:val="21"/>
                        <w:u w:val="single" w:color="3953A4"/>
                      </w:rPr>
                      <w:t> </w:t>
                    </w:r>
                    <w:r>
                      <w:rPr>
                        <w:rFonts w:ascii="Arial"/>
                        <w:color w:val="3953A4"/>
                        <w:sz w:val="21"/>
                        <w:u w:val="single" w:color="3953A4"/>
                      </w:rPr>
                      <w:t>study</w:t>
                    </w:r>
                  </w:p>
                </w:txbxContent>
              </v:textbox>
              <w10:wrap type="none"/>
            </v:shape>
            <w10:wrap type="none"/>
          </v:group>
        </w:pict>
      </w:r>
      <w:r>
        <w:rPr>
          <w:color w:val="231F20"/>
        </w:rPr>
        <w:t>The Eastern Shore Mobile Care Collaborative (ESMCC)</w:t>
      </w:r>
      <w:r>
        <w:rPr>
          <w:color w:val="231F20"/>
          <w:spacing w:val="-52"/>
        </w:rPr>
        <w:t> </w:t>
      </w:r>
      <w:r>
        <w:rPr>
          <w:color w:val="231F20"/>
        </w:rPr>
        <w:t>at Caroline County Health Department is a Mobile</w:t>
      </w:r>
      <w:r>
        <w:rPr>
          <w:color w:val="231F20"/>
          <w:spacing w:val="1"/>
        </w:rPr>
        <w:t> </w:t>
      </w:r>
      <w:r>
        <w:rPr>
          <w:color w:val="231F20"/>
        </w:rPr>
        <w:t>Treatment Unit (a van referred to as the Unit) that aims</w:t>
      </w:r>
      <w:r>
        <w:rPr>
          <w:color w:val="231F20"/>
          <w:spacing w:val="1"/>
        </w:rPr>
        <w:t> </w:t>
      </w:r>
      <w:r>
        <w:rPr>
          <w:color w:val="231F20"/>
        </w:rPr>
        <w:t>to increase access to care in Caroline County on the</w:t>
      </w:r>
      <w:r>
        <w:rPr>
          <w:color w:val="231F20"/>
          <w:spacing w:val="1"/>
        </w:rPr>
        <w:t> </w:t>
      </w:r>
      <w:r>
        <w:rPr>
          <w:color w:val="231F20"/>
        </w:rPr>
        <w:t>Eastern Shore of Maryland by providing medication-</w:t>
      </w:r>
      <w:r>
        <w:rPr>
          <w:color w:val="231F20"/>
          <w:spacing w:val="1"/>
        </w:rPr>
        <w:t> </w:t>
      </w:r>
      <w:r>
        <w:rPr>
          <w:color w:val="231F20"/>
        </w:rPr>
        <w:t>based treatment for individuals with opioid use disorders</w:t>
      </w:r>
      <w:r>
        <w:rPr>
          <w:color w:val="231F20"/>
          <w:spacing w:val="-52"/>
        </w:rPr>
        <w:t> </w:t>
      </w:r>
      <w:r>
        <w:rPr>
          <w:color w:val="231F20"/>
        </w:rPr>
        <w:t>(OUD) in underserved rural communities through hybrid</w:t>
      </w:r>
      <w:r>
        <w:rPr>
          <w:color w:val="231F20"/>
          <w:spacing w:val="-52"/>
        </w:rPr>
        <w:t> </w:t>
      </w:r>
      <w:r>
        <w:rPr>
          <w:color w:val="231F20"/>
        </w:rPr>
        <w:t>in-person and telehealth services.</w:t>
      </w:r>
    </w:p>
    <w:p>
      <w:pPr>
        <w:pStyle w:val="BodyText"/>
        <w:spacing w:line="266" w:lineRule="auto" w:before="174"/>
        <w:ind w:left="120" w:right="6878"/>
      </w:pPr>
      <w:r>
        <w:rPr>
          <w:color w:val="231F20"/>
        </w:rPr>
        <w:t>The ESMCC is a partnership between the Caroline</w:t>
      </w:r>
      <w:r>
        <w:rPr>
          <w:color w:val="231F20"/>
          <w:spacing w:val="1"/>
        </w:rPr>
        <w:t> </w:t>
      </w:r>
      <w:r>
        <w:rPr>
          <w:color w:val="231F20"/>
        </w:rPr>
        <w:t>County Health Department and the University of</w:t>
      </w:r>
      <w:r>
        <w:rPr>
          <w:color w:val="231F20"/>
          <w:spacing w:val="1"/>
        </w:rPr>
        <w:t> </w:t>
      </w:r>
      <w:r>
        <w:rPr>
          <w:color w:val="231F20"/>
        </w:rPr>
        <w:t>Maryland School of Medicine (UMSOM) Division</w:t>
      </w:r>
      <w:r>
        <w:rPr>
          <w:color w:val="231F20"/>
          <w:spacing w:val="1"/>
        </w:rPr>
        <w:t> </w:t>
      </w:r>
      <w:r>
        <w:rPr>
          <w:color w:val="231F20"/>
          <w:spacing w:val="-2"/>
        </w:rPr>
        <w:t>of Addiction Research and Treatment. This program</w:t>
      </w:r>
      <w:r>
        <w:rPr>
          <w:color w:val="231F20"/>
          <w:spacing w:val="-1"/>
        </w:rPr>
        <w:t> </w:t>
      </w:r>
      <w:r>
        <w:rPr>
          <w:color w:val="231F20"/>
        </w:rPr>
        <w:t>is</w:t>
      </w:r>
      <w:r>
        <w:rPr>
          <w:color w:val="231F20"/>
          <w:spacing w:val="-13"/>
        </w:rPr>
        <w:t> </w:t>
      </w:r>
      <w:r>
        <w:rPr>
          <w:color w:val="231F20"/>
        </w:rPr>
        <w:t>funded</w:t>
      </w:r>
      <w:r>
        <w:rPr>
          <w:color w:val="231F20"/>
          <w:spacing w:val="-12"/>
        </w:rPr>
        <w:t> </w:t>
      </w:r>
      <w:r>
        <w:rPr>
          <w:color w:val="231F20"/>
        </w:rPr>
        <w:t>through</w:t>
      </w:r>
      <w:r>
        <w:rPr>
          <w:color w:val="231F20"/>
          <w:spacing w:val="-13"/>
        </w:rPr>
        <w:t> </w:t>
      </w:r>
      <w:r>
        <w:rPr>
          <w:color w:val="231F20"/>
        </w:rPr>
        <w:t>the</w:t>
      </w:r>
      <w:r>
        <w:rPr>
          <w:color w:val="231F20"/>
          <w:spacing w:val="-12"/>
        </w:rPr>
        <w:t> </w:t>
      </w:r>
      <w:r>
        <w:rPr>
          <w:color w:val="231F20"/>
        </w:rPr>
        <w:t>Health</w:t>
      </w:r>
      <w:r>
        <w:rPr>
          <w:color w:val="231F20"/>
          <w:spacing w:val="-13"/>
        </w:rPr>
        <w:t> </w:t>
      </w:r>
      <w:r>
        <w:rPr>
          <w:color w:val="231F20"/>
        </w:rPr>
        <w:t>Resources</w:t>
      </w:r>
      <w:r>
        <w:rPr>
          <w:color w:val="231F20"/>
          <w:spacing w:val="-12"/>
        </w:rPr>
        <w:t> </w:t>
      </w:r>
      <w:r>
        <w:rPr>
          <w:color w:val="231F20"/>
        </w:rPr>
        <w:t>and</w:t>
      </w:r>
      <w:r>
        <w:rPr>
          <w:color w:val="231F20"/>
          <w:spacing w:val="-13"/>
        </w:rPr>
        <w:t> </w:t>
      </w:r>
      <w:r>
        <w:rPr>
          <w:color w:val="231F20"/>
        </w:rPr>
        <w:t>Services</w:t>
      </w:r>
    </w:p>
    <w:p>
      <w:pPr>
        <w:pStyle w:val="BodyText"/>
        <w:spacing w:line="266" w:lineRule="auto"/>
        <w:ind w:left="120" w:right="6691"/>
      </w:pPr>
      <w:r>
        <w:rPr>
          <w:color w:val="231F20"/>
          <w:spacing w:val="-2"/>
        </w:rPr>
        <w:t>Administration’s</w:t>
      </w:r>
      <w:r>
        <w:rPr>
          <w:color w:val="231F20"/>
          <w:spacing w:val="-12"/>
        </w:rPr>
        <w:t> </w:t>
      </w:r>
      <w:r>
        <w:rPr>
          <w:color w:val="231F20"/>
          <w:spacing w:val="-2"/>
        </w:rPr>
        <w:t>Federal</w:t>
      </w:r>
      <w:r>
        <w:rPr>
          <w:color w:val="231F20"/>
          <w:spacing w:val="-12"/>
        </w:rPr>
        <w:t> </w:t>
      </w:r>
      <w:r>
        <w:rPr>
          <w:color w:val="231F20"/>
          <w:spacing w:val="-1"/>
        </w:rPr>
        <w:t>Office</w:t>
      </w:r>
      <w:r>
        <w:rPr>
          <w:color w:val="231F20"/>
          <w:spacing w:val="-11"/>
        </w:rPr>
        <w:t> </w:t>
      </w:r>
      <w:r>
        <w:rPr>
          <w:color w:val="231F20"/>
          <w:spacing w:val="-1"/>
        </w:rPr>
        <w:t>of</w:t>
      </w:r>
      <w:r>
        <w:rPr>
          <w:color w:val="231F20"/>
          <w:spacing w:val="-12"/>
        </w:rPr>
        <w:t> </w:t>
      </w:r>
      <w:r>
        <w:rPr>
          <w:color w:val="231F20"/>
          <w:spacing w:val="-1"/>
        </w:rPr>
        <w:t>Rural</w:t>
      </w:r>
      <w:r>
        <w:rPr>
          <w:color w:val="231F20"/>
          <w:spacing w:val="-12"/>
        </w:rPr>
        <w:t> </w:t>
      </w:r>
      <w:r>
        <w:rPr>
          <w:color w:val="231F20"/>
          <w:spacing w:val="-1"/>
        </w:rPr>
        <w:t>Health</w:t>
      </w:r>
      <w:r>
        <w:rPr>
          <w:color w:val="231F20"/>
          <w:spacing w:val="-11"/>
        </w:rPr>
        <w:t> </w:t>
      </w:r>
      <w:r>
        <w:rPr>
          <w:color w:val="231F20"/>
          <w:spacing w:val="-1"/>
        </w:rPr>
        <w:t>Policy,</w:t>
      </w:r>
      <w:r>
        <w:rPr>
          <w:color w:val="231F20"/>
          <w:spacing w:val="-52"/>
        </w:rPr>
        <w:t> </w:t>
      </w:r>
      <w:r>
        <w:rPr>
          <w:color w:val="231F20"/>
        </w:rPr>
        <w:t>the University of Maryland School of Medicine, the</w:t>
      </w:r>
      <w:r>
        <w:rPr>
          <w:color w:val="231F20"/>
          <w:spacing w:val="1"/>
        </w:rPr>
        <w:t> </w:t>
      </w:r>
      <w:r>
        <w:rPr>
          <w:color w:val="231F20"/>
          <w:spacing w:val="-1"/>
        </w:rPr>
        <w:t>Maryland</w:t>
      </w:r>
      <w:r>
        <w:rPr>
          <w:color w:val="231F20"/>
          <w:spacing w:val="-12"/>
        </w:rPr>
        <w:t> </w:t>
      </w:r>
      <w:r>
        <w:rPr>
          <w:color w:val="231F20"/>
          <w:spacing w:val="-1"/>
        </w:rPr>
        <w:t>Department</w:t>
      </w:r>
      <w:r>
        <w:rPr>
          <w:color w:val="231F20"/>
          <w:spacing w:val="-12"/>
        </w:rPr>
        <w:t> </w:t>
      </w:r>
      <w:r>
        <w:rPr>
          <w:color w:val="231F20"/>
        </w:rPr>
        <w:t>of</w:t>
      </w:r>
      <w:r>
        <w:rPr>
          <w:color w:val="231F20"/>
          <w:spacing w:val="-12"/>
        </w:rPr>
        <w:t> </w:t>
      </w:r>
      <w:r>
        <w:rPr>
          <w:color w:val="231F20"/>
        </w:rPr>
        <w:t>Health</w:t>
      </w:r>
      <w:r>
        <w:rPr>
          <w:color w:val="231F20"/>
          <w:spacing w:val="-11"/>
        </w:rPr>
        <w:t> </w:t>
      </w:r>
      <w:r>
        <w:rPr>
          <w:color w:val="231F20"/>
        </w:rPr>
        <w:t>and</w:t>
      </w:r>
      <w:r>
        <w:rPr>
          <w:color w:val="231F20"/>
          <w:spacing w:val="-12"/>
        </w:rPr>
        <w:t> </w:t>
      </w:r>
      <w:r>
        <w:rPr>
          <w:color w:val="231F20"/>
        </w:rPr>
        <w:t>Behavioral</w:t>
      </w:r>
      <w:r>
        <w:rPr>
          <w:color w:val="231F20"/>
          <w:spacing w:val="-12"/>
        </w:rPr>
        <w:t> </w:t>
      </w:r>
      <w:r>
        <w:rPr>
          <w:color w:val="231F20"/>
        </w:rPr>
        <w:t>Health</w:t>
      </w:r>
      <w:r>
        <w:rPr>
          <w:color w:val="231F20"/>
          <w:spacing w:val="-52"/>
        </w:rPr>
        <w:t> </w:t>
      </w:r>
      <w:r>
        <w:rPr>
          <w:color w:val="231F20"/>
        </w:rPr>
        <w:t>Administration, and the Caroline County Health</w:t>
      </w:r>
      <w:r>
        <w:rPr>
          <w:color w:val="231F20"/>
          <w:spacing w:val="1"/>
        </w:rPr>
        <w:t> </w:t>
      </w:r>
      <w:r>
        <w:rPr>
          <w:color w:val="231F20"/>
        </w:rPr>
        <w:t>Department. The ESMCC began in 2015 as a response</w:t>
      </w:r>
      <w:r>
        <w:rPr>
          <w:color w:val="231F20"/>
          <w:spacing w:val="-52"/>
        </w:rPr>
        <w:t> </w:t>
      </w:r>
      <w:r>
        <w:rPr>
          <w:color w:val="231F20"/>
        </w:rPr>
        <w:t>to</w:t>
      </w:r>
      <w:r>
        <w:rPr>
          <w:color w:val="231F20"/>
          <w:spacing w:val="-8"/>
        </w:rPr>
        <w:t> </w:t>
      </w:r>
      <w:r>
        <w:rPr>
          <w:color w:val="231F20"/>
        </w:rPr>
        <w:t>surging</w:t>
      </w:r>
      <w:r>
        <w:rPr>
          <w:color w:val="231F20"/>
          <w:spacing w:val="-8"/>
        </w:rPr>
        <w:t> </w:t>
      </w:r>
      <w:r>
        <w:rPr>
          <w:color w:val="231F20"/>
        </w:rPr>
        <w:t>client</w:t>
      </w:r>
      <w:r>
        <w:rPr>
          <w:color w:val="231F20"/>
          <w:spacing w:val="-7"/>
        </w:rPr>
        <w:t> </w:t>
      </w:r>
      <w:r>
        <w:rPr>
          <w:color w:val="231F20"/>
        </w:rPr>
        <w:t>need</w:t>
      </w:r>
      <w:r>
        <w:rPr>
          <w:color w:val="231F20"/>
          <w:spacing w:val="-8"/>
        </w:rPr>
        <w:t> </w:t>
      </w:r>
      <w:r>
        <w:rPr>
          <w:color w:val="231F20"/>
        </w:rPr>
        <w:t>for</w:t>
      </w:r>
      <w:r>
        <w:rPr>
          <w:color w:val="231F20"/>
          <w:spacing w:val="-7"/>
        </w:rPr>
        <w:t> </w:t>
      </w:r>
      <w:r>
        <w:rPr>
          <w:color w:val="231F20"/>
        </w:rPr>
        <w:t>OUD</w:t>
      </w:r>
      <w:r>
        <w:rPr>
          <w:color w:val="231F20"/>
          <w:spacing w:val="-8"/>
        </w:rPr>
        <w:t> </w:t>
      </w:r>
      <w:r>
        <w:rPr>
          <w:color w:val="231F20"/>
        </w:rPr>
        <w:t>treatment</w:t>
      </w:r>
      <w:r>
        <w:rPr>
          <w:color w:val="231F20"/>
          <w:spacing w:val="-7"/>
        </w:rPr>
        <w:t> </w:t>
      </w:r>
      <w:r>
        <w:rPr>
          <w:color w:val="231F20"/>
        </w:rPr>
        <w:t>and</w:t>
      </w:r>
      <w:r>
        <w:rPr>
          <w:color w:val="231F20"/>
          <w:spacing w:val="-8"/>
        </w:rPr>
        <w:t> </w:t>
      </w:r>
      <w:r>
        <w:rPr>
          <w:color w:val="231F20"/>
        </w:rPr>
        <w:t>a</w:t>
      </w:r>
      <w:r>
        <w:rPr>
          <w:color w:val="231F20"/>
          <w:spacing w:val="-7"/>
        </w:rPr>
        <w:t> </w:t>
      </w:r>
      <w:r>
        <w:rPr>
          <w:color w:val="231F20"/>
        </w:rPr>
        <w:t>lack</w:t>
      </w:r>
    </w:p>
    <w:p>
      <w:pPr>
        <w:pStyle w:val="BodyText"/>
        <w:spacing w:line="266" w:lineRule="auto"/>
        <w:ind w:left="120" w:right="6487"/>
      </w:pPr>
      <w:r>
        <w:rPr>
          <w:color w:val="231F20"/>
        </w:rPr>
        <w:t>of providers approved by the Drug Enforcement</w:t>
      </w:r>
      <w:r>
        <w:rPr>
          <w:color w:val="231F20"/>
          <w:spacing w:val="1"/>
        </w:rPr>
        <w:t> </w:t>
      </w:r>
      <w:r>
        <w:rPr>
          <w:color w:val="231F20"/>
        </w:rPr>
        <w:t>Administration (DEA) to prescribe OUD medications in</w:t>
      </w:r>
      <w:r>
        <w:rPr>
          <w:color w:val="231F20"/>
          <w:spacing w:val="1"/>
        </w:rPr>
        <w:t> </w:t>
      </w:r>
      <w:r>
        <w:rPr>
          <w:color w:val="231F20"/>
          <w:spacing w:val="-1"/>
        </w:rPr>
        <w:t>rural</w:t>
      </w:r>
      <w:r>
        <w:rPr>
          <w:color w:val="231F20"/>
          <w:spacing w:val="-13"/>
        </w:rPr>
        <w:t> </w:t>
      </w:r>
      <w:r>
        <w:rPr>
          <w:color w:val="231F20"/>
          <w:spacing w:val="-1"/>
        </w:rPr>
        <w:t>Maryland</w:t>
      </w:r>
      <w:r>
        <w:rPr>
          <w:color w:val="231F20"/>
          <w:spacing w:val="-12"/>
        </w:rPr>
        <w:t> </w:t>
      </w:r>
      <w:r>
        <w:rPr>
          <w:color w:val="231F20"/>
        </w:rPr>
        <w:t>(also</w:t>
      </w:r>
      <w:r>
        <w:rPr>
          <w:color w:val="231F20"/>
          <w:spacing w:val="-13"/>
        </w:rPr>
        <w:t> </w:t>
      </w:r>
      <w:r>
        <w:rPr>
          <w:color w:val="231F20"/>
        </w:rPr>
        <w:t>referred</w:t>
      </w:r>
      <w:r>
        <w:rPr>
          <w:color w:val="231F20"/>
          <w:spacing w:val="-12"/>
        </w:rPr>
        <w:t> </w:t>
      </w:r>
      <w:r>
        <w:rPr>
          <w:color w:val="231F20"/>
        </w:rPr>
        <w:t>to</w:t>
      </w:r>
      <w:r>
        <w:rPr>
          <w:color w:val="231F20"/>
          <w:spacing w:val="-13"/>
        </w:rPr>
        <w:t> </w:t>
      </w:r>
      <w:r>
        <w:rPr>
          <w:color w:val="231F20"/>
        </w:rPr>
        <w:t>as</w:t>
      </w:r>
      <w:r>
        <w:rPr>
          <w:color w:val="231F20"/>
          <w:spacing w:val="-12"/>
        </w:rPr>
        <w:t> </w:t>
      </w:r>
      <w:r>
        <w:rPr>
          <w:color w:val="231F20"/>
        </w:rPr>
        <w:t>“waivered</w:t>
      </w:r>
      <w:r>
        <w:rPr>
          <w:color w:val="231F20"/>
          <w:spacing w:val="-13"/>
        </w:rPr>
        <w:t> </w:t>
      </w:r>
      <w:r>
        <w:rPr>
          <w:color w:val="231F20"/>
        </w:rPr>
        <w:t>providers”).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pStyle w:val="BodyText"/>
        <w:spacing w:line="266" w:lineRule="auto" w:before="91"/>
        <w:ind w:left="5880" w:right="900"/>
      </w:pPr>
      <w:r>
        <w:rPr/>
        <w:drawing>
          <wp:anchor distT="0" distB="0" distL="0" distR="0" allowOverlap="1" layoutInCell="1" locked="0" behindDoc="0" simplePos="0" relativeHeight="15753216">
            <wp:simplePos x="0" y="0"/>
            <wp:positionH relativeFrom="page">
              <wp:posOffset>457200</wp:posOffset>
            </wp:positionH>
            <wp:positionV relativeFrom="paragraph">
              <wp:posOffset>-500435</wp:posOffset>
            </wp:positionV>
            <wp:extent cx="3200400" cy="2798064"/>
            <wp:effectExtent l="0" t="0" r="0" b="0"/>
            <wp:wrapNone/>
            <wp:docPr id="39" name="image21.png"/>
            <wp:cNvGraphicFramePr>
              <a:graphicFrameLocks noChangeAspect="1"/>
            </wp:cNvGraphicFramePr>
            <a:graphic>
              <a:graphicData uri="http://schemas.openxmlformats.org/drawingml/2006/picture">
                <pic:pic>
                  <pic:nvPicPr>
                    <pic:cNvPr id="40" name="image21.png"/>
                    <pic:cNvPicPr/>
                  </pic:nvPicPr>
                  <pic:blipFill>
                    <a:blip r:embed="rId316" cstate="print"/>
                    <a:stretch>
                      <a:fillRect/>
                    </a:stretch>
                  </pic:blipFill>
                  <pic:spPr>
                    <a:xfrm>
                      <a:off x="0" y="0"/>
                      <a:ext cx="3200400" cy="2798064"/>
                    </a:xfrm>
                    <a:prstGeom prst="rect">
                      <a:avLst/>
                    </a:prstGeom>
                  </pic:spPr>
                </pic:pic>
              </a:graphicData>
            </a:graphic>
          </wp:anchor>
        </w:drawing>
      </w:r>
      <w:r>
        <w:rPr>
          <w:color w:val="231F20"/>
        </w:rPr>
        <w:t>The Unit travels to three townships in Caroline County</w:t>
      </w:r>
      <w:r>
        <w:rPr>
          <w:color w:val="231F20"/>
          <w:spacing w:val="-52"/>
        </w:rPr>
        <w:t> </w:t>
      </w:r>
      <w:r>
        <w:rPr>
          <w:color w:val="231F20"/>
        </w:rPr>
        <w:t>four days a week, parking at community centers,</w:t>
      </w:r>
      <w:r>
        <w:rPr>
          <w:color w:val="231F20"/>
          <w:spacing w:val="1"/>
        </w:rPr>
        <w:t> </w:t>
      </w:r>
      <w:r>
        <w:rPr>
          <w:color w:val="231F20"/>
        </w:rPr>
        <w:t>churches, and health department parking lots. Whereas</w:t>
      </w:r>
      <w:r>
        <w:rPr>
          <w:color w:val="231F20"/>
          <w:spacing w:val="-52"/>
        </w:rPr>
        <w:t> </w:t>
      </w:r>
      <w:r>
        <w:rPr>
          <w:color w:val="231F20"/>
        </w:rPr>
        <w:t>traditional telehealth programs rely on client access to</w:t>
      </w:r>
      <w:r>
        <w:rPr>
          <w:color w:val="231F20"/>
          <w:spacing w:val="1"/>
        </w:rPr>
        <w:t> </w:t>
      </w:r>
      <w:r>
        <w:rPr>
          <w:color w:val="231F20"/>
        </w:rPr>
        <w:t>and proficiency with technology, the Unit brings the</w:t>
      </w:r>
      <w:r>
        <w:rPr>
          <w:color w:val="231F20"/>
          <w:spacing w:val="1"/>
        </w:rPr>
        <w:t> </w:t>
      </w:r>
      <w:r>
        <w:rPr>
          <w:color w:val="231F20"/>
        </w:rPr>
        <w:t>technology and wraparound services directly to the</w:t>
      </w:r>
      <w:r>
        <w:rPr>
          <w:color w:val="231F20"/>
          <w:spacing w:val="1"/>
        </w:rPr>
        <w:t> </w:t>
      </w:r>
      <w:r>
        <w:rPr>
          <w:color w:val="231F20"/>
        </w:rPr>
        <w:t>clients.</w:t>
      </w:r>
    </w:p>
    <w:p>
      <w:pPr>
        <w:pStyle w:val="Heading5"/>
        <w:spacing w:before="174"/>
        <w:ind w:left="5880"/>
      </w:pPr>
      <w:r>
        <w:rPr>
          <w:color w:val="CE384B"/>
        </w:rPr>
        <w:t>Client Population</w:t>
      </w:r>
    </w:p>
    <w:p>
      <w:pPr>
        <w:pStyle w:val="BodyText"/>
        <w:spacing w:line="266" w:lineRule="auto" w:before="118"/>
        <w:ind w:left="5880" w:right="1027"/>
      </w:pPr>
      <w:r>
        <w:rPr>
          <w:color w:val="231F20"/>
          <w:spacing w:val="-3"/>
        </w:rPr>
        <w:t>Approximately 125 clients receive treatment through</w:t>
      </w:r>
      <w:r>
        <w:rPr>
          <w:color w:val="231F20"/>
          <w:spacing w:val="-2"/>
        </w:rPr>
        <w:t> </w:t>
      </w:r>
      <w:r>
        <w:rPr>
          <w:color w:val="231F20"/>
          <w:spacing w:val="-4"/>
        </w:rPr>
        <w:t>the</w:t>
      </w:r>
      <w:r>
        <w:rPr>
          <w:color w:val="231F20"/>
          <w:spacing w:val="-7"/>
        </w:rPr>
        <w:t> </w:t>
      </w:r>
      <w:r>
        <w:rPr>
          <w:color w:val="231F20"/>
          <w:spacing w:val="-4"/>
        </w:rPr>
        <w:t>Unit.</w:t>
      </w:r>
      <w:r>
        <w:rPr>
          <w:color w:val="231F20"/>
          <w:spacing w:val="-11"/>
        </w:rPr>
        <w:t> </w:t>
      </w:r>
      <w:r>
        <w:rPr>
          <w:color w:val="231F20"/>
          <w:spacing w:val="-3"/>
        </w:rPr>
        <w:t>These</w:t>
      </w:r>
      <w:r>
        <w:rPr>
          <w:color w:val="231F20"/>
          <w:spacing w:val="-6"/>
        </w:rPr>
        <w:t> </w:t>
      </w:r>
      <w:r>
        <w:rPr>
          <w:color w:val="231F20"/>
          <w:spacing w:val="-3"/>
        </w:rPr>
        <w:t>clients</w:t>
      </w:r>
      <w:r>
        <w:rPr>
          <w:color w:val="231F20"/>
          <w:spacing w:val="-7"/>
        </w:rPr>
        <w:t> </w:t>
      </w:r>
      <w:r>
        <w:rPr>
          <w:color w:val="231F20"/>
          <w:spacing w:val="-3"/>
        </w:rPr>
        <w:t>have</w:t>
      </w:r>
      <w:r>
        <w:rPr>
          <w:color w:val="231F20"/>
          <w:spacing w:val="-7"/>
        </w:rPr>
        <w:t> </w:t>
      </w:r>
      <w:r>
        <w:rPr>
          <w:color w:val="231F20"/>
          <w:spacing w:val="-3"/>
        </w:rPr>
        <w:t>an</w:t>
      </w:r>
      <w:r>
        <w:rPr>
          <w:color w:val="231F20"/>
          <w:spacing w:val="-6"/>
        </w:rPr>
        <w:t> </w:t>
      </w:r>
      <w:r>
        <w:rPr>
          <w:color w:val="231F20"/>
          <w:spacing w:val="-3"/>
        </w:rPr>
        <w:t>average</w:t>
      </w:r>
      <w:r>
        <w:rPr>
          <w:color w:val="231F20"/>
          <w:spacing w:val="-7"/>
        </w:rPr>
        <w:t> </w:t>
      </w:r>
      <w:r>
        <w:rPr>
          <w:color w:val="231F20"/>
          <w:spacing w:val="-3"/>
        </w:rPr>
        <w:t>age</w:t>
      </w:r>
      <w:r>
        <w:rPr>
          <w:color w:val="231F20"/>
          <w:spacing w:val="-7"/>
        </w:rPr>
        <w:t> </w:t>
      </w:r>
      <w:r>
        <w:rPr>
          <w:color w:val="231F20"/>
          <w:spacing w:val="-3"/>
        </w:rPr>
        <w:t>of</w:t>
      </w:r>
      <w:r>
        <w:rPr>
          <w:color w:val="231F20"/>
          <w:spacing w:val="-6"/>
        </w:rPr>
        <w:t> </w:t>
      </w:r>
      <w:r>
        <w:rPr>
          <w:color w:val="231F20"/>
          <w:spacing w:val="-3"/>
        </w:rPr>
        <w:t>37,</w:t>
      </w:r>
      <w:r>
        <w:rPr>
          <w:color w:val="231F20"/>
          <w:spacing w:val="-7"/>
        </w:rPr>
        <w:t> </w:t>
      </w:r>
      <w:r>
        <w:rPr>
          <w:color w:val="231F20"/>
          <w:spacing w:val="-3"/>
        </w:rPr>
        <w:t>and</w:t>
      </w:r>
      <w:r>
        <w:rPr>
          <w:color w:val="231F20"/>
          <w:spacing w:val="-52"/>
        </w:rPr>
        <w:t> </w:t>
      </w:r>
      <w:r>
        <w:rPr>
          <w:color w:val="231F20"/>
          <w:spacing w:val="-4"/>
        </w:rPr>
        <w:t>are</w:t>
      </w:r>
      <w:r>
        <w:rPr>
          <w:color w:val="231F20"/>
          <w:spacing w:val="-7"/>
        </w:rPr>
        <w:t> </w:t>
      </w:r>
      <w:r>
        <w:rPr>
          <w:color w:val="231F20"/>
          <w:spacing w:val="-4"/>
        </w:rPr>
        <w:t>primarily</w:t>
      </w:r>
      <w:r>
        <w:rPr>
          <w:color w:val="231F20"/>
          <w:spacing w:val="-11"/>
        </w:rPr>
        <w:t> </w:t>
      </w:r>
      <w:r>
        <w:rPr>
          <w:color w:val="231F20"/>
          <w:spacing w:val="-4"/>
        </w:rPr>
        <w:t>White</w:t>
      </w:r>
      <w:r>
        <w:rPr>
          <w:color w:val="231F20"/>
          <w:spacing w:val="-6"/>
        </w:rPr>
        <w:t> </w:t>
      </w:r>
      <w:r>
        <w:rPr>
          <w:color w:val="231F20"/>
          <w:spacing w:val="-4"/>
        </w:rPr>
        <w:t>(76.3</w:t>
      </w:r>
      <w:r>
        <w:rPr>
          <w:color w:val="231F20"/>
          <w:spacing w:val="-7"/>
        </w:rPr>
        <w:t> </w:t>
      </w:r>
      <w:r>
        <w:rPr>
          <w:color w:val="231F20"/>
          <w:spacing w:val="-3"/>
        </w:rPr>
        <w:t>percent</w:t>
      </w:r>
      <w:r>
        <w:rPr>
          <w:color w:val="231F20"/>
          <w:spacing w:val="-10"/>
        </w:rPr>
        <w:t> </w:t>
      </w:r>
      <w:r>
        <w:rPr>
          <w:color w:val="231F20"/>
          <w:spacing w:val="-3"/>
        </w:rPr>
        <w:t>White,</w:t>
      </w:r>
      <w:r>
        <w:rPr>
          <w:color w:val="231F20"/>
          <w:spacing w:val="-7"/>
        </w:rPr>
        <w:t> </w:t>
      </w:r>
      <w:r>
        <w:rPr>
          <w:color w:val="231F20"/>
          <w:spacing w:val="-3"/>
        </w:rPr>
        <w:t>17.5</w:t>
      </w:r>
      <w:r>
        <w:rPr>
          <w:color w:val="231F20"/>
          <w:spacing w:val="-6"/>
        </w:rPr>
        <w:t> </w:t>
      </w:r>
      <w:r>
        <w:rPr>
          <w:color w:val="231F20"/>
          <w:spacing w:val="-3"/>
        </w:rPr>
        <w:t>percent</w:t>
      </w:r>
    </w:p>
    <w:p>
      <w:pPr>
        <w:spacing w:after="0" w:line="266" w:lineRule="auto"/>
        <w:sectPr>
          <w:headerReference w:type="default" r:id="rId310"/>
          <w:footerReference w:type="default" r:id="rId311"/>
          <w:pgSz w:w="12240" w:h="15840"/>
          <w:pgMar w:header="0" w:footer="666" w:top="380" w:bottom="860" w:left="60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6"/>
        <w:ind w:left="120" w:right="179"/>
      </w:pPr>
      <w:r>
        <w:rPr>
          <w:color w:val="231F20"/>
          <w:spacing w:val="-3"/>
        </w:rPr>
        <w:t>Black, 6.2 percent unknown, and </w:t>
      </w:r>
      <w:r>
        <w:rPr>
          <w:color w:val="231F20"/>
          <w:spacing w:val="-2"/>
        </w:rPr>
        <w:t>3.1 percent Hispanic).</w:t>
      </w:r>
      <w:r>
        <w:rPr>
          <w:color w:val="231F20"/>
          <w:spacing w:val="-1"/>
        </w:rPr>
        <w:t> </w:t>
      </w:r>
      <w:r>
        <w:rPr>
          <w:color w:val="231F20"/>
          <w:spacing w:val="-3"/>
        </w:rPr>
        <w:t>In</w:t>
      </w:r>
      <w:r>
        <w:rPr>
          <w:color w:val="231F20"/>
          <w:spacing w:val="-10"/>
        </w:rPr>
        <w:t> </w:t>
      </w:r>
      <w:r>
        <w:rPr>
          <w:color w:val="231F20"/>
          <w:spacing w:val="-3"/>
        </w:rPr>
        <w:t>addition</w:t>
      </w:r>
      <w:r>
        <w:rPr>
          <w:color w:val="231F20"/>
          <w:spacing w:val="-10"/>
        </w:rPr>
        <w:t> </w:t>
      </w:r>
      <w:r>
        <w:rPr>
          <w:color w:val="231F20"/>
          <w:spacing w:val="-3"/>
        </w:rPr>
        <w:t>to</w:t>
      </w:r>
      <w:r>
        <w:rPr>
          <w:color w:val="231F20"/>
          <w:spacing w:val="-9"/>
        </w:rPr>
        <w:t> </w:t>
      </w:r>
      <w:r>
        <w:rPr>
          <w:color w:val="231F20"/>
          <w:spacing w:val="-3"/>
        </w:rPr>
        <w:t>experiencing</w:t>
      </w:r>
      <w:r>
        <w:rPr>
          <w:color w:val="231F20"/>
          <w:spacing w:val="-10"/>
        </w:rPr>
        <w:t> </w:t>
      </w:r>
      <w:r>
        <w:rPr>
          <w:color w:val="231F20"/>
          <w:spacing w:val="-3"/>
        </w:rPr>
        <w:t>OUD,</w:t>
      </w:r>
      <w:r>
        <w:rPr>
          <w:color w:val="231F20"/>
          <w:spacing w:val="-9"/>
        </w:rPr>
        <w:t> </w:t>
      </w:r>
      <w:r>
        <w:rPr>
          <w:color w:val="231F20"/>
          <w:spacing w:val="-3"/>
        </w:rPr>
        <w:t>clients</w:t>
      </w:r>
      <w:r>
        <w:rPr>
          <w:color w:val="231F20"/>
          <w:spacing w:val="-10"/>
        </w:rPr>
        <w:t> </w:t>
      </w:r>
      <w:r>
        <w:rPr>
          <w:color w:val="231F20"/>
          <w:spacing w:val="-3"/>
        </w:rPr>
        <w:t>may</w:t>
      </w:r>
      <w:r>
        <w:rPr>
          <w:color w:val="231F20"/>
          <w:spacing w:val="-9"/>
        </w:rPr>
        <w:t> </w:t>
      </w:r>
      <w:r>
        <w:rPr>
          <w:color w:val="231F20"/>
          <w:spacing w:val="-3"/>
        </w:rPr>
        <w:t>experience</w:t>
      </w:r>
      <w:r>
        <w:rPr>
          <w:color w:val="231F20"/>
          <w:spacing w:val="-52"/>
        </w:rPr>
        <w:t> </w:t>
      </w:r>
      <w:r>
        <w:rPr>
          <w:color w:val="231F20"/>
          <w:spacing w:val="-4"/>
        </w:rPr>
        <w:t>anxiety, depression, mood disorders, </w:t>
      </w:r>
      <w:r>
        <w:rPr>
          <w:color w:val="231F20"/>
          <w:spacing w:val="-3"/>
        </w:rPr>
        <w:t>attention-deficit/</w:t>
      </w:r>
      <w:r>
        <w:rPr>
          <w:color w:val="231F20"/>
          <w:spacing w:val="-2"/>
        </w:rPr>
        <w:t> hyperactivity disorder, and/or tobacco, alcohol, </w:t>
      </w:r>
      <w:r>
        <w:rPr>
          <w:color w:val="231F20"/>
          <w:spacing w:val="-1"/>
        </w:rPr>
        <w:t>or</w:t>
      </w:r>
      <w:r>
        <w:rPr>
          <w:color w:val="231F20"/>
        </w:rPr>
        <w:t> </w:t>
      </w:r>
      <w:r>
        <w:rPr>
          <w:color w:val="231F20"/>
          <w:spacing w:val="-4"/>
        </w:rPr>
        <w:t>stimulant</w:t>
      </w:r>
      <w:r>
        <w:rPr>
          <w:color w:val="231F20"/>
          <w:spacing w:val="-7"/>
        </w:rPr>
        <w:t> </w:t>
      </w:r>
      <w:r>
        <w:rPr>
          <w:color w:val="231F20"/>
          <w:spacing w:val="-4"/>
        </w:rPr>
        <w:t>use</w:t>
      </w:r>
      <w:r>
        <w:rPr>
          <w:color w:val="231F20"/>
          <w:spacing w:val="-7"/>
        </w:rPr>
        <w:t> </w:t>
      </w:r>
      <w:r>
        <w:rPr>
          <w:color w:val="231F20"/>
          <w:spacing w:val="-4"/>
        </w:rPr>
        <w:t>disorder.</w:t>
      </w:r>
      <w:r>
        <w:rPr>
          <w:color w:val="231F20"/>
          <w:spacing w:val="-11"/>
        </w:rPr>
        <w:t> </w:t>
      </w:r>
      <w:r>
        <w:rPr>
          <w:color w:val="231F20"/>
          <w:spacing w:val="-4"/>
        </w:rPr>
        <w:t>The</w:t>
      </w:r>
      <w:r>
        <w:rPr>
          <w:color w:val="231F20"/>
          <w:spacing w:val="-7"/>
        </w:rPr>
        <w:t> </w:t>
      </w:r>
      <w:r>
        <w:rPr>
          <w:color w:val="231F20"/>
          <w:spacing w:val="-4"/>
        </w:rPr>
        <w:t>majority</w:t>
      </w:r>
      <w:r>
        <w:rPr>
          <w:color w:val="231F20"/>
          <w:spacing w:val="-7"/>
        </w:rPr>
        <w:t> </w:t>
      </w:r>
      <w:r>
        <w:rPr>
          <w:color w:val="231F20"/>
          <w:spacing w:val="-3"/>
        </w:rPr>
        <w:t>of</w:t>
      </w:r>
      <w:r>
        <w:rPr>
          <w:color w:val="231F20"/>
          <w:spacing w:val="-7"/>
        </w:rPr>
        <w:t> </w:t>
      </w:r>
      <w:r>
        <w:rPr>
          <w:color w:val="231F20"/>
          <w:spacing w:val="-3"/>
        </w:rPr>
        <w:t>clients</w:t>
      </w:r>
      <w:r>
        <w:rPr>
          <w:color w:val="231F20"/>
          <w:spacing w:val="-6"/>
        </w:rPr>
        <w:t> </w:t>
      </w:r>
      <w:r>
        <w:rPr>
          <w:color w:val="231F20"/>
          <w:spacing w:val="-3"/>
        </w:rPr>
        <w:t>have</w:t>
      </w:r>
    </w:p>
    <w:p>
      <w:pPr>
        <w:pStyle w:val="BodyText"/>
        <w:spacing w:line="266" w:lineRule="auto"/>
        <w:ind w:left="120" w:right="38"/>
      </w:pPr>
      <w:r>
        <w:rPr>
          <w:color w:val="231F20"/>
          <w:spacing w:val="-2"/>
        </w:rPr>
        <w:t>low income and are Medicaid recipients. </w:t>
      </w:r>
      <w:r>
        <w:rPr>
          <w:color w:val="231F20"/>
          <w:spacing w:val="-1"/>
        </w:rPr>
        <w:t>Some clients</w:t>
      </w:r>
      <w:r>
        <w:rPr>
          <w:color w:val="231F20"/>
        </w:rPr>
        <w:t> </w:t>
      </w:r>
      <w:r>
        <w:rPr>
          <w:color w:val="231F20"/>
          <w:spacing w:val="-3"/>
        </w:rPr>
        <w:t>previously started medications for OUD treatment through</w:t>
      </w:r>
      <w:r>
        <w:rPr>
          <w:color w:val="231F20"/>
          <w:spacing w:val="-52"/>
        </w:rPr>
        <w:t> </w:t>
      </w:r>
      <w:r>
        <w:rPr>
          <w:color w:val="231F20"/>
          <w:spacing w:val="-4"/>
        </w:rPr>
        <w:t>in-patient or out-patient settings, </w:t>
      </w:r>
      <w:r>
        <w:rPr>
          <w:color w:val="231F20"/>
          <w:spacing w:val="-3"/>
        </w:rPr>
        <w:t>have undergone medically</w:t>
      </w:r>
      <w:r>
        <w:rPr>
          <w:color w:val="231F20"/>
          <w:spacing w:val="-52"/>
        </w:rPr>
        <w:t> </w:t>
      </w:r>
      <w:r>
        <w:rPr>
          <w:color w:val="231F20"/>
          <w:spacing w:val="-1"/>
        </w:rPr>
        <w:t>managed</w:t>
      </w:r>
      <w:r>
        <w:rPr>
          <w:color w:val="231F20"/>
          <w:spacing w:val="-13"/>
        </w:rPr>
        <w:t> </w:t>
      </w:r>
      <w:r>
        <w:rPr>
          <w:color w:val="231F20"/>
          <w:spacing w:val="-1"/>
        </w:rPr>
        <w:t>withdrawal,</w:t>
      </w:r>
      <w:r>
        <w:rPr>
          <w:color w:val="231F20"/>
          <w:spacing w:val="-13"/>
        </w:rPr>
        <w:t> </w:t>
      </w:r>
      <w:r>
        <w:rPr>
          <w:color w:val="231F20"/>
          <w:spacing w:val="-1"/>
        </w:rPr>
        <w:t>or</w:t>
      </w:r>
      <w:r>
        <w:rPr>
          <w:color w:val="231F20"/>
          <w:spacing w:val="-13"/>
        </w:rPr>
        <w:t> </w:t>
      </w:r>
      <w:r>
        <w:rPr>
          <w:color w:val="231F20"/>
          <w:spacing w:val="-1"/>
        </w:rPr>
        <w:t>are</w:t>
      </w:r>
      <w:r>
        <w:rPr>
          <w:color w:val="231F20"/>
          <w:spacing w:val="-12"/>
        </w:rPr>
        <w:t> </w:t>
      </w:r>
      <w:r>
        <w:rPr>
          <w:color w:val="231F20"/>
          <w:spacing w:val="-1"/>
        </w:rPr>
        <w:t>currently</w:t>
      </w:r>
      <w:r>
        <w:rPr>
          <w:color w:val="231F20"/>
          <w:spacing w:val="-13"/>
        </w:rPr>
        <w:t> </w:t>
      </w:r>
      <w:r>
        <w:rPr>
          <w:color w:val="231F20"/>
          <w:spacing w:val="-1"/>
        </w:rPr>
        <w:t>using</w:t>
      </w:r>
      <w:r>
        <w:rPr>
          <w:color w:val="231F20"/>
          <w:spacing w:val="-13"/>
        </w:rPr>
        <w:t> </w:t>
      </w:r>
      <w:r>
        <w:rPr>
          <w:color w:val="231F20"/>
          <w:spacing w:val="-1"/>
        </w:rPr>
        <w:t>opioids.</w:t>
      </w:r>
    </w:p>
    <w:p>
      <w:pPr>
        <w:pStyle w:val="Heading5"/>
        <w:spacing w:before="172"/>
      </w:pPr>
      <w:r>
        <w:rPr>
          <w:color w:val="CE384B"/>
        </w:rPr>
        <w:t>Form(s)</w:t>
      </w:r>
      <w:r>
        <w:rPr>
          <w:color w:val="CE384B"/>
          <w:spacing w:val="-6"/>
        </w:rPr>
        <w:t> </w:t>
      </w:r>
      <w:r>
        <w:rPr>
          <w:color w:val="CE384B"/>
        </w:rPr>
        <w:t>of</w:t>
      </w:r>
      <w:r>
        <w:rPr>
          <w:color w:val="CE384B"/>
          <w:spacing w:val="-5"/>
        </w:rPr>
        <w:t> </w:t>
      </w:r>
      <w:r>
        <w:rPr>
          <w:color w:val="CE384B"/>
        </w:rPr>
        <w:t>Telehealth</w:t>
      </w:r>
    </w:p>
    <w:p>
      <w:pPr>
        <w:pStyle w:val="BodyText"/>
        <w:spacing w:line="266" w:lineRule="auto" w:before="118"/>
        <w:ind w:left="120" w:right="224"/>
      </w:pPr>
      <w:r>
        <w:rPr>
          <w:color w:val="231F20"/>
        </w:rPr>
        <w:t>At this time, the ESMCC only uses synchronous forms</w:t>
      </w:r>
      <w:r>
        <w:rPr>
          <w:color w:val="231F20"/>
          <w:spacing w:val="-52"/>
        </w:rPr>
        <w:t> </w:t>
      </w:r>
      <w:r>
        <w:rPr>
          <w:color w:val="231F20"/>
        </w:rPr>
        <w:t>of telehealth, but is exploring ways to expand and</w:t>
      </w:r>
      <w:r>
        <w:rPr>
          <w:color w:val="231F20"/>
          <w:spacing w:val="1"/>
        </w:rPr>
        <w:t> </w:t>
      </w:r>
      <w:r>
        <w:rPr>
          <w:color w:val="231F20"/>
        </w:rPr>
        <w:t>integrate asynchronous platforms.</w:t>
      </w:r>
    </w:p>
    <w:p>
      <w:pPr>
        <w:pStyle w:val="Heading5"/>
        <w:spacing w:before="177"/>
      </w:pPr>
      <w:r>
        <w:rPr>
          <w:color w:val="CE384B"/>
        </w:rPr>
        <w:t>Services</w:t>
      </w:r>
      <w:r>
        <w:rPr>
          <w:color w:val="CE384B"/>
          <w:spacing w:val="-6"/>
        </w:rPr>
        <w:t> </w:t>
      </w:r>
      <w:r>
        <w:rPr>
          <w:color w:val="CE384B"/>
        </w:rPr>
        <w:t>Offered</w:t>
      </w:r>
      <w:r>
        <w:rPr>
          <w:color w:val="CE384B"/>
          <w:spacing w:val="-6"/>
        </w:rPr>
        <w:t> </w:t>
      </w:r>
      <w:r>
        <w:rPr>
          <w:color w:val="CE384B"/>
        </w:rPr>
        <w:t>Through</w:t>
      </w:r>
      <w:r>
        <w:rPr>
          <w:color w:val="CE384B"/>
          <w:spacing w:val="-6"/>
        </w:rPr>
        <w:t> </w:t>
      </w:r>
      <w:r>
        <w:rPr>
          <w:color w:val="CE384B"/>
        </w:rPr>
        <w:t>Telehealth</w:t>
      </w:r>
      <w:r>
        <w:rPr>
          <w:color w:val="CE384B"/>
          <w:spacing w:val="-7"/>
        </w:rPr>
        <w:t> </w:t>
      </w:r>
      <w:r>
        <w:rPr>
          <w:color w:val="CE384B"/>
        </w:rPr>
        <w:t>Modalities</w:t>
      </w:r>
    </w:p>
    <w:p>
      <w:pPr>
        <w:pStyle w:val="BodyText"/>
        <w:spacing w:line="266" w:lineRule="auto" w:before="118"/>
        <w:ind w:left="120" w:right="71"/>
      </w:pPr>
      <w:r>
        <w:rPr>
          <w:color w:val="231F20"/>
        </w:rPr>
        <w:t>The Mobile Treatment Unit is outfitted with encrypted,</w:t>
      </w:r>
      <w:r>
        <w:rPr>
          <w:color w:val="231F20"/>
          <w:spacing w:val="1"/>
        </w:rPr>
        <w:t> </w:t>
      </w:r>
      <w:r>
        <w:rPr>
          <w:color w:val="231F20"/>
          <w:spacing w:val="-1"/>
        </w:rPr>
        <w:t>HIPAA (Health Insurance Portability </w:t>
      </w:r>
      <w:r>
        <w:rPr>
          <w:color w:val="231F20"/>
        </w:rPr>
        <w:t>and Accountability</w:t>
      </w:r>
      <w:r>
        <w:rPr>
          <w:color w:val="231F20"/>
          <w:spacing w:val="-52"/>
        </w:rPr>
        <w:t> </w:t>
      </w:r>
      <w:r>
        <w:rPr>
          <w:color w:val="231F20"/>
        </w:rPr>
        <w:t>Act)-compliant videoconferencing technology and an in-</w:t>
      </w:r>
      <w:r>
        <w:rPr>
          <w:color w:val="231F20"/>
          <w:spacing w:val="-52"/>
        </w:rPr>
        <w:t> </w:t>
      </w:r>
      <w:r>
        <w:rPr>
          <w:color w:val="231F20"/>
        </w:rPr>
        <w:t>person</w:t>
      </w:r>
      <w:r>
        <w:rPr>
          <w:color w:val="231F20"/>
          <w:spacing w:val="-2"/>
        </w:rPr>
        <w:t> </w:t>
      </w:r>
      <w:r>
        <w:rPr>
          <w:color w:val="231F20"/>
        </w:rPr>
        <w:t>team</w:t>
      </w:r>
      <w:r>
        <w:rPr>
          <w:color w:val="231F20"/>
          <w:spacing w:val="-1"/>
        </w:rPr>
        <w:t> </w:t>
      </w:r>
      <w:r>
        <w:rPr>
          <w:color w:val="231F20"/>
        </w:rPr>
        <w:t>of</w:t>
      </w:r>
      <w:r>
        <w:rPr>
          <w:color w:val="231F20"/>
          <w:spacing w:val="-2"/>
        </w:rPr>
        <w:t> </w:t>
      </w:r>
      <w:r>
        <w:rPr>
          <w:color w:val="231F20"/>
        </w:rPr>
        <w:t>treatment</w:t>
      </w:r>
      <w:r>
        <w:rPr>
          <w:color w:val="231F20"/>
          <w:spacing w:val="-1"/>
        </w:rPr>
        <w:t> </w:t>
      </w:r>
      <w:r>
        <w:rPr>
          <w:color w:val="231F20"/>
        </w:rPr>
        <w:t>staff</w:t>
      </w:r>
      <w:r>
        <w:rPr>
          <w:color w:val="231F20"/>
          <w:spacing w:val="-3"/>
        </w:rPr>
        <w:t> </w:t>
      </w:r>
      <w:r>
        <w:rPr>
          <w:color w:val="231F20"/>
        </w:rPr>
        <w:t>that</w:t>
      </w:r>
      <w:r>
        <w:rPr>
          <w:color w:val="231F20"/>
          <w:spacing w:val="-1"/>
        </w:rPr>
        <w:t> </w:t>
      </w:r>
      <w:r>
        <w:rPr>
          <w:color w:val="231F20"/>
        </w:rPr>
        <w:t>provide</w:t>
      </w:r>
      <w:r>
        <w:rPr>
          <w:color w:val="231F20"/>
          <w:spacing w:val="-2"/>
        </w:rPr>
        <w:t> </w:t>
      </w:r>
      <w:r>
        <w:rPr>
          <w:color w:val="231F20"/>
        </w:rPr>
        <w:t>SUD</w:t>
      </w:r>
      <w:r>
        <w:rPr>
          <w:color w:val="231F20"/>
          <w:spacing w:val="-2"/>
        </w:rPr>
        <w:t> </w:t>
      </w:r>
      <w:r>
        <w:rPr>
          <w:color w:val="231F20"/>
        </w:rPr>
        <w:t>care.</w:t>
      </w:r>
    </w:p>
    <w:p>
      <w:pPr>
        <w:pStyle w:val="Heading4"/>
        <w:spacing w:before="164"/>
        <w:rPr>
          <w:i/>
        </w:rPr>
      </w:pPr>
      <w:r>
        <w:rPr>
          <w:i/>
          <w:color w:val="1C384B"/>
        </w:rPr>
        <w:t>Becoming</w:t>
      </w:r>
      <w:r>
        <w:rPr>
          <w:i/>
          <w:color w:val="1C384B"/>
          <w:spacing w:val="-1"/>
        </w:rPr>
        <w:t> </w:t>
      </w:r>
      <w:r>
        <w:rPr>
          <w:i/>
          <w:color w:val="1C384B"/>
        </w:rPr>
        <w:t>a client of the Unit:</w:t>
      </w:r>
    </w:p>
    <w:p>
      <w:pPr>
        <w:pStyle w:val="BodyText"/>
        <w:spacing w:line="266" w:lineRule="auto" w:before="184"/>
        <w:ind w:left="120" w:right="78"/>
      </w:pPr>
      <w:r>
        <w:rPr>
          <w:color w:val="231F20"/>
        </w:rPr>
        <w:t>There</w:t>
      </w:r>
      <w:r>
        <w:rPr>
          <w:color w:val="231F20"/>
          <w:spacing w:val="-11"/>
        </w:rPr>
        <w:t> </w:t>
      </w:r>
      <w:r>
        <w:rPr>
          <w:color w:val="231F20"/>
        </w:rPr>
        <w:t>are</w:t>
      </w:r>
      <w:r>
        <w:rPr>
          <w:color w:val="231F20"/>
          <w:spacing w:val="-10"/>
        </w:rPr>
        <w:t> </w:t>
      </w:r>
      <w:r>
        <w:rPr>
          <w:color w:val="231F20"/>
        </w:rPr>
        <w:t>multiple</w:t>
      </w:r>
      <w:r>
        <w:rPr>
          <w:color w:val="231F20"/>
          <w:spacing w:val="-10"/>
        </w:rPr>
        <w:t> </w:t>
      </w:r>
      <w:r>
        <w:rPr>
          <w:color w:val="231F20"/>
        </w:rPr>
        <w:t>pathways</w:t>
      </w:r>
      <w:r>
        <w:rPr>
          <w:color w:val="231F20"/>
          <w:spacing w:val="-10"/>
        </w:rPr>
        <w:t> </w:t>
      </w:r>
      <w:r>
        <w:rPr>
          <w:color w:val="231F20"/>
        </w:rPr>
        <w:t>for</w:t>
      </w:r>
      <w:r>
        <w:rPr>
          <w:color w:val="231F20"/>
          <w:spacing w:val="-10"/>
        </w:rPr>
        <w:t> </w:t>
      </w:r>
      <w:r>
        <w:rPr>
          <w:color w:val="231F20"/>
        </w:rPr>
        <w:t>becoming</w:t>
      </w:r>
      <w:r>
        <w:rPr>
          <w:color w:val="231F20"/>
          <w:spacing w:val="-10"/>
        </w:rPr>
        <w:t> </w:t>
      </w:r>
      <w:r>
        <w:rPr>
          <w:color w:val="231F20"/>
        </w:rPr>
        <w:t>a</w:t>
      </w:r>
      <w:r>
        <w:rPr>
          <w:color w:val="231F20"/>
          <w:spacing w:val="-10"/>
        </w:rPr>
        <w:t> </w:t>
      </w:r>
      <w:r>
        <w:rPr>
          <w:color w:val="231F20"/>
        </w:rPr>
        <w:t>client</w:t>
      </w:r>
      <w:r>
        <w:rPr>
          <w:color w:val="231F20"/>
          <w:spacing w:val="-10"/>
        </w:rPr>
        <w:t> </w:t>
      </w:r>
      <w:r>
        <w:rPr>
          <w:color w:val="231F20"/>
        </w:rPr>
        <w:t>of</w:t>
      </w:r>
      <w:r>
        <w:rPr>
          <w:color w:val="231F20"/>
          <w:spacing w:val="-10"/>
        </w:rPr>
        <w:t> </w:t>
      </w:r>
      <w:r>
        <w:rPr>
          <w:color w:val="231F20"/>
        </w:rPr>
        <w:t>the</w:t>
      </w:r>
      <w:r>
        <w:rPr>
          <w:color w:val="231F20"/>
          <w:spacing w:val="1"/>
        </w:rPr>
        <w:t> </w:t>
      </w:r>
      <w:r>
        <w:rPr>
          <w:color w:val="231F20"/>
        </w:rPr>
        <w:t>Unit. Clients can be connected through providers, the</w:t>
      </w:r>
      <w:r>
        <w:rPr>
          <w:color w:val="231F20"/>
          <w:spacing w:val="1"/>
        </w:rPr>
        <w:t> </w:t>
      </w:r>
      <w:r>
        <w:rPr>
          <w:color w:val="231F20"/>
        </w:rPr>
        <w:t>health</w:t>
      </w:r>
      <w:r>
        <w:rPr>
          <w:color w:val="231F20"/>
          <w:spacing w:val="-12"/>
        </w:rPr>
        <w:t> </w:t>
      </w:r>
      <w:r>
        <w:rPr>
          <w:color w:val="231F20"/>
        </w:rPr>
        <w:t>department,</w:t>
      </w:r>
      <w:r>
        <w:rPr>
          <w:color w:val="231F20"/>
          <w:spacing w:val="-12"/>
        </w:rPr>
        <w:t> </w:t>
      </w:r>
      <w:r>
        <w:rPr>
          <w:color w:val="231F20"/>
        </w:rPr>
        <w:t>or</w:t>
      </w:r>
      <w:r>
        <w:rPr>
          <w:color w:val="231F20"/>
          <w:spacing w:val="-12"/>
        </w:rPr>
        <w:t> </w:t>
      </w:r>
      <w:r>
        <w:rPr>
          <w:color w:val="231F20"/>
        </w:rPr>
        <w:t>word</w:t>
      </w:r>
      <w:r>
        <w:rPr>
          <w:color w:val="231F20"/>
          <w:spacing w:val="-12"/>
        </w:rPr>
        <w:t> </w:t>
      </w:r>
      <w:r>
        <w:rPr>
          <w:color w:val="231F20"/>
        </w:rPr>
        <w:t>of</w:t>
      </w:r>
      <w:r>
        <w:rPr>
          <w:color w:val="231F20"/>
          <w:spacing w:val="-12"/>
        </w:rPr>
        <w:t> </w:t>
      </w:r>
      <w:r>
        <w:rPr>
          <w:color w:val="231F20"/>
        </w:rPr>
        <w:t>mouth</w:t>
      </w:r>
      <w:r>
        <w:rPr>
          <w:color w:val="231F20"/>
          <w:spacing w:val="-12"/>
        </w:rPr>
        <w:t> </w:t>
      </w:r>
      <w:r>
        <w:rPr>
          <w:color w:val="231F20"/>
        </w:rPr>
        <w:t>(from</w:t>
      </w:r>
      <w:r>
        <w:rPr>
          <w:color w:val="231F20"/>
          <w:spacing w:val="-12"/>
        </w:rPr>
        <w:t> </w:t>
      </w:r>
      <w:r>
        <w:rPr>
          <w:color w:val="231F20"/>
        </w:rPr>
        <w:t>individuals</w:t>
      </w:r>
      <w:r>
        <w:rPr>
          <w:color w:val="231F20"/>
          <w:spacing w:val="-12"/>
        </w:rPr>
        <w:t> </w:t>
      </w:r>
      <w:r>
        <w:rPr>
          <w:color w:val="231F20"/>
        </w:rPr>
        <w:t>in</w:t>
      </w:r>
      <w:r>
        <w:rPr>
          <w:color w:val="231F20"/>
          <w:spacing w:val="-52"/>
        </w:rPr>
        <w:t> </w:t>
      </w:r>
      <w:r>
        <w:rPr>
          <w:color w:val="231F20"/>
        </w:rPr>
        <w:t>the community) and can self-refer. Contact information</w:t>
      </w:r>
      <w:r>
        <w:rPr>
          <w:color w:val="231F20"/>
          <w:spacing w:val="1"/>
        </w:rPr>
        <w:t> </w:t>
      </w:r>
      <w:r>
        <w:rPr>
          <w:color w:val="231F20"/>
        </w:rPr>
        <w:t>is clearly stated on the side of the Unit, so many call to</w:t>
      </w:r>
      <w:r>
        <w:rPr>
          <w:color w:val="231F20"/>
          <w:spacing w:val="1"/>
        </w:rPr>
        <w:t> </w:t>
      </w:r>
      <w:r>
        <w:rPr>
          <w:color w:val="231F20"/>
        </w:rPr>
        <w:t>make</w:t>
      </w:r>
      <w:r>
        <w:rPr>
          <w:color w:val="231F20"/>
          <w:spacing w:val="-7"/>
        </w:rPr>
        <w:t> </w:t>
      </w:r>
      <w:r>
        <w:rPr>
          <w:color w:val="231F20"/>
        </w:rPr>
        <w:t>appointments</w:t>
      </w:r>
      <w:r>
        <w:rPr>
          <w:color w:val="231F20"/>
          <w:spacing w:val="-7"/>
        </w:rPr>
        <w:t> </w:t>
      </w:r>
      <w:r>
        <w:rPr>
          <w:color w:val="231F20"/>
        </w:rPr>
        <w:t>or</w:t>
      </w:r>
      <w:r>
        <w:rPr>
          <w:color w:val="231F20"/>
          <w:spacing w:val="-6"/>
        </w:rPr>
        <w:t> </w:t>
      </w:r>
      <w:r>
        <w:rPr>
          <w:color w:val="231F20"/>
        </w:rPr>
        <w:t>walk</w:t>
      </w:r>
      <w:r>
        <w:rPr>
          <w:color w:val="231F20"/>
          <w:spacing w:val="-7"/>
        </w:rPr>
        <w:t> </w:t>
      </w:r>
      <w:r>
        <w:rPr>
          <w:color w:val="231F20"/>
        </w:rPr>
        <w:t>up</w:t>
      </w:r>
      <w:r>
        <w:rPr>
          <w:color w:val="231F20"/>
          <w:spacing w:val="-7"/>
        </w:rPr>
        <w:t> </w:t>
      </w:r>
      <w:r>
        <w:rPr>
          <w:color w:val="231F20"/>
        </w:rPr>
        <w:t>to</w:t>
      </w:r>
      <w:r>
        <w:rPr>
          <w:color w:val="231F20"/>
          <w:spacing w:val="-6"/>
        </w:rPr>
        <w:t> </w:t>
      </w:r>
      <w:r>
        <w:rPr>
          <w:color w:val="231F20"/>
        </w:rPr>
        <w:t>receive</w:t>
      </w:r>
      <w:r>
        <w:rPr>
          <w:color w:val="231F20"/>
          <w:spacing w:val="-7"/>
        </w:rPr>
        <w:t> </w:t>
      </w:r>
      <w:r>
        <w:rPr>
          <w:color w:val="231F20"/>
        </w:rPr>
        <w:t>services.</w:t>
      </w:r>
    </w:p>
    <w:p>
      <w:pPr>
        <w:pStyle w:val="Heading4"/>
        <w:spacing w:before="163"/>
        <w:rPr>
          <w:i/>
        </w:rPr>
      </w:pPr>
      <w:r>
        <w:rPr>
          <w:i/>
          <w:color w:val="1C384B"/>
        </w:rPr>
        <w:t>In-person</w:t>
      </w:r>
      <w:r>
        <w:rPr>
          <w:i/>
          <w:color w:val="1C384B"/>
          <w:spacing w:val="-1"/>
        </w:rPr>
        <w:t> </w:t>
      </w:r>
      <w:r>
        <w:rPr>
          <w:i/>
          <w:color w:val="1C384B"/>
        </w:rPr>
        <w:t>services:</w:t>
      </w:r>
    </w:p>
    <w:p>
      <w:pPr>
        <w:pStyle w:val="BodyText"/>
        <w:spacing w:line="266" w:lineRule="auto" w:before="184"/>
        <w:ind w:left="120" w:right="41"/>
      </w:pPr>
      <w:r>
        <w:rPr>
          <w:color w:val="231F20"/>
        </w:rPr>
        <w:t>Once a client arrives at the Unit, they are met by the</w:t>
      </w:r>
      <w:r>
        <w:rPr>
          <w:color w:val="231F20"/>
          <w:spacing w:val="1"/>
        </w:rPr>
        <w:t> </w:t>
      </w:r>
      <w:r>
        <w:rPr>
          <w:color w:val="231F20"/>
        </w:rPr>
        <w:t>nurse who tracks all client appointments and activities</w:t>
      </w:r>
      <w:r>
        <w:rPr>
          <w:color w:val="231F20"/>
          <w:spacing w:val="1"/>
        </w:rPr>
        <w:t> </w:t>
      </w:r>
      <w:r>
        <w:rPr>
          <w:color w:val="231F20"/>
        </w:rPr>
        <w:t>and conducts intake and nursing assessments (e.g., vital</w:t>
      </w:r>
      <w:r>
        <w:rPr>
          <w:color w:val="231F20"/>
          <w:spacing w:val="1"/>
        </w:rPr>
        <w:t> </w:t>
      </w:r>
      <w:r>
        <w:rPr>
          <w:color w:val="231F20"/>
        </w:rPr>
        <w:t>signs, urine drug screens, medical history). In addition to</w:t>
      </w:r>
      <w:r>
        <w:rPr>
          <w:color w:val="231F20"/>
          <w:spacing w:val="-52"/>
        </w:rPr>
        <w:t> </w:t>
      </w:r>
      <w:r>
        <w:rPr>
          <w:color w:val="231F20"/>
        </w:rPr>
        <w:t>the</w:t>
      </w:r>
      <w:r>
        <w:rPr>
          <w:color w:val="231F20"/>
          <w:spacing w:val="-4"/>
        </w:rPr>
        <w:t> </w:t>
      </w:r>
      <w:r>
        <w:rPr>
          <w:color w:val="231F20"/>
        </w:rPr>
        <w:t>nurse,</w:t>
      </w:r>
      <w:r>
        <w:rPr>
          <w:color w:val="231F20"/>
          <w:spacing w:val="-3"/>
        </w:rPr>
        <w:t> </w:t>
      </w:r>
      <w:r>
        <w:rPr>
          <w:color w:val="231F20"/>
        </w:rPr>
        <w:t>the</w:t>
      </w:r>
      <w:r>
        <w:rPr>
          <w:color w:val="231F20"/>
          <w:spacing w:val="-3"/>
        </w:rPr>
        <w:t> </w:t>
      </w:r>
      <w:r>
        <w:rPr>
          <w:color w:val="231F20"/>
        </w:rPr>
        <w:t>Unit</w:t>
      </w:r>
      <w:r>
        <w:rPr>
          <w:color w:val="231F20"/>
          <w:spacing w:val="-4"/>
        </w:rPr>
        <w:t> </w:t>
      </w:r>
      <w:r>
        <w:rPr>
          <w:color w:val="231F20"/>
        </w:rPr>
        <w:t>is</w:t>
      </w:r>
      <w:r>
        <w:rPr>
          <w:color w:val="231F20"/>
          <w:spacing w:val="-3"/>
        </w:rPr>
        <w:t> </w:t>
      </w:r>
      <w:r>
        <w:rPr>
          <w:color w:val="231F20"/>
        </w:rPr>
        <w:t>staffed</w:t>
      </w:r>
      <w:r>
        <w:rPr>
          <w:color w:val="231F20"/>
          <w:spacing w:val="-4"/>
        </w:rPr>
        <w:t> </w:t>
      </w:r>
      <w:r>
        <w:rPr>
          <w:color w:val="231F20"/>
        </w:rPr>
        <w:t>by</w:t>
      </w:r>
      <w:r>
        <w:rPr>
          <w:color w:val="231F20"/>
          <w:spacing w:val="-3"/>
        </w:rPr>
        <w:t> </w:t>
      </w:r>
      <w:r>
        <w:rPr>
          <w:color w:val="231F20"/>
        </w:rPr>
        <w:t>a</w:t>
      </w:r>
      <w:r>
        <w:rPr>
          <w:color w:val="231F20"/>
          <w:spacing w:val="-3"/>
        </w:rPr>
        <w:t> </w:t>
      </w:r>
      <w:r>
        <w:rPr>
          <w:color w:val="231F20"/>
        </w:rPr>
        <w:t>peer</w:t>
      </w:r>
      <w:r>
        <w:rPr>
          <w:color w:val="231F20"/>
          <w:spacing w:val="-4"/>
        </w:rPr>
        <w:t> </w:t>
      </w:r>
      <w:r>
        <w:rPr>
          <w:color w:val="231F20"/>
        </w:rPr>
        <w:t>recovery</w:t>
      </w:r>
      <w:r>
        <w:rPr>
          <w:color w:val="231F20"/>
          <w:spacing w:val="-3"/>
        </w:rPr>
        <w:t> </w:t>
      </w:r>
      <w:r>
        <w:rPr>
          <w:color w:val="231F20"/>
        </w:rPr>
        <w:t>specialist</w:t>
      </w:r>
      <w:r>
        <w:rPr>
          <w:color w:val="231F20"/>
          <w:spacing w:val="-52"/>
        </w:rPr>
        <w:t> </w:t>
      </w:r>
      <w:r>
        <w:rPr>
          <w:color w:val="231F20"/>
        </w:rPr>
        <w:t>and counselor who provide in-person support and</w:t>
      </w:r>
      <w:r>
        <w:rPr>
          <w:color w:val="231F20"/>
          <w:spacing w:val="1"/>
        </w:rPr>
        <w:t> </w:t>
      </w:r>
      <w:r>
        <w:rPr>
          <w:color w:val="231F20"/>
        </w:rPr>
        <w:t>counseling. Individual counseling is offered on the Unit</w:t>
      </w:r>
      <w:r>
        <w:rPr>
          <w:color w:val="231F20"/>
          <w:spacing w:val="1"/>
        </w:rPr>
        <w:t> </w:t>
      </w:r>
      <w:r>
        <w:rPr>
          <w:color w:val="231F20"/>
        </w:rPr>
        <w:t>and the team has partnered with local community-based</w:t>
      </w:r>
      <w:r>
        <w:rPr>
          <w:color w:val="231F20"/>
          <w:spacing w:val="1"/>
        </w:rPr>
        <w:t> </w:t>
      </w:r>
      <w:r>
        <w:rPr>
          <w:color w:val="231F20"/>
        </w:rPr>
        <w:t>organizations and churches to provide both a place to</w:t>
      </w:r>
      <w:r>
        <w:rPr>
          <w:color w:val="231F20"/>
          <w:spacing w:val="1"/>
        </w:rPr>
        <w:t> </w:t>
      </w:r>
      <w:r>
        <w:rPr>
          <w:color w:val="231F20"/>
        </w:rPr>
        <w:t>park the Unit and provide in-person group counseling. If</w:t>
      </w:r>
      <w:r>
        <w:rPr>
          <w:color w:val="231F20"/>
          <w:spacing w:val="-52"/>
        </w:rPr>
        <w:t> </w:t>
      </w:r>
      <w:r>
        <w:rPr>
          <w:color w:val="231F20"/>
        </w:rPr>
        <w:t>a client needs additional or different treatment than what</w:t>
      </w:r>
      <w:r>
        <w:rPr>
          <w:color w:val="231F20"/>
          <w:spacing w:val="-52"/>
        </w:rPr>
        <w:t> </w:t>
      </w:r>
      <w:r>
        <w:rPr>
          <w:color w:val="231F20"/>
        </w:rPr>
        <w:t>is available on the Unit, the mobile team refers them to</w:t>
      </w:r>
      <w:r>
        <w:rPr>
          <w:color w:val="231F20"/>
          <w:spacing w:val="1"/>
        </w:rPr>
        <w:t> </w:t>
      </w:r>
      <w:r>
        <w:rPr>
          <w:color w:val="231F20"/>
        </w:rPr>
        <w:t>the appropriate level and type of care.</w:t>
      </w:r>
    </w:p>
    <w:p>
      <w:pPr>
        <w:pStyle w:val="Heading4"/>
        <w:spacing w:before="158"/>
        <w:rPr>
          <w:i/>
        </w:rPr>
      </w:pPr>
      <w:r>
        <w:rPr>
          <w:i/>
          <w:color w:val="1C384B"/>
        </w:rPr>
        <w:t>Telehealth-delivered</w:t>
      </w:r>
      <w:r>
        <w:rPr>
          <w:i/>
          <w:color w:val="1C384B"/>
          <w:spacing w:val="-11"/>
        </w:rPr>
        <w:t> </w:t>
      </w:r>
      <w:r>
        <w:rPr>
          <w:i/>
          <w:color w:val="1C384B"/>
        </w:rPr>
        <w:t>services:</w:t>
      </w:r>
    </w:p>
    <w:p>
      <w:pPr>
        <w:pStyle w:val="BodyText"/>
        <w:spacing w:line="266" w:lineRule="auto" w:before="183"/>
        <w:ind w:left="120" w:right="66"/>
      </w:pPr>
      <w:r>
        <w:rPr>
          <w:color w:val="231F20"/>
        </w:rPr>
        <w:t>The back of the Unit has a private room with a computer</w:t>
      </w:r>
      <w:r>
        <w:rPr>
          <w:color w:val="231F20"/>
          <w:spacing w:val="-52"/>
        </w:rPr>
        <w:t> </w:t>
      </w:r>
      <w:r>
        <w:rPr>
          <w:color w:val="231F20"/>
        </w:rPr>
        <w:t>that has secure, interactive videoconferencing software.</w:t>
      </w:r>
      <w:r>
        <w:rPr>
          <w:color w:val="231F20"/>
          <w:spacing w:val="1"/>
        </w:rPr>
        <w:t> </w:t>
      </w:r>
      <w:r>
        <w:rPr>
          <w:color w:val="231F20"/>
        </w:rPr>
        <w:t>Clients are connected virtually to an addiction medicine</w:t>
      </w:r>
    </w:p>
    <w:p>
      <w:pPr>
        <w:pStyle w:val="BodyText"/>
        <w:spacing w:line="266" w:lineRule="auto" w:before="91"/>
        <w:ind w:left="120" w:right="772"/>
      </w:pPr>
      <w:r>
        <w:rPr/>
        <w:br w:type="column"/>
      </w:r>
      <w:r>
        <w:rPr>
          <w:color w:val="231F20"/>
        </w:rPr>
        <w:t>specialist at the University of Maryland, School of</w:t>
      </w:r>
      <w:r>
        <w:rPr>
          <w:color w:val="231F20"/>
          <w:spacing w:val="1"/>
        </w:rPr>
        <w:t> </w:t>
      </w:r>
      <w:r>
        <w:rPr>
          <w:color w:val="231F20"/>
        </w:rPr>
        <w:t>Medicine in Baltimore who provides assessment and</w:t>
      </w:r>
      <w:r>
        <w:rPr>
          <w:color w:val="231F20"/>
          <w:spacing w:val="1"/>
        </w:rPr>
        <w:t> </w:t>
      </w:r>
      <w:r>
        <w:rPr>
          <w:color w:val="231F20"/>
        </w:rPr>
        <w:t>diagnosis at the initial visit and monitoring (including</w:t>
      </w:r>
      <w:r>
        <w:rPr>
          <w:color w:val="231F20"/>
          <w:spacing w:val="1"/>
        </w:rPr>
        <w:t> </w:t>
      </w:r>
      <w:r>
        <w:rPr>
          <w:color w:val="231F20"/>
        </w:rPr>
        <w:t>medication management and monitoring) during follow-</w:t>
      </w:r>
      <w:r>
        <w:rPr>
          <w:color w:val="231F20"/>
          <w:spacing w:val="-52"/>
        </w:rPr>
        <w:t> </w:t>
      </w:r>
      <w:r>
        <w:rPr>
          <w:color w:val="231F20"/>
        </w:rPr>
        <w:t>up visits. The Unit does not carry medication, but has</w:t>
      </w:r>
      <w:r>
        <w:rPr>
          <w:color w:val="231F20"/>
          <w:spacing w:val="1"/>
        </w:rPr>
        <w:t> </w:t>
      </w:r>
      <w:r>
        <w:rPr>
          <w:color w:val="231F20"/>
        </w:rPr>
        <w:t>partnered with local pharmacies to ensure consistent</w:t>
      </w:r>
      <w:r>
        <w:rPr>
          <w:color w:val="231F20"/>
          <w:spacing w:val="1"/>
        </w:rPr>
        <w:t> </w:t>
      </w:r>
      <w:r>
        <w:rPr>
          <w:color w:val="231F20"/>
        </w:rPr>
        <w:t>access</w:t>
      </w:r>
      <w:r>
        <w:rPr>
          <w:color w:val="231F20"/>
          <w:spacing w:val="-1"/>
        </w:rPr>
        <w:t> </w:t>
      </w:r>
      <w:r>
        <w:rPr>
          <w:color w:val="231F20"/>
        </w:rPr>
        <w:t>to medications for OUD</w:t>
      </w:r>
      <w:r>
        <w:rPr>
          <w:color w:val="231F20"/>
          <w:spacing w:val="-2"/>
        </w:rPr>
        <w:t> </w:t>
      </w:r>
      <w:r>
        <w:rPr>
          <w:color w:val="231F20"/>
        </w:rPr>
        <w:t>(e.g., buprenorphine).</w:t>
      </w:r>
    </w:p>
    <w:p>
      <w:pPr>
        <w:pStyle w:val="BodyText"/>
        <w:spacing w:line="266" w:lineRule="auto" w:before="175"/>
        <w:ind w:left="120" w:right="1065"/>
      </w:pPr>
      <w:r>
        <w:rPr>
          <w:color w:val="231F20"/>
        </w:rPr>
        <w:t>By using a hybrid approach, the Unit has removed</w:t>
      </w:r>
      <w:r>
        <w:rPr>
          <w:color w:val="231F20"/>
          <w:spacing w:val="1"/>
        </w:rPr>
        <w:t> </w:t>
      </w:r>
      <w:r>
        <w:rPr>
          <w:color w:val="231F20"/>
        </w:rPr>
        <w:t>the</w:t>
      </w:r>
      <w:r>
        <w:rPr>
          <w:color w:val="231F20"/>
          <w:spacing w:val="-2"/>
        </w:rPr>
        <w:t> </w:t>
      </w:r>
      <w:r>
        <w:rPr>
          <w:color w:val="231F20"/>
        </w:rPr>
        <w:t>need</w:t>
      </w:r>
      <w:r>
        <w:rPr>
          <w:color w:val="231F20"/>
          <w:spacing w:val="-2"/>
        </w:rPr>
        <w:t> </w:t>
      </w:r>
      <w:r>
        <w:rPr>
          <w:color w:val="231F20"/>
        </w:rPr>
        <w:t>to</w:t>
      </w:r>
      <w:r>
        <w:rPr>
          <w:color w:val="231F20"/>
          <w:spacing w:val="-2"/>
        </w:rPr>
        <w:t> </w:t>
      </w:r>
      <w:r>
        <w:rPr>
          <w:color w:val="231F20"/>
        </w:rPr>
        <w:t>provide</w:t>
      </w:r>
      <w:r>
        <w:rPr>
          <w:color w:val="231F20"/>
          <w:spacing w:val="-1"/>
        </w:rPr>
        <w:t> </w:t>
      </w:r>
      <w:r>
        <w:rPr>
          <w:color w:val="231F20"/>
        </w:rPr>
        <w:t>client</w:t>
      </w:r>
      <w:r>
        <w:rPr>
          <w:color w:val="231F20"/>
          <w:spacing w:val="-2"/>
        </w:rPr>
        <w:t> </w:t>
      </w:r>
      <w:r>
        <w:rPr>
          <w:color w:val="231F20"/>
        </w:rPr>
        <w:t>coaching</w:t>
      </w:r>
      <w:r>
        <w:rPr>
          <w:color w:val="231F20"/>
          <w:spacing w:val="-2"/>
        </w:rPr>
        <w:t> </w:t>
      </w:r>
      <w:r>
        <w:rPr>
          <w:color w:val="231F20"/>
        </w:rPr>
        <w:t>on</w:t>
      </w:r>
      <w:r>
        <w:rPr>
          <w:color w:val="231F20"/>
          <w:spacing w:val="-1"/>
        </w:rPr>
        <w:t> </w:t>
      </w:r>
      <w:r>
        <w:rPr>
          <w:color w:val="231F20"/>
        </w:rPr>
        <w:t>how</w:t>
      </w:r>
      <w:r>
        <w:rPr>
          <w:color w:val="231F20"/>
          <w:spacing w:val="-2"/>
        </w:rPr>
        <w:t> </w:t>
      </w:r>
      <w:r>
        <w:rPr>
          <w:color w:val="231F20"/>
        </w:rPr>
        <w:t>to</w:t>
      </w:r>
      <w:r>
        <w:rPr>
          <w:color w:val="231F20"/>
          <w:spacing w:val="-2"/>
        </w:rPr>
        <w:t> </w:t>
      </w:r>
      <w:r>
        <w:rPr>
          <w:color w:val="231F20"/>
        </w:rPr>
        <w:t>use</w:t>
      </w:r>
      <w:r>
        <w:rPr>
          <w:color w:val="231F20"/>
          <w:spacing w:val="-1"/>
        </w:rPr>
        <w:t> </w:t>
      </w:r>
      <w:r>
        <w:rPr>
          <w:color w:val="231F20"/>
        </w:rPr>
        <w:t>the</w:t>
      </w:r>
    </w:p>
    <w:p>
      <w:pPr>
        <w:pStyle w:val="BodyText"/>
        <w:spacing w:line="251" w:lineRule="exact"/>
        <w:ind w:left="120"/>
      </w:pPr>
      <w:r>
        <w:rPr>
          <w:color w:val="231F20"/>
          <w:w w:val="95"/>
        </w:rPr>
        <w:t>technology.</w:t>
      </w:r>
      <w:r>
        <w:rPr>
          <w:color w:val="231F20"/>
          <w:spacing w:val="7"/>
          <w:w w:val="95"/>
        </w:rPr>
        <w:t> </w:t>
      </w:r>
      <w:r>
        <w:rPr>
          <w:color w:val="231F20"/>
          <w:w w:val="95"/>
        </w:rPr>
        <w:t>A</w:t>
      </w:r>
      <w:r>
        <w:rPr>
          <w:color w:val="231F20"/>
          <w:spacing w:val="7"/>
          <w:w w:val="95"/>
        </w:rPr>
        <w:t> </w:t>
      </w:r>
      <w:r>
        <w:rPr>
          <w:color w:val="231F20"/>
          <w:w w:val="95"/>
        </w:rPr>
        <w:t>staff</w:t>
      </w:r>
      <w:r>
        <w:rPr>
          <w:color w:val="231F20"/>
          <w:spacing w:val="23"/>
          <w:w w:val="95"/>
        </w:rPr>
        <w:t> </w:t>
      </w:r>
      <w:r>
        <w:rPr>
          <w:color w:val="231F20"/>
          <w:w w:val="95"/>
        </w:rPr>
        <w:t>member</w:t>
      </w:r>
      <w:r>
        <w:rPr>
          <w:color w:val="231F20"/>
          <w:spacing w:val="26"/>
          <w:w w:val="95"/>
        </w:rPr>
        <w:t> </w:t>
      </w:r>
      <w:r>
        <w:rPr>
          <w:color w:val="231F20"/>
          <w:w w:val="95"/>
        </w:rPr>
        <w:t>is</w:t>
      </w:r>
      <w:r>
        <w:rPr>
          <w:color w:val="231F20"/>
          <w:spacing w:val="25"/>
          <w:w w:val="95"/>
        </w:rPr>
        <w:t> </w:t>
      </w:r>
      <w:r>
        <w:rPr>
          <w:color w:val="231F20"/>
          <w:w w:val="95"/>
        </w:rPr>
        <w:t>always</w:t>
      </w:r>
      <w:r>
        <w:rPr>
          <w:color w:val="231F20"/>
          <w:spacing w:val="25"/>
          <w:w w:val="95"/>
        </w:rPr>
        <w:t> </w:t>
      </w:r>
      <w:r>
        <w:rPr>
          <w:color w:val="231F20"/>
          <w:w w:val="95"/>
        </w:rPr>
        <w:t>available</w:t>
      </w:r>
      <w:r>
        <w:rPr>
          <w:color w:val="231F20"/>
          <w:spacing w:val="26"/>
          <w:w w:val="95"/>
        </w:rPr>
        <w:t> </w:t>
      </w:r>
      <w:r>
        <w:rPr>
          <w:color w:val="231F20"/>
          <w:w w:val="95"/>
        </w:rPr>
        <w:t>to</w:t>
      </w:r>
      <w:r>
        <w:rPr>
          <w:color w:val="231F20"/>
          <w:spacing w:val="25"/>
          <w:w w:val="95"/>
        </w:rPr>
        <w:t> </w:t>
      </w:r>
      <w:r>
        <w:rPr>
          <w:color w:val="231F20"/>
          <w:w w:val="95"/>
        </w:rPr>
        <w:t>answer</w:t>
      </w:r>
    </w:p>
    <w:p>
      <w:pPr>
        <w:pStyle w:val="BodyText"/>
        <w:spacing w:before="27"/>
        <w:ind w:left="120"/>
      </w:pPr>
      <w:r>
        <w:rPr>
          <w:color w:val="231F20"/>
        </w:rPr>
        <w:t>questions</w:t>
      </w:r>
      <w:r>
        <w:rPr>
          <w:color w:val="231F20"/>
          <w:spacing w:val="-1"/>
        </w:rPr>
        <w:t> </w:t>
      </w:r>
      <w:r>
        <w:rPr>
          <w:color w:val="231F20"/>
        </w:rPr>
        <w:t>and troubleshoot.</w:t>
      </w:r>
    </w:p>
    <w:p>
      <w:pPr>
        <w:pStyle w:val="Heading5"/>
        <w:spacing w:before="206"/>
      </w:pPr>
      <w:r>
        <w:rPr>
          <w:color w:val="CE384B"/>
        </w:rPr>
        <w:t>Findings and Outcomes</w:t>
      </w:r>
    </w:p>
    <w:p>
      <w:pPr>
        <w:pStyle w:val="ListParagraph"/>
        <w:numPr>
          <w:ilvl w:val="1"/>
          <w:numId w:val="5"/>
        </w:numPr>
        <w:tabs>
          <w:tab w:pos="839" w:val="left" w:leader="none"/>
          <w:tab w:pos="840" w:val="left" w:leader="none"/>
        </w:tabs>
        <w:spacing w:line="240" w:lineRule="auto" w:before="102" w:after="0"/>
        <w:ind w:left="839" w:right="0" w:hanging="361"/>
        <w:jc w:val="left"/>
        <w:rPr>
          <w:rFonts w:ascii="Symbol" w:hAnsi="Symbol"/>
          <w:color w:val="010202"/>
          <w:sz w:val="22"/>
        </w:rPr>
      </w:pPr>
      <w:r>
        <w:rPr>
          <w:color w:val="010202"/>
          <w:sz w:val="22"/>
        </w:rPr>
        <w:t>Clients have the option to participate in a</w:t>
      </w:r>
    </w:p>
    <w:p>
      <w:pPr>
        <w:pStyle w:val="BodyText"/>
        <w:spacing w:line="266" w:lineRule="auto" w:before="26"/>
        <w:ind w:left="839" w:right="744"/>
      </w:pPr>
      <w:r>
        <w:rPr>
          <w:color w:val="010202"/>
        </w:rPr>
        <w:t>six-month evaluation, consisting of a baseline</w:t>
      </w:r>
      <w:r>
        <w:rPr>
          <w:color w:val="010202"/>
          <w:spacing w:val="1"/>
        </w:rPr>
        <w:t> </w:t>
      </w:r>
      <w:r>
        <w:rPr>
          <w:color w:val="010202"/>
        </w:rPr>
        <w:t>visit and four subsequent visits 30, 60, 90, and</w:t>
      </w:r>
      <w:r>
        <w:rPr>
          <w:color w:val="010202"/>
          <w:spacing w:val="1"/>
        </w:rPr>
        <w:t> </w:t>
      </w:r>
      <w:r>
        <w:rPr>
          <w:color w:val="010202"/>
        </w:rPr>
        <w:t>180 days following the start of treatment. The</w:t>
      </w:r>
      <w:r>
        <w:rPr>
          <w:color w:val="010202"/>
          <w:spacing w:val="1"/>
        </w:rPr>
        <w:t> </w:t>
      </w:r>
      <w:r>
        <w:rPr>
          <w:color w:val="010202"/>
        </w:rPr>
        <w:t>evaluation collects client information using the</w:t>
      </w:r>
      <w:r>
        <w:rPr>
          <w:color w:val="010202"/>
          <w:spacing w:val="1"/>
        </w:rPr>
        <w:t> </w:t>
      </w:r>
      <w:r>
        <w:rPr>
          <w:color w:val="010202"/>
        </w:rPr>
        <w:t>PHQ9, GAD-7, Promis, and DUDIT-C to assess</w:t>
      </w:r>
      <w:r>
        <w:rPr>
          <w:color w:val="010202"/>
          <w:spacing w:val="-52"/>
        </w:rPr>
        <w:t> </w:t>
      </w:r>
      <w:r>
        <w:rPr>
          <w:color w:val="010202"/>
        </w:rPr>
        <w:t>changes in depression, anxiety, substance use,</w:t>
      </w:r>
      <w:r>
        <w:rPr>
          <w:color w:val="010202"/>
          <w:spacing w:val="1"/>
        </w:rPr>
        <w:t> </w:t>
      </w:r>
      <w:r>
        <w:rPr>
          <w:color w:val="010202"/>
        </w:rPr>
        <w:t>and overall health. Clients who participate in the</w:t>
      </w:r>
      <w:r>
        <w:rPr>
          <w:color w:val="010202"/>
          <w:spacing w:val="-52"/>
        </w:rPr>
        <w:t> </w:t>
      </w:r>
      <w:r>
        <w:rPr>
          <w:color w:val="010202"/>
        </w:rPr>
        <w:t>monthly surveys reported decreased depression,</w:t>
      </w:r>
      <w:r>
        <w:rPr>
          <w:color w:val="010202"/>
          <w:spacing w:val="1"/>
        </w:rPr>
        <w:t> </w:t>
      </w:r>
      <w:r>
        <w:rPr>
          <w:color w:val="010202"/>
        </w:rPr>
        <w:t>anxiety, and overall drug use since starting</w:t>
      </w:r>
      <w:r>
        <w:rPr>
          <w:color w:val="010202"/>
          <w:spacing w:val="1"/>
        </w:rPr>
        <w:t> </w:t>
      </w:r>
      <w:r>
        <w:rPr>
          <w:color w:val="010202"/>
        </w:rPr>
        <w:t>treatment.</w:t>
      </w:r>
    </w:p>
    <w:p>
      <w:pPr>
        <w:pStyle w:val="ListParagraph"/>
        <w:numPr>
          <w:ilvl w:val="1"/>
          <w:numId w:val="5"/>
        </w:numPr>
        <w:tabs>
          <w:tab w:pos="839" w:val="left" w:leader="none"/>
          <w:tab w:pos="840" w:val="left" w:leader="none"/>
        </w:tabs>
        <w:spacing w:line="264" w:lineRule="auto" w:before="24" w:after="0"/>
        <w:ind w:left="839" w:right="779" w:hanging="360"/>
        <w:jc w:val="left"/>
        <w:rPr>
          <w:rFonts w:ascii="Symbol" w:hAnsi="Symbol"/>
          <w:color w:val="010202"/>
          <w:sz w:val="22"/>
        </w:rPr>
      </w:pPr>
      <w:r>
        <w:rPr>
          <w:color w:val="010202"/>
          <w:sz w:val="22"/>
        </w:rPr>
        <w:t>An analysis of client records for those served</w:t>
      </w:r>
      <w:r>
        <w:rPr>
          <w:color w:val="010202"/>
          <w:spacing w:val="1"/>
          <w:sz w:val="22"/>
        </w:rPr>
        <w:t> </w:t>
      </w:r>
      <w:r>
        <w:rPr>
          <w:color w:val="010202"/>
          <w:sz w:val="22"/>
        </w:rPr>
        <w:t>between August 2015 and April 2019 found that</w:t>
      </w:r>
      <w:r>
        <w:rPr>
          <w:color w:val="010202"/>
          <w:spacing w:val="-52"/>
          <w:sz w:val="22"/>
        </w:rPr>
        <w:t> </w:t>
      </w:r>
      <w:r>
        <w:rPr>
          <w:color w:val="010202"/>
          <w:sz w:val="22"/>
        </w:rPr>
        <w:t>retention rates and toxicology results (e.g., urine</w:t>
      </w:r>
      <w:r>
        <w:rPr>
          <w:color w:val="010202"/>
          <w:spacing w:val="-52"/>
          <w:sz w:val="22"/>
        </w:rPr>
        <w:t> </w:t>
      </w:r>
      <w:r>
        <w:rPr>
          <w:color w:val="010202"/>
          <w:sz w:val="22"/>
        </w:rPr>
        <w:t>drug screenings) were comparable to services</w:t>
      </w:r>
      <w:r>
        <w:rPr>
          <w:color w:val="010202"/>
          <w:spacing w:val="1"/>
          <w:sz w:val="22"/>
        </w:rPr>
        <w:t> </w:t>
      </w:r>
      <w:r>
        <w:rPr>
          <w:color w:val="010202"/>
          <w:sz w:val="22"/>
        </w:rPr>
        <w:t>delivered</w:t>
      </w:r>
      <w:r>
        <w:rPr>
          <w:color w:val="010202"/>
          <w:spacing w:val="-1"/>
          <w:sz w:val="22"/>
        </w:rPr>
        <w:t> </w:t>
      </w:r>
      <w:r>
        <w:rPr>
          <w:color w:val="010202"/>
          <w:sz w:val="22"/>
        </w:rPr>
        <w:t>solely in-person.</w:t>
      </w:r>
      <w:r>
        <w:rPr>
          <w:color w:val="010202"/>
          <w:sz w:val="22"/>
          <w:vertAlign w:val="superscript"/>
        </w:rPr>
        <w:t>1</w:t>
      </w:r>
    </w:p>
    <w:p>
      <w:pPr>
        <w:pStyle w:val="ListParagraph"/>
        <w:numPr>
          <w:ilvl w:val="1"/>
          <w:numId w:val="5"/>
        </w:numPr>
        <w:tabs>
          <w:tab w:pos="839" w:val="left" w:leader="none"/>
          <w:tab w:pos="840" w:val="left" w:leader="none"/>
        </w:tabs>
        <w:spacing w:line="264" w:lineRule="auto" w:before="36" w:after="0"/>
        <w:ind w:left="839" w:right="1152" w:hanging="360"/>
        <w:jc w:val="left"/>
        <w:rPr>
          <w:rFonts w:ascii="Symbol" w:hAnsi="Symbol"/>
          <w:color w:val="010202"/>
          <w:sz w:val="22"/>
        </w:rPr>
      </w:pPr>
      <w:r>
        <w:rPr/>
        <w:drawing>
          <wp:anchor distT="0" distB="0" distL="0" distR="0" allowOverlap="1" layoutInCell="1" locked="0" behindDoc="0" simplePos="0" relativeHeight="15753728">
            <wp:simplePos x="0" y="0"/>
            <wp:positionH relativeFrom="page">
              <wp:posOffset>4114800</wp:posOffset>
            </wp:positionH>
            <wp:positionV relativeFrom="paragraph">
              <wp:posOffset>877026</wp:posOffset>
            </wp:positionV>
            <wp:extent cx="496061" cy="496061"/>
            <wp:effectExtent l="0" t="0" r="0" b="0"/>
            <wp:wrapNone/>
            <wp:docPr id="41" name="image22.jpeg"/>
            <wp:cNvGraphicFramePr>
              <a:graphicFrameLocks noChangeAspect="1"/>
            </wp:cNvGraphicFramePr>
            <a:graphic>
              <a:graphicData uri="http://schemas.openxmlformats.org/drawingml/2006/picture">
                <pic:pic>
                  <pic:nvPicPr>
                    <pic:cNvPr id="42" name="image22.jpeg"/>
                    <pic:cNvPicPr/>
                  </pic:nvPicPr>
                  <pic:blipFill>
                    <a:blip r:embed="rId317" cstate="print"/>
                    <a:stretch>
                      <a:fillRect/>
                    </a:stretch>
                  </pic:blipFill>
                  <pic:spPr>
                    <a:xfrm>
                      <a:off x="0" y="0"/>
                      <a:ext cx="496061" cy="496061"/>
                    </a:xfrm>
                    <a:prstGeom prst="rect">
                      <a:avLst/>
                    </a:prstGeom>
                  </pic:spPr>
                </pic:pic>
              </a:graphicData>
            </a:graphic>
          </wp:anchor>
        </w:drawing>
      </w:r>
      <w:r>
        <w:rPr>
          <w:color w:val="010202"/>
          <w:sz w:val="22"/>
        </w:rPr>
        <w:t>Clients have saved an average of 9.93 travel</w:t>
      </w:r>
      <w:r>
        <w:rPr>
          <w:color w:val="010202"/>
          <w:spacing w:val="-52"/>
          <w:sz w:val="22"/>
        </w:rPr>
        <w:t> </w:t>
      </w:r>
      <w:r>
        <w:rPr>
          <w:color w:val="010202"/>
          <w:sz w:val="22"/>
        </w:rPr>
        <w:t>miles by receiving treatment on the mobile</w:t>
      </w:r>
      <w:r>
        <w:rPr>
          <w:color w:val="010202"/>
          <w:spacing w:val="1"/>
          <w:sz w:val="22"/>
        </w:rPr>
        <w:t> </w:t>
      </w:r>
      <w:r>
        <w:rPr>
          <w:color w:val="010202"/>
          <w:sz w:val="22"/>
        </w:rPr>
        <w:t>treatment unit instead of traveling to their</w:t>
      </w:r>
      <w:r>
        <w:rPr>
          <w:color w:val="010202"/>
          <w:spacing w:val="1"/>
          <w:sz w:val="22"/>
        </w:rPr>
        <w:t> </w:t>
      </w:r>
      <w:r>
        <w:rPr>
          <w:color w:val="010202"/>
          <w:sz w:val="22"/>
        </w:rPr>
        <w:t>nearest clinic.</w:t>
      </w:r>
    </w:p>
    <w:p>
      <w:pPr>
        <w:pStyle w:val="BodyText"/>
        <w:rPr>
          <w:sz w:val="24"/>
        </w:rPr>
      </w:pPr>
    </w:p>
    <w:p>
      <w:pPr>
        <w:pStyle w:val="Heading5"/>
        <w:spacing w:before="177"/>
        <w:ind w:left="1080"/>
      </w:pPr>
      <w:r>
        <w:rPr>
          <w:color w:val="CE384B"/>
        </w:rPr>
        <w:t>Lessons</w:t>
      </w:r>
      <w:r>
        <w:rPr>
          <w:color w:val="CE384B"/>
          <w:spacing w:val="-1"/>
        </w:rPr>
        <w:t> </w:t>
      </w:r>
      <w:r>
        <w:rPr>
          <w:color w:val="CE384B"/>
        </w:rPr>
        <w:t>Learned</w:t>
      </w:r>
    </w:p>
    <w:p>
      <w:pPr>
        <w:pStyle w:val="BodyText"/>
        <w:spacing w:before="4"/>
        <w:rPr>
          <w:rFonts w:ascii="Arial"/>
          <w:b/>
          <w:sz w:val="32"/>
        </w:rPr>
      </w:pPr>
    </w:p>
    <w:p>
      <w:pPr>
        <w:pStyle w:val="ListParagraph"/>
        <w:numPr>
          <w:ilvl w:val="1"/>
          <w:numId w:val="5"/>
        </w:numPr>
        <w:tabs>
          <w:tab w:pos="839" w:val="left" w:leader="none"/>
          <w:tab w:pos="840" w:val="left" w:leader="none"/>
        </w:tabs>
        <w:spacing w:line="264" w:lineRule="auto" w:before="1" w:after="0"/>
        <w:ind w:left="839" w:right="978" w:hanging="360"/>
        <w:jc w:val="left"/>
        <w:rPr>
          <w:rFonts w:ascii="Symbol" w:hAnsi="Symbol"/>
          <w:color w:val="010202"/>
          <w:sz w:val="22"/>
        </w:rPr>
      </w:pPr>
      <w:r>
        <w:rPr>
          <w:b/>
          <w:color w:val="010202"/>
          <w:spacing w:val="-2"/>
          <w:sz w:val="22"/>
        </w:rPr>
        <w:t>Partnerships with regulatory bodies </w:t>
      </w:r>
      <w:r>
        <w:rPr>
          <w:b/>
          <w:color w:val="010202"/>
          <w:spacing w:val="-1"/>
          <w:sz w:val="22"/>
        </w:rPr>
        <w:t>can</w:t>
      </w:r>
      <w:r>
        <w:rPr>
          <w:b/>
          <w:color w:val="010202"/>
          <w:sz w:val="22"/>
        </w:rPr>
        <w:t> </w:t>
      </w:r>
      <w:r>
        <w:rPr>
          <w:b/>
          <w:color w:val="010202"/>
          <w:spacing w:val="-4"/>
          <w:sz w:val="22"/>
        </w:rPr>
        <w:t>facilitate</w:t>
      </w:r>
      <w:r>
        <w:rPr>
          <w:b/>
          <w:color w:val="010202"/>
          <w:spacing w:val="-8"/>
          <w:sz w:val="22"/>
        </w:rPr>
        <w:t> </w:t>
      </w:r>
      <w:r>
        <w:rPr>
          <w:b/>
          <w:color w:val="010202"/>
          <w:spacing w:val="-4"/>
          <w:sz w:val="22"/>
        </w:rPr>
        <w:t>implementation</w:t>
      </w:r>
      <w:r>
        <w:rPr>
          <w:b/>
          <w:color w:val="010202"/>
          <w:spacing w:val="-7"/>
          <w:sz w:val="22"/>
        </w:rPr>
        <w:t> </w:t>
      </w:r>
      <w:r>
        <w:rPr>
          <w:b/>
          <w:color w:val="010202"/>
          <w:spacing w:val="-3"/>
          <w:sz w:val="22"/>
        </w:rPr>
        <w:t>of</w:t>
      </w:r>
      <w:r>
        <w:rPr>
          <w:b/>
          <w:color w:val="010202"/>
          <w:spacing w:val="-8"/>
          <w:sz w:val="22"/>
        </w:rPr>
        <w:t> </w:t>
      </w:r>
      <w:r>
        <w:rPr>
          <w:b/>
          <w:color w:val="010202"/>
          <w:spacing w:val="-3"/>
          <w:sz w:val="22"/>
        </w:rPr>
        <w:t>innovative</w:t>
      </w:r>
      <w:r>
        <w:rPr>
          <w:b/>
          <w:color w:val="010202"/>
          <w:spacing w:val="-7"/>
          <w:sz w:val="22"/>
        </w:rPr>
        <w:t> </w:t>
      </w:r>
      <w:r>
        <w:rPr>
          <w:b/>
          <w:color w:val="010202"/>
          <w:spacing w:val="-3"/>
          <w:sz w:val="22"/>
        </w:rPr>
        <w:t>ideas.</w:t>
      </w:r>
    </w:p>
    <w:p>
      <w:pPr>
        <w:pStyle w:val="BodyText"/>
        <w:spacing w:line="266" w:lineRule="auto" w:before="1"/>
        <w:ind w:left="839" w:right="1098"/>
      </w:pPr>
      <w:r>
        <w:rPr>
          <w:color w:val="010202"/>
          <w:spacing w:val="-3"/>
        </w:rPr>
        <w:t>Medications for </w:t>
      </w:r>
      <w:r>
        <w:rPr>
          <w:color w:val="010202"/>
          <w:spacing w:val="-2"/>
        </w:rPr>
        <w:t>OUD are heavily regulated</w:t>
      </w:r>
      <w:r>
        <w:rPr>
          <w:color w:val="010202"/>
          <w:spacing w:val="-1"/>
        </w:rPr>
        <w:t> </w:t>
      </w:r>
      <w:r>
        <w:rPr>
          <w:color w:val="010202"/>
          <w:spacing w:val="-4"/>
        </w:rPr>
        <w:t>by the Drug Enforcement </w:t>
      </w:r>
      <w:r>
        <w:rPr>
          <w:color w:val="010202"/>
          <w:spacing w:val="-3"/>
        </w:rPr>
        <w:t>Administration</w:t>
      </w:r>
      <w:r>
        <w:rPr>
          <w:color w:val="010202"/>
          <w:spacing w:val="-2"/>
        </w:rPr>
        <w:t> </w:t>
      </w:r>
      <w:r>
        <w:rPr>
          <w:color w:val="010202"/>
          <w:spacing w:val="-4"/>
        </w:rPr>
        <w:t>(DEA).</w:t>
      </w:r>
      <w:r>
        <w:rPr>
          <w:color w:val="010202"/>
          <w:spacing w:val="2"/>
        </w:rPr>
        <w:t> </w:t>
      </w:r>
      <w:r>
        <w:rPr>
          <w:color w:val="010202"/>
          <w:spacing w:val="-4"/>
        </w:rPr>
        <w:t>The</w:t>
      </w:r>
      <w:r>
        <w:rPr>
          <w:color w:val="010202"/>
          <w:spacing w:val="7"/>
        </w:rPr>
        <w:t> </w:t>
      </w:r>
      <w:r>
        <w:rPr>
          <w:color w:val="010202"/>
          <w:spacing w:val="-4"/>
        </w:rPr>
        <w:t>UMSOM</w:t>
      </w:r>
      <w:r>
        <w:rPr>
          <w:color w:val="010202"/>
          <w:spacing w:val="7"/>
        </w:rPr>
        <w:t> </w:t>
      </w:r>
      <w:r>
        <w:rPr>
          <w:color w:val="010202"/>
          <w:spacing w:val="-3"/>
        </w:rPr>
        <w:t>team</w:t>
      </w:r>
      <w:r>
        <w:rPr>
          <w:color w:val="010202"/>
          <w:spacing w:val="6"/>
        </w:rPr>
        <w:t> </w:t>
      </w:r>
      <w:r>
        <w:rPr>
          <w:color w:val="010202"/>
          <w:spacing w:val="-3"/>
        </w:rPr>
        <w:t>consulted</w:t>
      </w:r>
      <w:r>
        <w:rPr>
          <w:color w:val="010202"/>
          <w:spacing w:val="7"/>
        </w:rPr>
        <w:t> </w:t>
      </w:r>
      <w:r>
        <w:rPr>
          <w:color w:val="010202"/>
          <w:spacing w:val="-3"/>
        </w:rPr>
        <w:t>with</w:t>
      </w:r>
      <w:r>
        <w:rPr>
          <w:color w:val="010202"/>
          <w:spacing w:val="-2"/>
        </w:rPr>
        <w:t> </w:t>
      </w:r>
      <w:r>
        <w:rPr>
          <w:color w:val="010202"/>
          <w:spacing w:val="-4"/>
        </w:rPr>
        <w:t>the</w:t>
      </w:r>
      <w:r>
        <w:rPr>
          <w:color w:val="010202"/>
          <w:spacing w:val="-7"/>
        </w:rPr>
        <w:t> </w:t>
      </w:r>
      <w:r>
        <w:rPr>
          <w:color w:val="010202"/>
          <w:spacing w:val="-4"/>
        </w:rPr>
        <w:t>DEA</w:t>
      </w:r>
      <w:r>
        <w:rPr>
          <w:color w:val="010202"/>
          <w:spacing w:val="-19"/>
        </w:rPr>
        <w:t> </w:t>
      </w:r>
      <w:r>
        <w:rPr>
          <w:color w:val="010202"/>
          <w:spacing w:val="-4"/>
        </w:rPr>
        <w:t>throughout</w:t>
      </w:r>
      <w:r>
        <w:rPr>
          <w:color w:val="010202"/>
          <w:spacing w:val="-6"/>
        </w:rPr>
        <w:t> </w:t>
      </w:r>
      <w:r>
        <w:rPr>
          <w:color w:val="010202"/>
          <w:spacing w:val="-3"/>
        </w:rPr>
        <w:t>program</w:t>
      </w:r>
      <w:r>
        <w:rPr>
          <w:color w:val="010202"/>
          <w:spacing w:val="-7"/>
        </w:rPr>
        <w:t> </w:t>
      </w:r>
      <w:r>
        <w:rPr>
          <w:color w:val="010202"/>
          <w:spacing w:val="-3"/>
        </w:rPr>
        <w:t>design</w:t>
      </w:r>
      <w:r>
        <w:rPr>
          <w:color w:val="010202"/>
          <w:spacing w:val="-6"/>
        </w:rPr>
        <w:t> </w:t>
      </w:r>
      <w:r>
        <w:rPr>
          <w:color w:val="010202"/>
          <w:spacing w:val="-3"/>
        </w:rPr>
        <w:t>and</w:t>
      </w:r>
      <w:r>
        <w:rPr>
          <w:color w:val="010202"/>
          <w:spacing w:val="-7"/>
        </w:rPr>
        <w:t> </w:t>
      </w:r>
      <w:r>
        <w:rPr>
          <w:color w:val="010202"/>
          <w:spacing w:val="-3"/>
        </w:rPr>
        <w:t>early</w:t>
      </w:r>
    </w:p>
    <w:p>
      <w:pPr>
        <w:pStyle w:val="BodyText"/>
        <w:spacing w:line="266" w:lineRule="auto"/>
        <w:ind w:left="839" w:right="805"/>
      </w:pPr>
      <w:r>
        <w:rPr>
          <w:color w:val="010202"/>
          <w:spacing w:val="-3"/>
        </w:rPr>
        <w:t>implementation</w:t>
      </w:r>
      <w:r>
        <w:rPr>
          <w:color w:val="010202"/>
          <w:spacing w:val="-11"/>
        </w:rPr>
        <w:t> </w:t>
      </w:r>
      <w:r>
        <w:rPr>
          <w:color w:val="010202"/>
          <w:spacing w:val="-3"/>
        </w:rPr>
        <w:t>to</w:t>
      </w:r>
      <w:r>
        <w:rPr>
          <w:color w:val="010202"/>
          <w:spacing w:val="-11"/>
        </w:rPr>
        <w:t> </w:t>
      </w:r>
      <w:r>
        <w:rPr>
          <w:color w:val="010202"/>
          <w:spacing w:val="-3"/>
        </w:rPr>
        <w:t>launch</w:t>
      </w:r>
      <w:r>
        <w:rPr>
          <w:color w:val="010202"/>
          <w:spacing w:val="-11"/>
        </w:rPr>
        <w:t> </w:t>
      </w:r>
      <w:r>
        <w:rPr>
          <w:color w:val="010202"/>
          <w:spacing w:val="-3"/>
        </w:rPr>
        <w:t>the</w:t>
      </w:r>
      <w:r>
        <w:rPr>
          <w:color w:val="010202"/>
          <w:spacing w:val="-10"/>
        </w:rPr>
        <w:t> </w:t>
      </w:r>
      <w:r>
        <w:rPr>
          <w:color w:val="010202"/>
          <w:spacing w:val="-3"/>
        </w:rPr>
        <w:t>Unit</w:t>
      </w:r>
      <w:r>
        <w:rPr>
          <w:color w:val="010202"/>
          <w:spacing w:val="-11"/>
        </w:rPr>
        <w:t> </w:t>
      </w:r>
      <w:r>
        <w:rPr>
          <w:color w:val="010202"/>
          <w:spacing w:val="-3"/>
        </w:rPr>
        <w:t>successfully</w:t>
      </w:r>
      <w:r>
        <w:rPr>
          <w:color w:val="010202"/>
          <w:spacing w:val="-52"/>
        </w:rPr>
        <w:t> </w:t>
      </w:r>
      <w:r>
        <w:rPr>
          <w:color w:val="010202"/>
        </w:rPr>
        <w:t>and</w:t>
      </w:r>
      <w:r>
        <w:rPr>
          <w:color w:val="010202"/>
          <w:spacing w:val="-8"/>
        </w:rPr>
        <w:t> </w:t>
      </w:r>
      <w:r>
        <w:rPr>
          <w:color w:val="010202"/>
        </w:rPr>
        <w:t>safely.</w:t>
      </w:r>
    </w:p>
    <w:p>
      <w:pPr>
        <w:pStyle w:val="Heading5"/>
        <w:numPr>
          <w:ilvl w:val="1"/>
          <w:numId w:val="5"/>
        </w:numPr>
        <w:tabs>
          <w:tab w:pos="840" w:val="left" w:leader="none"/>
        </w:tabs>
        <w:spacing w:line="264" w:lineRule="auto" w:before="26" w:after="0"/>
        <w:ind w:left="839" w:right="831" w:hanging="360"/>
        <w:jc w:val="both"/>
        <w:rPr>
          <w:rFonts w:ascii="Symbol" w:hAnsi="Symbol"/>
          <w:b w:val="0"/>
          <w:color w:val="010202"/>
        </w:rPr>
      </w:pPr>
      <w:r>
        <w:rPr>
          <w:rFonts w:ascii="Times New Roman" w:hAnsi="Times New Roman"/>
          <w:color w:val="010202"/>
        </w:rPr>
        <w:t>Implementation</w:t>
      </w:r>
      <w:r>
        <w:rPr>
          <w:rFonts w:ascii="Times New Roman" w:hAnsi="Times New Roman"/>
          <w:color w:val="010202"/>
          <w:spacing w:val="-5"/>
        </w:rPr>
        <w:t> </w:t>
      </w:r>
      <w:r>
        <w:rPr>
          <w:rFonts w:ascii="Times New Roman" w:hAnsi="Times New Roman"/>
          <w:color w:val="010202"/>
        </w:rPr>
        <w:t>will</w:t>
      </w:r>
      <w:r>
        <w:rPr>
          <w:rFonts w:ascii="Times New Roman" w:hAnsi="Times New Roman"/>
          <w:color w:val="010202"/>
          <w:spacing w:val="-4"/>
        </w:rPr>
        <w:t> </w:t>
      </w:r>
      <w:r>
        <w:rPr>
          <w:rFonts w:ascii="Times New Roman" w:hAnsi="Times New Roman"/>
          <w:color w:val="010202"/>
        </w:rPr>
        <w:t>involve</w:t>
      </w:r>
      <w:r>
        <w:rPr>
          <w:rFonts w:ascii="Times New Roman" w:hAnsi="Times New Roman"/>
          <w:color w:val="010202"/>
          <w:spacing w:val="-3"/>
        </w:rPr>
        <w:t> </w:t>
      </w:r>
      <w:r>
        <w:rPr>
          <w:rFonts w:ascii="Times New Roman" w:hAnsi="Times New Roman"/>
          <w:color w:val="010202"/>
        </w:rPr>
        <w:t>trial</w:t>
      </w:r>
      <w:r>
        <w:rPr>
          <w:rFonts w:ascii="Times New Roman" w:hAnsi="Times New Roman"/>
          <w:color w:val="010202"/>
          <w:spacing w:val="-4"/>
        </w:rPr>
        <w:t> </w:t>
      </w:r>
      <w:r>
        <w:rPr>
          <w:rFonts w:ascii="Times New Roman" w:hAnsi="Times New Roman"/>
          <w:color w:val="010202"/>
        </w:rPr>
        <w:t>and</w:t>
      </w:r>
      <w:r>
        <w:rPr>
          <w:rFonts w:ascii="Times New Roman" w:hAnsi="Times New Roman"/>
          <w:color w:val="010202"/>
          <w:spacing w:val="-3"/>
        </w:rPr>
        <w:t> </w:t>
      </w:r>
      <w:r>
        <w:rPr>
          <w:rFonts w:ascii="Times New Roman" w:hAnsi="Times New Roman"/>
          <w:color w:val="010202"/>
        </w:rPr>
        <w:t>error</w:t>
      </w:r>
      <w:r>
        <w:rPr>
          <w:rFonts w:ascii="Times New Roman" w:hAnsi="Times New Roman"/>
          <w:color w:val="010202"/>
          <w:spacing w:val="-7"/>
        </w:rPr>
        <w:t> </w:t>
      </w:r>
      <w:r>
        <w:rPr>
          <w:rFonts w:ascii="Times New Roman" w:hAnsi="Times New Roman"/>
          <w:color w:val="010202"/>
        </w:rPr>
        <w:t>–</w:t>
      </w:r>
      <w:r>
        <w:rPr>
          <w:rFonts w:ascii="Times New Roman" w:hAnsi="Times New Roman"/>
          <w:color w:val="010202"/>
          <w:spacing w:val="-53"/>
        </w:rPr>
        <w:t> </w:t>
      </w:r>
      <w:r>
        <w:rPr>
          <w:rFonts w:ascii="Times New Roman" w:hAnsi="Times New Roman"/>
          <w:color w:val="010202"/>
        </w:rPr>
        <w:t>be</w:t>
      </w:r>
      <w:r>
        <w:rPr>
          <w:rFonts w:ascii="Times New Roman" w:hAnsi="Times New Roman"/>
          <w:color w:val="010202"/>
          <w:spacing w:val="-9"/>
        </w:rPr>
        <w:t> </w:t>
      </w:r>
      <w:r>
        <w:rPr>
          <w:rFonts w:ascii="Times New Roman" w:hAnsi="Times New Roman"/>
          <w:color w:val="010202"/>
        </w:rPr>
        <w:t>flexible</w:t>
      </w:r>
      <w:r>
        <w:rPr>
          <w:rFonts w:ascii="Times New Roman" w:hAnsi="Times New Roman"/>
          <w:color w:val="010202"/>
          <w:spacing w:val="-9"/>
        </w:rPr>
        <w:t> </w:t>
      </w:r>
      <w:r>
        <w:rPr>
          <w:rFonts w:ascii="Times New Roman" w:hAnsi="Times New Roman"/>
          <w:color w:val="010202"/>
        </w:rPr>
        <w:t>to</w:t>
      </w:r>
      <w:r>
        <w:rPr>
          <w:rFonts w:ascii="Times New Roman" w:hAnsi="Times New Roman"/>
          <w:color w:val="010202"/>
          <w:spacing w:val="-8"/>
        </w:rPr>
        <w:t> </w:t>
      </w:r>
      <w:r>
        <w:rPr>
          <w:rFonts w:ascii="Times New Roman" w:hAnsi="Times New Roman"/>
          <w:color w:val="010202"/>
        </w:rPr>
        <w:t>trying</w:t>
      </w:r>
      <w:r>
        <w:rPr>
          <w:rFonts w:ascii="Times New Roman" w:hAnsi="Times New Roman"/>
          <w:color w:val="010202"/>
          <w:spacing w:val="-9"/>
        </w:rPr>
        <w:t> </w:t>
      </w:r>
      <w:r>
        <w:rPr>
          <w:rFonts w:ascii="Times New Roman" w:hAnsi="Times New Roman"/>
          <w:color w:val="010202"/>
        </w:rPr>
        <w:t>different</w:t>
      </w:r>
      <w:r>
        <w:rPr>
          <w:rFonts w:ascii="Times New Roman" w:hAnsi="Times New Roman"/>
          <w:color w:val="010202"/>
          <w:spacing w:val="-8"/>
        </w:rPr>
        <w:t> </w:t>
      </w:r>
      <w:r>
        <w:rPr>
          <w:rFonts w:ascii="Times New Roman" w:hAnsi="Times New Roman"/>
          <w:color w:val="010202"/>
        </w:rPr>
        <w:t>approaches</w:t>
      </w:r>
      <w:r>
        <w:rPr>
          <w:rFonts w:ascii="Times New Roman" w:hAnsi="Times New Roman"/>
          <w:color w:val="010202"/>
          <w:spacing w:val="-8"/>
        </w:rPr>
        <w:t> </w:t>
      </w:r>
      <w:r>
        <w:rPr>
          <w:rFonts w:ascii="Times New Roman" w:hAnsi="Times New Roman"/>
          <w:color w:val="010202"/>
        </w:rPr>
        <w:t>and</w:t>
      </w:r>
      <w:r>
        <w:rPr>
          <w:rFonts w:ascii="Times New Roman" w:hAnsi="Times New Roman"/>
          <w:color w:val="010202"/>
          <w:spacing w:val="-52"/>
        </w:rPr>
        <w:t> </w:t>
      </w:r>
      <w:r>
        <w:rPr>
          <w:rFonts w:ascii="Times New Roman" w:hAnsi="Times New Roman"/>
          <w:color w:val="010202"/>
        </w:rPr>
        <w:t>look</w:t>
      </w:r>
      <w:r>
        <w:rPr>
          <w:rFonts w:ascii="Times New Roman" w:hAnsi="Times New Roman"/>
          <w:color w:val="010202"/>
          <w:spacing w:val="-2"/>
        </w:rPr>
        <w:t> </w:t>
      </w:r>
      <w:r>
        <w:rPr>
          <w:rFonts w:ascii="Times New Roman" w:hAnsi="Times New Roman"/>
          <w:color w:val="010202"/>
        </w:rPr>
        <w:t>for</w:t>
      </w:r>
      <w:r>
        <w:rPr>
          <w:rFonts w:ascii="Times New Roman" w:hAnsi="Times New Roman"/>
          <w:color w:val="010202"/>
          <w:spacing w:val="-5"/>
        </w:rPr>
        <w:t> </w:t>
      </w:r>
      <w:r>
        <w:rPr>
          <w:rFonts w:ascii="Times New Roman" w:hAnsi="Times New Roman"/>
          <w:color w:val="010202"/>
        </w:rPr>
        <w:t>creative</w:t>
      </w:r>
      <w:r>
        <w:rPr>
          <w:rFonts w:ascii="Times New Roman" w:hAnsi="Times New Roman"/>
          <w:color w:val="010202"/>
          <w:spacing w:val="-2"/>
        </w:rPr>
        <w:t> </w:t>
      </w:r>
      <w:r>
        <w:rPr>
          <w:rFonts w:ascii="Times New Roman" w:hAnsi="Times New Roman"/>
          <w:color w:val="010202"/>
        </w:rPr>
        <w:t>solutions.</w:t>
      </w:r>
      <w:r>
        <w:rPr>
          <w:rFonts w:ascii="Times New Roman" w:hAnsi="Times New Roman"/>
          <w:color w:val="010202"/>
          <w:spacing w:val="-2"/>
        </w:rPr>
        <w:t> </w:t>
      </w:r>
      <w:r>
        <w:rPr>
          <w:rFonts w:ascii="Times New Roman" w:hAnsi="Times New Roman"/>
          <w:b w:val="0"/>
          <w:color w:val="010202"/>
        </w:rPr>
        <w:t>For</w:t>
      </w:r>
      <w:r>
        <w:rPr>
          <w:rFonts w:ascii="Times New Roman" w:hAnsi="Times New Roman"/>
          <w:b w:val="0"/>
          <w:color w:val="010202"/>
          <w:spacing w:val="-2"/>
        </w:rPr>
        <w:t> </w:t>
      </w:r>
      <w:r>
        <w:rPr>
          <w:rFonts w:ascii="Times New Roman" w:hAnsi="Times New Roman"/>
          <w:b w:val="0"/>
          <w:color w:val="010202"/>
        </w:rPr>
        <w:t>example,</w:t>
      </w:r>
      <w:r>
        <w:rPr>
          <w:rFonts w:ascii="Times New Roman" w:hAnsi="Times New Roman"/>
          <w:b w:val="0"/>
          <w:color w:val="010202"/>
          <w:spacing w:val="-1"/>
        </w:rPr>
        <w:t> </w:t>
      </w:r>
      <w:r>
        <w:rPr>
          <w:rFonts w:ascii="Times New Roman" w:hAnsi="Times New Roman"/>
          <w:b w:val="0"/>
          <w:color w:val="010202"/>
        </w:rPr>
        <w:t>the</w:t>
      </w:r>
    </w:p>
    <w:p>
      <w:pPr>
        <w:spacing w:after="0" w:line="264" w:lineRule="auto"/>
        <w:jc w:val="both"/>
        <w:rPr>
          <w:rFonts w:ascii="Symbol" w:hAnsi="Symbol"/>
        </w:rPr>
        <w:sectPr>
          <w:type w:val="continuous"/>
          <w:pgSz w:w="12240" w:h="15840"/>
          <w:pgMar w:header="0" w:footer="666" w:top="1500" w:bottom="0" w:left="600" w:right="0"/>
          <w:cols w:num="2" w:equalWidth="0">
            <w:col w:w="5198" w:space="562"/>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1"/>
        <w:ind w:left="840" w:right="80"/>
      </w:pPr>
      <w:r>
        <w:rPr>
          <w:color w:val="010202"/>
        </w:rPr>
        <w:t>Unit had unreliable Internet connections in one</w:t>
      </w:r>
      <w:r>
        <w:rPr>
          <w:color w:val="010202"/>
          <w:spacing w:val="1"/>
        </w:rPr>
        <w:t> </w:t>
      </w:r>
      <w:r>
        <w:rPr>
          <w:color w:val="010202"/>
        </w:rPr>
        <w:t>township. The team found that certain wireless</w:t>
      </w:r>
      <w:r>
        <w:rPr>
          <w:color w:val="010202"/>
          <w:spacing w:val="1"/>
        </w:rPr>
        <w:t> </w:t>
      </w:r>
      <w:r>
        <w:rPr>
          <w:color w:val="010202"/>
        </w:rPr>
        <w:t>providers had better coverage in that area and</w:t>
      </w:r>
      <w:r>
        <w:rPr>
          <w:color w:val="010202"/>
          <w:spacing w:val="1"/>
        </w:rPr>
        <w:t> </w:t>
      </w:r>
      <w:r>
        <w:rPr>
          <w:color w:val="010202"/>
        </w:rPr>
        <w:t>changed carriers to secure consistent high-speed</w:t>
      </w:r>
      <w:r>
        <w:rPr>
          <w:color w:val="010202"/>
          <w:spacing w:val="-52"/>
        </w:rPr>
        <w:t> </w:t>
      </w:r>
      <w:r>
        <w:rPr>
          <w:color w:val="010202"/>
        </w:rPr>
        <w:t>wireless</w:t>
      </w:r>
      <w:r>
        <w:rPr>
          <w:color w:val="010202"/>
          <w:spacing w:val="-1"/>
        </w:rPr>
        <w:t> </w:t>
      </w:r>
      <w:r>
        <w:rPr>
          <w:color w:val="010202"/>
        </w:rPr>
        <w:t>Internet in the Unit.</w:t>
      </w:r>
    </w:p>
    <w:p>
      <w:pPr>
        <w:pStyle w:val="ListParagraph"/>
        <w:numPr>
          <w:ilvl w:val="1"/>
          <w:numId w:val="5"/>
        </w:numPr>
        <w:tabs>
          <w:tab w:pos="839" w:val="left" w:leader="none"/>
          <w:tab w:pos="840" w:val="left" w:leader="none"/>
        </w:tabs>
        <w:spacing w:line="266" w:lineRule="auto" w:before="27" w:after="0"/>
        <w:ind w:left="840" w:right="71" w:hanging="360"/>
        <w:jc w:val="left"/>
        <w:rPr>
          <w:rFonts w:ascii="Symbol" w:hAnsi="Symbol"/>
          <w:color w:val="010202"/>
          <w:sz w:val="22"/>
        </w:rPr>
      </w:pPr>
      <w:r>
        <w:rPr>
          <w:b/>
          <w:color w:val="010202"/>
          <w:sz w:val="22"/>
        </w:rPr>
        <w:t>IT staff are key for troubleshooting</w:t>
      </w:r>
      <w:r>
        <w:rPr>
          <w:color w:val="010202"/>
          <w:sz w:val="22"/>
        </w:rPr>
        <w:t>. The</w:t>
      </w:r>
      <w:r>
        <w:rPr>
          <w:color w:val="010202"/>
          <w:spacing w:val="1"/>
          <w:sz w:val="22"/>
        </w:rPr>
        <w:t> </w:t>
      </w:r>
      <w:r>
        <w:rPr>
          <w:color w:val="010202"/>
          <w:sz w:val="22"/>
        </w:rPr>
        <w:t>UMSOM team relied on the UMSOM IT</w:t>
      </w:r>
      <w:r>
        <w:rPr>
          <w:color w:val="010202"/>
          <w:spacing w:val="1"/>
          <w:sz w:val="22"/>
        </w:rPr>
        <w:t> </w:t>
      </w:r>
      <w:r>
        <w:rPr>
          <w:color w:val="010202"/>
          <w:sz w:val="22"/>
        </w:rPr>
        <w:t>department and resources to build the Unit,</w:t>
      </w:r>
      <w:r>
        <w:rPr>
          <w:color w:val="010202"/>
          <w:spacing w:val="1"/>
          <w:sz w:val="22"/>
        </w:rPr>
        <w:t> </w:t>
      </w:r>
      <w:r>
        <w:rPr>
          <w:color w:val="010202"/>
          <w:sz w:val="22"/>
        </w:rPr>
        <w:t>maintain and update the technology, and</w:t>
      </w:r>
      <w:r>
        <w:rPr>
          <w:color w:val="010202"/>
          <w:spacing w:val="1"/>
          <w:sz w:val="22"/>
        </w:rPr>
        <w:t> </w:t>
      </w:r>
      <w:r>
        <w:rPr>
          <w:color w:val="010202"/>
          <w:sz w:val="22"/>
        </w:rPr>
        <w:t>troubleshoot any technical challenges. UMSOM</w:t>
      </w:r>
      <w:r>
        <w:rPr>
          <w:color w:val="010202"/>
          <w:spacing w:val="-52"/>
          <w:sz w:val="22"/>
        </w:rPr>
        <w:t> </w:t>
      </w:r>
      <w:r>
        <w:rPr>
          <w:color w:val="010202"/>
          <w:sz w:val="22"/>
        </w:rPr>
        <w:t>IT has been able to quickly respond to IT needs</w:t>
      </w:r>
      <w:r>
        <w:rPr>
          <w:color w:val="010202"/>
          <w:spacing w:val="1"/>
          <w:sz w:val="22"/>
        </w:rPr>
        <w:t> </w:t>
      </w:r>
      <w:r>
        <w:rPr>
          <w:color w:val="010202"/>
          <w:sz w:val="22"/>
        </w:rPr>
        <w:t>while</w:t>
      </w:r>
      <w:r>
        <w:rPr>
          <w:color w:val="010202"/>
          <w:spacing w:val="-4"/>
          <w:sz w:val="22"/>
        </w:rPr>
        <w:t> </w:t>
      </w:r>
      <w:r>
        <w:rPr>
          <w:color w:val="010202"/>
          <w:sz w:val="22"/>
        </w:rPr>
        <w:t>the</w:t>
      </w:r>
      <w:r>
        <w:rPr>
          <w:color w:val="010202"/>
          <w:spacing w:val="-3"/>
          <w:sz w:val="22"/>
        </w:rPr>
        <w:t> </w:t>
      </w:r>
      <w:r>
        <w:rPr>
          <w:color w:val="010202"/>
          <w:sz w:val="22"/>
        </w:rPr>
        <w:t>Unit</w:t>
      </w:r>
      <w:r>
        <w:rPr>
          <w:color w:val="010202"/>
          <w:spacing w:val="-4"/>
          <w:sz w:val="22"/>
        </w:rPr>
        <w:t> </w:t>
      </w:r>
      <w:r>
        <w:rPr>
          <w:color w:val="010202"/>
          <w:sz w:val="22"/>
        </w:rPr>
        <w:t>is</w:t>
      </w:r>
      <w:r>
        <w:rPr>
          <w:color w:val="010202"/>
          <w:spacing w:val="-3"/>
          <w:sz w:val="22"/>
        </w:rPr>
        <w:t> </w:t>
      </w:r>
      <w:r>
        <w:rPr>
          <w:color w:val="010202"/>
          <w:sz w:val="22"/>
        </w:rPr>
        <w:t>in</w:t>
      </w:r>
      <w:r>
        <w:rPr>
          <w:color w:val="010202"/>
          <w:spacing w:val="-3"/>
          <w:sz w:val="22"/>
        </w:rPr>
        <w:t> </w:t>
      </w:r>
      <w:r>
        <w:rPr>
          <w:color w:val="010202"/>
          <w:sz w:val="22"/>
        </w:rPr>
        <w:t>the</w:t>
      </w:r>
      <w:r>
        <w:rPr>
          <w:color w:val="010202"/>
          <w:spacing w:val="-3"/>
          <w:sz w:val="22"/>
        </w:rPr>
        <w:t> </w:t>
      </w:r>
      <w:r>
        <w:rPr>
          <w:color w:val="010202"/>
          <w:sz w:val="22"/>
        </w:rPr>
        <w:t>field,</w:t>
      </w:r>
      <w:r>
        <w:rPr>
          <w:color w:val="010202"/>
          <w:spacing w:val="-4"/>
          <w:sz w:val="22"/>
        </w:rPr>
        <w:t> </w:t>
      </w:r>
      <w:r>
        <w:rPr>
          <w:color w:val="010202"/>
          <w:sz w:val="22"/>
        </w:rPr>
        <w:t>ensuring</w:t>
      </w:r>
      <w:r>
        <w:rPr>
          <w:color w:val="010202"/>
          <w:spacing w:val="-3"/>
          <w:sz w:val="22"/>
        </w:rPr>
        <w:t> </w:t>
      </w:r>
      <w:r>
        <w:rPr>
          <w:color w:val="010202"/>
          <w:sz w:val="22"/>
        </w:rPr>
        <w:t>continuity</w:t>
      </w:r>
      <w:r>
        <w:rPr>
          <w:color w:val="010202"/>
          <w:spacing w:val="-52"/>
          <w:sz w:val="22"/>
        </w:rPr>
        <w:t> </w:t>
      </w:r>
      <w:r>
        <w:rPr>
          <w:color w:val="010202"/>
          <w:sz w:val="22"/>
        </w:rPr>
        <w:t>of</w:t>
      </w:r>
      <w:r>
        <w:rPr>
          <w:color w:val="010202"/>
          <w:spacing w:val="-1"/>
          <w:sz w:val="22"/>
        </w:rPr>
        <w:t> </w:t>
      </w:r>
      <w:r>
        <w:rPr>
          <w:color w:val="010202"/>
          <w:sz w:val="22"/>
        </w:rPr>
        <w:t>service delivery.</w:t>
      </w:r>
    </w:p>
    <w:p>
      <w:pPr>
        <w:pStyle w:val="ListParagraph"/>
        <w:numPr>
          <w:ilvl w:val="1"/>
          <w:numId w:val="5"/>
        </w:numPr>
        <w:tabs>
          <w:tab w:pos="839" w:val="left" w:leader="none"/>
          <w:tab w:pos="840" w:val="left" w:leader="none"/>
        </w:tabs>
        <w:spacing w:line="264" w:lineRule="auto" w:before="22" w:after="0"/>
        <w:ind w:left="840" w:right="38" w:hanging="360"/>
        <w:jc w:val="left"/>
        <w:rPr>
          <w:rFonts w:ascii="Symbol" w:hAnsi="Symbol"/>
          <w:color w:val="010202"/>
          <w:sz w:val="22"/>
        </w:rPr>
      </w:pPr>
      <w:r>
        <w:rPr>
          <w:b/>
          <w:color w:val="010202"/>
          <w:sz w:val="22"/>
        </w:rPr>
        <w:t>Listen to on-the-ground partners. </w:t>
      </w:r>
      <w:r>
        <w:rPr>
          <w:color w:val="010202"/>
          <w:sz w:val="22"/>
        </w:rPr>
        <w:t>The</w:t>
      </w:r>
      <w:r>
        <w:rPr>
          <w:color w:val="010202"/>
          <w:spacing w:val="1"/>
          <w:sz w:val="22"/>
        </w:rPr>
        <w:t> </w:t>
      </w:r>
      <w:r>
        <w:rPr>
          <w:color w:val="010202"/>
          <w:spacing w:val="-2"/>
          <w:sz w:val="22"/>
        </w:rPr>
        <w:t>UMSOM</w:t>
      </w:r>
      <w:r>
        <w:rPr>
          <w:color w:val="010202"/>
          <w:spacing w:val="-12"/>
          <w:sz w:val="22"/>
        </w:rPr>
        <w:t> </w:t>
      </w:r>
      <w:r>
        <w:rPr>
          <w:color w:val="010202"/>
          <w:spacing w:val="-2"/>
          <w:sz w:val="22"/>
        </w:rPr>
        <w:t>team</w:t>
      </w:r>
      <w:r>
        <w:rPr>
          <w:color w:val="010202"/>
          <w:spacing w:val="-12"/>
          <w:sz w:val="22"/>
        </w:rPr>
        <w:t> </w:t>
      </w:r>
      <w:r>
        <w:rPr>
          <w:color w:val="010202"/>
          <w:spacing w:val="-2"/>
          <w:sz w:val="22"/>
        </w:rPr>
        <w:t>has</w:t>
      </w:r>
      <w:r>
        <w:rPr>
          <w:color w:val="010202"/>
          <w:spacing w:val="-12"/>
          <w:sz w:val="22"/>
        </w:rPr>
        <w:t> </w:t>
      </w:r>
      <w:r>
        <w:rPr>
          <w:color w:val="010202"/>
          <w:spacing w:val="-2"/>
          <w:sz w:val="22"/>
        </w:rPr>
        <w:t>developed</w:t>
      </w:r>
      <w:r>
        <w:rPr>
          <w:color w:val="010202"/>
          <w:spacing w:val="-11"/>
          <w:sz w:val="22"/>
        </w:rPr>
        <w:t> </w:t>
      </w:r>
      <w:r>
        <w:rPr>
          <w:color w:val="010202"/>
          <w:spacing w:val="-2"/>
          <w:sz w:val="22"/>
        </w:rPr>
        <w:t>strong</w:t>
      </w:r>
      <w:r>
        <w:rPr>
          <w:color w:val="010202"/>
          <w:spacing w:val="-12"/>
          <w:sz w:val="22"/>
        </w:rPr>
        <w:t> </w:t>
      </w:r>
      <w:r>
        <w:rPr>
          <w:color w:val="010202"/>
          <w:spacing w:val="-1"/>
          <w:sz w:val="22"/>
        </w:rPr>
        <w:t>relationships</w:t>
      </w:r>
      <w:r>
        <w:rPr>
          <w:color w:val="010202"/>
          <w:spacing w:val="-52"/>
          <w:sz w:val="22"/>
        </w:rPr>
        <w:t> </w:t>
      </w:r>
      <w:r>
        <w:rPr>
          <w:color w:val="010202"/>
          <w:sz w:val="22"/>
        </w:rPr>
        <w:t>with</w:t>
      </w:r>
      <w:r>
        <w:rPr>
          <w:color w:val="010202"/>
          <w:spacing w:val="-12"/>
          <w:sz w:val="22"/>
        </w:rPr>
        <w:t> </w:t>
      </w:r>
      <w:r>
        <w:rPr>
          <w:color w:val="010202"/>
          <w:sz w:val="22"/>
        </w:rPr>
        <w:t>local</w:t>
      </w:r>
      <w:r>
        <w:rPr>
          <w:color w:val="010202"/>
          <w:spacing w:val="-11"/>
          <w:sz w:val="22"/>
        </w:rPr>
        <w:t> </w:t>
      </w:r>
      <w:r>
        <w:rPr>
          <w:color w:val="010202"/>
          <w:sz w:val="22"/>
        </w:rPr>
        <w:t>community</w:t>
      </w:r>
      <w:r>
        <w:rPr>
          <w:color w:val="010202"/>
          <w:spacing w:val="-12"/>
          <w:sz w:val="22"/>
        </w:rPr>
        <w:t> </w:t>
      </w:r>
      <w:r>
        <w:rPr>
          <w:color w:val="010202"/>
          <w:sz w:val="22"/>
        </w:rPr>
        <w:t>organizations,</w:t>
      </w:r>
      <w:r>
        <w:rPr>
          <w:color w:val="010202"/>
          <w:spacing w:val="-11"/>
          <w:sz w:val="22"/>
        </w:rPr>
        <w:t> </w:t>
      </w:r>
      <w:r>
        <w:rPr>
          <w:color w:val="010202"/>
          <w:sz w:val="22"/>
        </w:rPr>
        <w:t>health</w:t>
      </w:r>
    </w:p>
    <w:p>
      <w:pPr>
        <w:pStyle w:val="BodyText"/>
        <w:spacing w:line="266" w:lineRule="auto" w:before="91"/>
        <w:ind w:left="840" w:right="805"/>
      </w:pPr>
      <w:r>
        <w:rPr/>
        <w:br w:type="column"/>
      </w:r>
      <w:r>
        <w:rPr>
          <w:color w:val="010202"/>
          <w:spacing w:val="-2"/>
        </w:rPr>
        <w:t>departments,</w:t>
      </w:r>
      <w:r>
        <w:rPr>
          <w:color w:val="010202"/>
          <w:spacing w:val="-11"/>
        </w:rPr>
        <w:t> </w:t>
      </w:r>
      <w:r>
        <w:rPr>
          <w:color w:val="010202"/>
          <w:spacing w:val="-2"/>
        </w:rPr>
        <w:t>and</w:t>
      </w:r>
      <w:r>
        <w:rPr>
          <w:color w:val="010202"/>
          <w:spacing w:val="-11"/>
        </w:rPr>
        <w:t> </w:t>
      </w:r>
      <w:r>
        <w:rPr>
          <w:color w:val="010202"/>
          <w:spacing w:val="-2"/>
        </w:rPr>
        <w:t>pharmacies</w:t>
      </w:r>
      <w:r>
        <w:rPr>
          <w:color w:val="010202"/>
          <w:spacing w:val="-10"/>
        </w:rPr>
        <w:t> </w:t>
      </w:r>
      <w:r>
        <w:rPr>
          <w:color w:val="010202"/>
          <w:spacing w:val="-2"/>
        </w:rPr>
        <w:t>to</w:t>
      </w:r>
      <w:r>
        <w:rPr>
          <w:color w:val="010202"/>
          <w:spacing w:val="-11"/>
        </w:rPr>
        <w:t> </w:t>
      </w:r>
      <w:r>
        <w:rPr>
          <w:color w:val="010202"/>
          <w:spacing w:val="-2"/>
        </w:rPr>
        <w:t>increase</w:t>
      </w:r>
      <w:r>
        <w:rPr>
          <w:color w:val="010202"/>
          <w:spacing w:val="-11"/>
        </w:rPr>
        <w:t> </w:t>
      </w:r>
      <w:r>
        <w:rPr>
          <w:color w:val="010202"/>
          <w:spacing w:val="-1"/>
        </w:rPr>
        <w:t>access</w:t>
      </w:r>
      <w:r>
        <w:rPr>
          <w:color w:val="010202"/>
          <w:spacing w:val="-52"/>
        </w:rPr>
        <w:t> </w:t>
      </w:r>
      <w:r>
        <w:rPr>
          <w:color w:val="010202"/>
        </w:rPr>
        <w:t>and break down stigma related to SUD and</w:t>
      </w:r>
      <w:r>
        <w:rPr>
          <w:color w:val="010202"/>
          <w:spacing w:val="1"/>
        </w:rPr>
        <w:t> </w:t>
      </w:r>
      <w:r>
        <w:rPr>
          <w:color w:val="010202"/>
        </w:rPr>
        <w:t>medications</w:t>
      </w:r>
      <w:r>
        <w:rPr>
          <w:color w:val="010202"/>
          <w:spacing w:val="-7"/>
        </w:rPr>
        <w:t> </w:t>
      </w:r>
      <w:r>
        <w:rPr>
          <w:color w:val="010202"/>
        </w:rPr>
        <w:t>to</w:t>
      </w:r>
      <w:r>
        <w:rPr>
          <w:color w:val="010202"/>
          <w:spacing w:val="-6"/>
        </w:rPr>
        <w:t> </w:t>
      </w:r>
      <w:r>
        <w:rPr>
          <w:color w:val="010202"/>
        </w:rPr>
        <w:t>treat</w:t>
      </w:r>
      <w:r>
        <w:rPr>
          <w:color w:val="010202"/>
          <w:spacing w:val="-7"/>
        </w:rPr>
        <w:t> </w:t>
      </w:r>
      <w:r>
        <w:rPr>
          <w:color w:val="010202"/>
        </w:rPr>
        <w:t>OUD.</w:t>
      </w:r>
    </w:p>
    <w:p>
      <w:pPr>
        <w:pStyle w:val="ListParagraph"/>
        <w:numPr>
          <w:ilvl w:val="1"/>
          <w:numId w:val="5"/>
        </w:numPr>
        <w:tabs>
          <w:tab w:pos="839" w:val="left" w:leader="none"/>
          <w:tab w:pos="840" w:val="left" w:leader="none"/>
        </w:tabs>
        <w:spacing w:line="264" w:lineRule="auto" w:before="29" w:after="0"/>
        <w:ind w:left="840" w:right="821" w:hanging="360"/>
        <w:jc w:val="left"/>
        <w:rPr>
          <w:rFonts w:ascii="Symbol" w:hAnsi="Symbol"/>
          <w:color w:val="010202"/>
          <w:sz w:val="22"/>
        </w:rPr>
      </w:pPr>
      <w:r>
        <w:rPr>
          <w:b/>
          <w:color w:val="010202"/>
          <w:sz w:val="22"/>
        </w:rPr>
        <w:t>Engage newer providers to create a unique</w:t>
      </w:r>
      <w:r>
        <w:rPr>
          <w:b/>
          <w:color w:val="010202"/>
          <w:spacing w:val="1"/>
          <w:sz w:val="22"/>
        </w:rPr>
        <w:t> </w:t>
      </w:r>
      <w:r>
        <w:rPr>
          <w:b/>
          <w:color w:val="010202"/>
          <w:sz w:val="22"/>
        </w:rPr>
        <w:t>training opportunity. </w:t>
      </w:r>
      <w:r>
        <w:rPr>
          <w:color w:val="010202"/>
          <w:sz w:val="22"/>
        </w:rPr>
        <w:t>Medical students,</w:t>
      </w:r>
      <w:r>
        <w:rPr>
          <w:color w:val="010202"/>
          <w:spacing w:val="1"/>
          <w:sz w:val="22"/>
        </w:rPr>
        <w:t> </w:t>
      </w:r>
      <w:r>
        <w:rPr>
          <w:color w:val="010202"/>
          <w:sz w:val="22"/>
        </w:rPr>
        <w:t>residents, and addiction medicine fellows are</w:t>
      </w:r>
      <w:r>
        <w:rPr>
          <w:color w:val="010202"/>
          <w:spacing w:val="1"/>
          <w:sz w:val="22"/>
        </w:rPr>
        <w:t> </w:t>
      </w:r>
      <w:r>
        <w:rPr>
          <w:color w:val="010202"/>
          <w:sz w:val="22"/>
        </w:rPr>
        <w:t>able to train in both addiction medicine and</w:t>
      </w:r>
      <w:r>
        <w:rPr>
          <w:color w:val="010202"/>
          <w:spacing w:val="1"/>
          <w:sz w:val="22"/>
        </w:rPr>
        <w:t> </w:t>
      </w:r>
      <w:r>
        <w:rPr>
          <w:color w:val="010202"/>
          <w:sz w:val="22"/>
        </w:rPr>
        <w:t>telehealth</w:t>
      </w:r>
      <w:r>
        <w:rPr>
          <w:color w:val="010202"/>
          <w:spacing w:val="-4"/>
          <w:sz w:val="22"/>
        </w:rPr>
        <w:t> </w:t>
      </w:r>
      <w:r>
        <w:rPr>
          <w:color w:val="010202"/>
          <w:sz w:val="22"/>
        </w:rPr>
        <w:t>through</w:t>
      </w:r>
      <w:r>
        <w:rPr>
          <w:color w:val="010202"/>
          <w:spacing w:val="-3"/>
          <w:sz w:val="22"/>
        </w:rPr>
        <w:t> </w:t>
      </w:r>
      <w:r>
        <w:rPr>
          <w:color w:val="010202"/>
          <w:sz w:val="22"/>
        </w:rPr>
        <w:t>participation</w:t>
      </w:r>
      <w:r>
        <w:rPr>
          <w:color w:val="010202"/>
          <w:spacing w:val="-3"/>
          <w:sz w:val="22"/>
        </w:rPr>
        <w:t> </w:t>
      </w:r>
      <w:r>
        <w:rPr>
          <w:color w:val="010202"/>
          <w:sz w:val="22"/>
        </w:rPr>
        <w:t>in</w:t>
      </w:r>
      <w:r>
        <w:rPr>
          <w:color w:val="010202"/>
          <w:spacing w:val="-3"/>
          <w:sz w:val="22"/>
        </w:rPr>
        <w:t> </w:t>
      </w:r>
      <w:r>
        <w:rPr>
          <w:color w:val="010202"/>
          <w:sz w:val="22"/>
        </w:rPr>
        <w:t>this</w:t>
      </w:r>
      <w:r>
        <w:rPr>
          <w:color w:val="010202"/>
          <w:spacing w:val="-3"/>
          <w:sz w:val="22"/>
        </w:rPr>
        <w:t> </w:t>
      </w:r>
      <w:r>
        <w:rPr>
          <w:color w:val="010202"/>
          <w:sz w:val="22"/>
        </w:rPr>
        <w:t>program.</w:t>
      </w:r>
    </w:p>
    <w:p>
      <w:pPr>
        <w:pStyle w:val="ListParagraph"/>
        <w:numPr>
          <w:ilvl w:val="1"/>
          <w:numId w:val="5"/>
        </w:numPr>
        <w:tabs>
          <w:tab w:pos="839" w:val="left" w:leader="none"/>
          <w:tab w:pos="840" w:val="left" w:leader="none"/>
        </w:tabs>
        <w:spacing w:line="266" w:lineRule="auto" w:before="37" w:after="0"/>
        <w:ind w:left="840" w:right="735" w:hanging="360"/>
        <w:jc w:val="left"/>
        <w:rPr>
          <w:rFonts w:ascii="Symbol" w:hAnsi="Symbol"/>
          <w:color w:val="010202"/>
          <w:sz w:val="22"/>
        </w:rPr>
      </w:pPr>
      <w:r>
        <w:rPr>
          <w:b/>
          <w:color w:val="010202"/>
          <w:sz w:val="22"/>
        </w:rPr>
        <w:t>Telehealth may not be appropriate for all</w:t>
      </w:r>
      <w:r>
        <w:rPr>
          <w:b/>
          <w:color w:val="010202"/>
          <w:spacing w:val="1"/>
          <w:sz w:val="22"/>
        </w:rPr>
        <w:t> </w:t>
      </w:r>
      <w:r>
        <w:rPr>
          <w:b/>
          <w:color w:val="010202"/>
          <w:sz w:val="22"/>
        </w:rPr>
        <w:t>clients all the time. </w:t>
      </w:r>
      <w:r>
        <w:rPr>
          <w:color w:val="010202"/>
          <w:sz w:val="22"/>
        </w:rPr>
        <w:t>Providers have found that</w:t>
      </w:r>
      <w:r>
        <w:rPr>
          <w:color w:val="010202"/>
          <w:spacing w:val="1"/>
          <w:sz w:val="22"/>
        </w:rPr>
        <w:t> </w:t>
      </w:r>
      <w:r>
        <w:rPr>
          <w:color w:val="010202"/>
          <w:sz w:val="22"/>
        </w:rPr>
        <w:t>some individuals with SUD or SMI may need</w:t>
      </w:r>
      <w:r>
        <w:rPr>
          <w:color w:val="010202"/>
          <w:spacing w:val="1"/>
          <w:sz w:val="22"/>
        </w:rPr>
        <w:t> </w:t>
      </w:r>
      <w:r>
        <w:rPr>
          <w:color w:val="010202"/>
          <w:sz w:val="22"/>
        </w:rPr>
        <w:t>more intensive mental health treatment than the</w:t>
      </w:r>
      <w:r>
        <w:rPr>
          <w:color w:val="010202"/>
          <w:spacing w:val="1"/>
          <w:sz w:val="22"/>
        </w:rPr>
        <w:t> </w:t>
      </w:r>
      <w:r>
        <w:rPr>
          <w:color w:val="010202"/>
          <w:sz w:val="22"/>
        </w:rPr>
        <w:t>Unit</w:t>
      </w:r>
      <w:r>
        <w:rPr>
          <w:color w:val="010202"/>
          <w:spacing w:val="-2"/>
          <w:sz w:val="22"/>
        </w:rPr>
        <w:t> </w:t>
      </w:r>
      <w:r>
        <w:rPr>
          <w:color w:val="010202"/>
          <w:sz w:val="22"/>
        </w:rPr>
        <w:t>is</w:t>
      </w:r>
      <w:r>
        <w:rPr>
          <w:color w:val="010202"/>
          <w:spacing w:val="-2"/>
          <w:sz w:val="22"/>
        </w:rPr>
        <w:t> </w:t>
      </w:r>
      <w:r>
        <w:rPr>
          <w:color w:val="010202"/>
          <w:sz w:val="22"/>
        </w:rPr>
        <w:t>able</w:t>
      </w:r>
      <w:r>
        <w:rPr>
          <w:color w:val="010202"/>
          <w:spacing w:val="-2"/>
          <w:sz w:val="22"/>
        </w:rPr>
        <w:t> </w:t>
      </w:r>
      <w:r>
        <w:rPr>
          <w:color w:val="010202"/>
          <w:sz w:val="22"/>
        </w:rPr>
        <w:t>to</w:t>
      </w:r>
      <w:r>
        <w:rPr>
          <w:color w:val="010202"/>
          <w:spacing w:val="-2"/>
          <w:sz w:val="22"/>
        </w:rPr>
        <w:t> </w:t>
      </w:r>
      <w:r>
        <w:rPr>
          <w:color w:val="010202"/>
          <w:sz w:val="22"/>
        </w:rPr>
        <w:t>provide.</w:t>
      </w:r>
      <w:r>
        <w:rPr>
          <w:color w:val="010202"/>
          <w:spacing w:val="-7"/>
          <w:sz w:val="22"/>
        </w:rPr>
        <w:t> </w:t>
      </w:r>
      <w:r>
        <w:rPr>
          <w:color w:val="010202"/>
          <w:sz w:val="22"/>
        </w:rPr>
        <w:t>These</w:t>
      </w:r>
      <w:r>
        <w:rPr>
          <w:color w:val="010202"/>
          <w:spacing w:val="-2"/>
          <w:sz w:val="22"/>
        </w:rPr>
        <w:t> </w:t>
      </w:r>
      <w:r>
        <w:rPr>
          <w:color w:val="010202"/>
          <w:sz w:val="22"/>
        </w:rPr>
        <w:t>clients</w:t>
      </w:r>
      <w:r>
        <w:rPr>
          <w:color w:val="010202"/>
          <w:spacing w:val="-2"/>
          <w:sz w:val="22"/>
        </w:rPr>
        <w:t> </w:t>
      </w:r>
      <w:r>
        <w:rPr>
          <w:color w:val="010202"/>
          <w:sz w:val="22"/>
        </w:rPr>
        <w:t>are</w:t>
      </w:r>
      <w:r>
        <w:rPr>
          <w:color w:val="010202"/>
          <w:spacing w:val="-2"/>
          <w:sz w:val="22"/>
        </w:rPr>
        <w:t> </w:t>
      </w:r>
      <w:r>
        <w:rPr>
          <w:color w:val="010202"/>
          <w:sz w:val="22"/>
        </w:rPr>
        <w:t>referred</w:t>
      </w:r>
      <w:r>
        <w:rPr>
          <w:color w:val="010202"/>
          <w:spacing w:val="-52"/>
          <w:sz w:val="22"/>
        </w:rPr>
        <w:t> </w:t>
      </w:r>
      <w:r>
        <w:rPr>
          <w:color w:val="010202"/>
          <w:sz w:val="22"/>
        </w:rPr>
        <w:t>to more</w:t>
      </w:r>
      <w:r>
        <w:rPr>
          <w:color w:val="010202"/>
          <w:spacing w:val="-1"/>
          <w:sz w:val="22"/>
        </w:rPr>
        <w:t> </w:t>
      </w:r>
      <w:r>
        <w:rPr>
          <w:color w:val="010202"/>
          <w:sz w:val="22"/>
        </w:rPr>
        <w:t>intensive services to meet their needs.</w:t>
      </w:r>
    </w:p>
    <w:p>
      <w:pPr>
        <w:spacing w:after="0" w:line="266" w:lineRule="auto"/>
        <w:jc w:val="left"/>
        <w:rPr>
          <w:rFonts w:ascii="Symbol" w:hAnsi="Symbol"/>
          <w:sz w:val="22"/>
        </w:rPr>
        <w:sectPr>
          <w:type w:val="continuous"/>
          <w:pgSz w:w="12240" w:h="15840"/>
          <w:pgMar w:header="0" w:footer="666" w:top="1500" w:bottom="0" w:left="600" w:right="0"/>
          <w:cols w:num="2" w:equalWidth="0">
            <w:col w:w="5186" w:space="574"/>
            <w:col w:w="5880"/>
          </w:cols>
        </w:sectPr>
      </w:pPr>
    </w:p>
    <w:p>
      <w:pPr>
        <w:pStyle w:val="BodyText"/>
        <w:spacing w:before="8"/>
        <w:rPr>
          <w:sz w:val="28"/>
        </w:rPr>
      </w:pPr>
    </w:p>
    <w:p>
      <w:pPr>
        <w:pStyle w:val="BodyText"/>
        <w:ind w:left="120"/>
        <w:rPr>
          <w:sz w:val="20"/>
        </w:rPr>
      </w:pPr>
      <w:r>
        <w:rPr>
          <w:sz w:val="20"/>
        </w:rPr>
        <w:drawing>
          <wp:inline distT="0" distB="0" distL="0" distR="0">
            <wp:extent cx="6804906" cy="4299680"/>
            <wp:effectExtent l="0" t="0" r="0" b="0"/>
            <wp:docPr id="43" name="image23.png" descr="Picture of a van used by the Eastern Shore Mobile Care Collaborative as a mobile treatment unit.  "/>
            <wp:cNvGraphicFramePr>
              <a:graphicFrameLocks noChangeAspect="1"/>
            </wp:cNvGraphicFramePr>
            <a:graphic>
              <a:graphicData uri="http://schemas.openxmlformats.org/drawingml/2006/picture">
                <pic:pic>
                  <pic:nvPicPr>
                    <pic:cNvPr id="44" name="image23.png"/>
                    <pic:cNvPicPr/>
                  </pic:nvPicPr>
                  <pic:blipFill>
                    <a:blip r:embed="rId318" cstate="print"/>
                    <a:stretch>
                      <a:fillRect/>
                    </a:stretch>
                  </pic:blipFill>
                  <pic:spPr>
                    <a:xfrm>
                      <a:off x="0" y="0"/>
                      <a:ext cx="6804906" cy="4299680"/>
                    </a:xfrm>
                    <a:prstGeom prst="rect">
                      <a:avLst/>
                    </a:prstGeom>
                  </pic:spPr>
                </pic:pic>
              </a:graphicData>
            </a:graphic>
          </wp:inline>
        </w:drawing>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spacing w:before="3"/>
        <w:rPr>
          <w:sz w:val="19"/>
        </w:rPr>
      </w:pPr>
    </w:p>
    <w:p>
      <w:pPr>
        <w:pStyle w:val="Heading2"/>
        <w:spacing w:before="100"/>
      </w:pPr>
      <w:bookmarkStart w:name="Citywide Case Management ProgramSan Fran" w:id="33"/>
      <w:bookmarkEnd w:id="33"/>
      <w:r>
        <w:rPr/>
      </w:r>
      <w:r>
        <w:rPr>
          <w:color w:val="1C384B"/>
        </w:rPr>
        <w:t>Citywide</w:t>
      </w:r>
      <w:r>
        <w:rPr>
          <w:color w:val="1C384B"/>
          <w:spacing w:val="5"/>
        </w:rPr>
        <w:t> </w:t>
      </w:r>
      <w:r>
        <w:rPr>
          <w:color w:val="1C384B"/>
        </w:rPr>
        <w:t>Case</w:t>
      </w:r>
      <w:r>
        <w:rPr>
          <w:color w:val="1C384B"/>
          <w:spacing w:val="6"/>
        </w:rPr>
        <w:t> </w:t>
      </w:r>
      <w:r>
        <w:rPr>
          <w:color w:val="1C384B"/>
        </w:rPr>
        <w:t>Management</w:t>
      </w:r>
      <w:r>
        <w:rPr>
          <w:color w:val="1C384B"/>
          <w:spacing w:val="6"/>
        </w:rPr>
        <w:t> </w:t>
      </w:r>
      <w:r>
        <w:rPr>
          <w:color w:val="1C384B"/>
        </w:rPr>
        <w:t>Program</w:t>
      </w:r>
    </w:p>
    <w:p>
      <w:pPr>
        <w:pStyle w:val="BodyText"/>
        <w:spacing w:before="39"/>
        <w:ind w:left="120"/>
        <w:rPr>
          <w:rFonts w:ascii="Arial"/>
        </w:rPr>
      </w:pPr>
      <w:r>
        <w:rPr>
          <w:rFonts w:ascii="Arial"/>
          <w:color w:val="BF2026"/>
        </w:rPr>
        <w:t>San</w:t>
      </w:r>
      <w:r>
        <w:rPr>
          <w:rFonts w:ascii="Arial"/>
          <w:color w:val="BF2026"/>
          <w:spacing w:val="-1"/>
        </w:rPr>
        <w:t> </w:t>
      </w:r>
      <w:r>
        <w:rPr>
          <w:rFonts w:ascii="Arial"/>
          <w:color w:val="BF2026"/>
        </w:rPr>
        <w:t>Francisco, CA</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19"/>
        </w:rPr>
      </w:pPr>
    </w:p>
    <w:p>
      <w:pPr>
        <w:spacing w:after="0"/>
        <w:rPr>
          <w:rFonts w:ascii="Arial"/>
          <w:sz w:val="19"/>
        </w:rPr>
        <w:sectPr>
          <w:pgSz w:w="12240" w:h="15840"/>
          <w:pgMar w:header="0" w:footer="666" w:top="380" w:bottom="860" w:left="600" w:right="0"/>
        </w:sectPr>
      </w:pPr>
    </w:p>
    <w:p>
      <w:pPr>
        <w:pStyle w:val="BodyText"/>
        <w:spacing w:line="266" w:lineRule="auto" w:before="91"/>
        <w:ind w:left="120" w:right="44"/>
      </w:pPr>
      <w:r>
        <w:rPr/>
        <w:pict>
          <v:rect style="position:absolute;margin-left:0pt;margin-top:116.330101pt;width:612pt;height:1pt;mso-position-horizontal-relative:page;mso-position-vertical-relative:page;z-index:-17865728" id="docshape162" filled="true" fillcolor="#1c384b" stroked="false">
            <v:fill type="solid"/>
            <w10:wrap type="none"/>
          </v:rect>
        </w:pict>
      </w:r>
      <w:r>
        <w:rPr>
          <w:color w:val="231F20"/>
        </w:rPr>
        <w:t>The</w:t>
      </w:r>
      <w:r>
        <w:rPr>
          <w:color w:val="231F20"/>
          <w:spacing w:val="4"/>
        </w:rPr>
        <w:t> </w:t>
      </w:r>
      <w:r>
        <w:rPr>
          <w:color w:val="231F20"/>
        </w:rPr>
        <w:t>Citywide</w:t>
      </w:r>
      <w:r>
        <w:rPr>
          <w:color w:val="231F20"/>
          <w:spacing w:val="5"/>
        </w:rPr>
        <w:t> </w:t>
      </w:r>
      <w:r>
        <w:rPr>
          <w:color w:val="231F20"/>
        </w:rPr>
        <w:t>Case</w:t>
      </w:r>
      <w:r>
        <w:rPr>
          <w:color w:val="231F20"/>
          <w:spacing w:val="4"/>
        </w:rPr>
        <w:t> </w:t>
      </w:r>
      <w:r>
        <w:rPr>
          <w:color w:val="231F20"/>
        </w:rPr>
        <w:t>Management</w:t>
      </w:r>
      <w:r>
        <w:rPr>
          <w:color w:val="231F20"/>
          <w:spacing w:val="5"/>
        </w:rPr>
        <w:t> </w:t>
      </w:r>
      <w:r>
        <w:rPr>
          <w:color w:val="231F20"/>
        </w:rPr>
        <w:t>Program</w:t>
      </w:r>
      <w:r>
        <w:rPr>
          <w:color w:val="231F20"/>
          <w:spacing w:val="4"/>
        </w:rPr>
        <w:t> </w:t>
      </w:r>
      <w:r>
        <w:rPr>
          <w:color w:val="231F20"/>
        </w:rPr>
        <w:t>(Citywide)</w:t>
      </w:r>
      <w:r>
        <w:rPr>
          <w:color w:val="231F20"/>
          <w:spacing w:val="5"/>
        </w:rPr>
        <w:t> </w:t>
      </w:r>
      <w:r>
        <w:rPr>
          <w:color w:val="231F20"/>
        </w:rPr>
        <w:t>is</w:t>
      </w:r>
      <w:r>
        <w:rPr>
          <w:color w:val="231F20"/>
          <w:spacing w:val="1"/>
        </w:rPr>
        <w:t> </w:t>
      </w:r>
      <w:r>
        <w:rPr>
          <w:color w:val="231F20"/>
        </w:rPr>
        <w:t>a</w:t>
      </w:r>
      <w:r>
        <w:rPr>
          <w:color w:val="231F20"/>
          <w:spacing w:val="-4"/>
        </w:rPr>
        <w:t> </w:t>
      </w:r>
      <w:r>
        <w:rPr>
          <w:color w:val="231F20"/>
        </w:rPr>
        <w:t>division</w:t>
      </w:r>
      <w:r>
        <w:rPr>
          <w:color w:val="231F20"/>
          <w:spacing w:val="-4"/>
        </w:rPr>
        <w:t> </w:t>
      </w:r>
      <w:r>
        <w:rPr>
          <w:color w:val="231F20"/>
        </w:rPr>
        <w:t>of</w:t>
      </w:r>
      <w:r>
        <w:rPr>
          <w:color w:val="231F20"/>
          <w:spacing w:val="-3"/>
        </w:rPr>
        <w:t> </w:t>
      </w:r>
      <w:r>
        <w:rPr>
          <w:color w:val="231F20"/>
        </w:rPr>
        <w:t>the</w:t>
      </w:r>
      <w:r>
        <w:rPr>
          <w:color w:val="231F20"/>
          <w:spacing w:val="-4"/>
        </w:rPr>
        <w:t> </w:t>
      </w:r>
      <w:r>
        <w:rPr>
          <w:color w:val="231F20"/>
        </w:rPr>
        <w:t>University</w:t>
      </w:r>
      <w:r>
        <w:rPr>
          <w:color w:val="231F20"/>
          <w:spacing w:val="-4"/>
        </w:rPr>
        <w:t> </w:t>
      </w:r>
      <w:r>
        <w:rPr>
          <w:color w:val="231F20"/>
        </w:rPr>
        <w:t>of</w:t>
      </w:r>
      <w:r>
        <w:rPr>
          <w:color w:val="231F20"/>
          <w:spacing w:val="-3"/>
        </w:rPr>
        <w:t> </w:t>
      </w:r>
      <w:r>
        <w:rPr>
          <w:color w:val="231F20"/>
        </w:rPr>
        <w:t>California</w:t>
      </w:r>
      <w:r>
        <w:rPr>
          <w:color w:val="231F20"/>
          <w:spacing w:val="-4"/>
        </w:rPr>
        <w:t> </w:t>
      </w:r>
      <w:r>
        <w:rPr>
          <w:color w:val="231F20"/>
        </w:rPr>
        <w:t>San</w:t>
      </w:r>
      <w:r>
        <w:rPr>
          <w:color w:val="231F20"/>
          <w:spacing w:val="-4"/>
        </w:rPr>
        <w:t> </w:t>
      </w:r>
      <w:r>
        <w:rPr>
          <w:color w:val="231F20"/>
        </w:rPr>
        <w:t>Francisco’s</w:t>
      </w:r>
      <w:r>
        <w:rPr>
          <w:color w:val="231F20"/>
          <w:spacing w:val="-52"/>
        </w:rPr>
        <w:t> </w:t>
      </w:r>
      <w:r>
        <w:rPr>
          <w:color w:val="231F20"/>
        </w:rPr>
        <w:t>(UCSF) Department of Psychiatry and operates under</w:t>
      </w:r>
      <w:r>
        <w:rPr>
          <w:color w:val="231F20"/>
          <w:spacing w:val="1"/>
        </w:rPr>
        <w:t> </w:t>
      </w:r>
      <w:r>
        <w:rPr>
          <w:color w:val="231F20"/>
        </w:rPr>
        <w:t>direction of Zuckerberg San Francisco General Hospital</w:t>
      </w:r>
      <w:r>
        <w:rPr>
          <w:color w:val="231F20"/>
          <w:spacing w:val="1"/>
        </w:rPr>
        <w:t> </w:t>
      </w:r>
      <w:r>
        <w:rPr>
          <w:color w:val="231F20"/>
        </w:rPr>
        <w:t>(ZSFG). Citywide has been in operation since 1981 and</w:t>
      </w:r>
      <w:r>
        <w:rPr>
          <w:color w:val="231F20"/>
          <w:spacing w:val="1"/>
        </w:rPr>
        <w:t> </w:t>
      </w:r>
      <w:r>
        <w:rPr>
          <w:color w:val="231F20"/>
        </w:rPr>
        <w:t>became part of ZSFG in</w:t>
      </w:r>
      <w:r>
        <w:rPr>
          <w:color w:val="231F20"/>
          <w:spacing w:val="-1"/>
        </w:rPr>
        <w:t> </w:t>
      </w:r>
      <w:r>
        <w:rPr>
          <w:color w:val="231F20"/>
        </w:rPr>
        <w:t>1983.</w:t>
      </w:r>
    </w:p>
    <w:p>
      <w:pPr>
        <w:pStyle w:val="BodyText"/>
        <w:spacing w:line="266" w:lineRule="auto" w:before="175"/>
        <w:ind w:left="119" w:right="113"/>
      </w:pPr>
      <w:r>
        <w:rPr>
          <w:color w:val="231F20"/>
        </w:rPr>
        <w:t>Citywide has 170 staff and is the largest provider of</w:t>
      </w:r>
      <w:r>
        <w:rPr>
          <w:color w:val="231F20"/>
          <w:spacing w:val="1"/>
        </w:rPr>
        <w:t> </w:t>
      </w:r>
      <w:r>
        <w:rPr>
          <w:color w:val="231F20"/>
        </w:rPr>
        <w:t>intensive case management (ICM) services in San</w:t>
      </w:r>
      <w:r>
        <w:rPr>
          <w:color w:val="231F20"/>
          <w:spacing w:val="1"/>
        </w:rPr>
        <w:t> </w:t>
      </w:r>
      <w:r>
        <w:rPr>
          <w:color w:val="231F20"/>
        </w:rPr>
        <w:t>Francisco.</w:t>
      </w:r>
      <w:r>
        <w:rPr>
          <w:color w:val="231F20"/>
          <w:spacing w:val="-2"/>
        </w:rPr>
        <w:t> </w:t>
      </w:r>
      <w:r>
        <w:rPr>
          <w:color w:val="231F20"/>
        </w:rPr>
        <w:t>Citywide’s</w:t>
      </w:r>
      <w:r>
        <w:rPr>
          <w:color w:val="231F20"/>
          <w:spacing w:val="-2"/>
        </w:rPr>
        <w:t> </w:t>
      </w:r>
      <w:r>
        <w:rPr>
          <w:color w:val="231F20"/>
        </w:rPr>
        <w:t>mission</w:t>
      </w:r>
      <w:r>
        <w:rPr>
          <w:color w:val="231F20"/>
          <w:spacing w:val="-2"/>
        </w:rPr>
        <w:t> </w:t>
      </w:r>
      <w:r>
        <w:rPr>
          <w:color w:val="231F20"/>
        </w:rPr>
        <w:t>is</w:t>
      </w:r>
      <w:r>
        <w:rPr>
          <w:color w:val="231F20"/>
          <w:spacing w:val="-2"/>
        </w:rPr>
        <w:t> </w:t>
      </w:r>
      <w:r>
        <w:rPr>
          <w:color w:val="231F20"/>
        </w:rPr>
        <w:t>to</w:t>
      </w:r>
      <w:r>
        <w:rPr>
          <w:color w:val="231F20"/>
          <w:spacing w:val="-2"/>
        </w:rPr>
        <w:t> </w:t>
      </w:r>
      <w:r>
        <w:rPr>
          <w:color w:val="231F20"/>
        </w:rPr>
        <w:t>support</w:t>
      </w:r>
      <w:r>
        <w:rPr>
          <w:color w:val="231F20"/>
          <w:spacing w:val="-1"/>
        </w:rPr>
        <w:t> </w:t>
      </w:r>
      <w:r>
        <w:rPr>
          <w:color w:val="231F20"/>
        </w:rPr>
        <w:t>the</w:t>
      </w:r>
      <w:r>
        <w:rPr>
          <w:color w:val="231F20"/>
          <w:spacing w:val="-2"/>
        </w:rPr>
        <w:t> </w:t>
      </w:r>
      <w:r>
        <w:rPr>
          <w:color w:val="231F20"/>
        </w:rPr>
        <w:t>recovery</w:t>
      </w:r>
      <w:r>
        <w:rPr>
          <w:color w:val="231F20"/>
          <w:spacing w:val="-52"/>
        </w:rPr>
        <w:t> </w:t>
      </w:r>
      <w:r>
        <w:rPr>
          <w:color w:val="231F20"/>
        </w:rPr>
        <w:t>of adults with SMI in San Francisco, reduce their use of</w:t>
      </w:r>
      <w:r>
        <w:rPr>
          <w:color w:val="231F20"/>
          <w:spacing w:val="-52"/>
        </w:rPr>
        <w:t> </w:t>
      </w:r>
      <w:r>
        <w:rPr>
          <w:color w:val="231F20"/>
        </w:rPr>
        <w:t>institutional and acute care (e.g., psychiatric emergency</w:t>
      </w:r>
      <w:r>
        <w:rPr>
          <w:color w:val="231F20"/>
          <w:spacing w:val="1"/>
        </w:rPr>
        <w:t> </w:t>
      </w:r>
      <w:r>
        <w:rPr>
          <w:color w:val="231F20"/>
        </w:rPr>
        <w:t>services, hospital care, jails), and help maximize their</w:t>
      </w:r>
      <w:r>
        <w:rPr>
          <w:color w:val="231F20"/>
          <w:spacing w:val="1"/>
        </w:rPr>
        <w:t> </w:t>
      </w:r>
      <w:r>
        <w:rPr>
          <w:color w:val="231F20"/>
        </w:rPr>
        <w:t>ability</w:t>
      </w:r>
      <w:r>
        <w:rPr>
          <w:color w:val="231F20"/>
          <w:spacing w:val="-3"/>
        </w:rPr>
        <w:t> </w:t>
      </w:r>
      <w:r>
        <w:rPr>
          <w:color w:val="231F20"/>
        </w:rPr>
        <w:t>to</w:t>
      </w:r>
      <w:r>
        <w:rPr>
          <w:color w:val="231F20"/>
          <w:spacing w:val="-2"/>
        </w:rPr>
        <w:t> </w:t>
      </w:r>
      <w:r>
        <w:rPr>
          <w:color w:val="231F20"/>
        </w:rPr>
        <w:t>maintain</w:t>
      </w:r>
      <w:r>
        <w:rPr>
          <w:color w:val="231F20"/>
          <w:spacing w:val="-3"/>
        </w:rPr>
        <w:t> </w:t>
      </w:r>
      <w:r>
        <w:rPr>
          <w:color w:val="231F20"/>
        </w:rPr>
        <w:t>stable,</w:t>
      </w:r>
      <w:r>
        <w:rPr>
          <w:color w:val="231F20"/>
          <w:spacing w:val="-3"/>
        </w:rPr>
        <w:t> </w:t>
      </w:r>
      <w:r>
        <w:rPr>
          <w:color w:val="231F20"/>
        </w:rPr>
        <w:t>productive,</w:t>
      </w:r>
      <w:r>
        <w:rPr>
          <w:color w:val="231F20"/>
          <w:spacing w:val="-3"/>
        </w:rPr>
        <w:t> </w:t>
      </w:r>
      <w:r>
        <w:rPr>
          <w:color w:val="231F20"/>
        </w:rPr>
        <w:t>and</w:t>
      </w:r>
      <w:r>
        <w:rPr>
          <w:color w:val="231F20"/>
          <w:spacing w:val="-2"/>
        </w:rPr>
        <w:t> </w:t>
      </w:r>
      <w:r>
        <w:rPr>
          <w:color w:val="231F20"/>
        </w:rPr>
        <w:t>fulfilling</w:t>
      </w:r>
      <w:r>
        <w:rPr>
          <w:color w:val="231F20"/>
          <w:spacing w:val="-3"/>
        </w:rPr>
        <w:t> </w:t>
      </w:r>
      <w:r>
        <w:rPr>
          <w:color w:val="231F20"/>
        </w:rPr>
        <w:t>lives</w:t>
      </w:r>
      <w:r>
        <w:rPr>
          <w:color w:val="231F20"/>
          <w:spacing w:val="-52"/>
        </w:rPr>
        <w:t> </w:t>
      </w:r>
      <w:r>
        <w:rPr>
          <w:color w:val="231F20"/>
        </w:rPr>
        <w:t>in</w:t>
      </w:r>
      <w:r>
        <w:rPr>
          <w:color w:val="231F20"/>
          <w:spacing w:val="-1"/>
        </w:rPr>
        <w:t> </w:t>
      </w:r>
      <w:r>
        <w:rPr>
          <w:color w:val="231F20"/>
        </w:rPr>
        <w:t>the community.</w:t>
      </w:r>
    </w:p>
    <w:p>
      <w:pPr>
        <w:pStyle w:val="BodyText"/>
        <w:spacing w:line="266" w:lineRule="auto" w:before="174"/>
        <w:ind w:left="119" w:right="70"/>
      </w:pPr>
      <w:r>
        <w:rPr>
          <w:color w:val="231F20"/>
        </w:rPr>
        <w:t>Citywide is located outside the academic medical setting</w:t>
      </w:r>
      <w:r>
        <w:rPr>
          <w:color w:val="231F20"/>
          <w:spacing w:val="-52"/>
        </w:rPr>
        <w:t> </w:t>
      </w:r>
      <w:r>
        <w:rPr>
          <w:color w:val="231F20"/>
        </w:rPr>
        <w:t>in the community</w:t>
      </w:r>
      <w:r>
        <w:rPr>
          <w:color w:val="231F20"/>
          <w:spacing w:val="-1"/>
        </w:rPr>
        <w:t> </w:t>
      </w:r>
      <w:r>
        <w:rPr>
          <w:color w:val="231F20"/>
        </w:rPr>
        <w:t>it serves and engages individuals</w:t>
      </w:r>
    </w:p>
    <w:p>
      <w:pPr>
        <w:pStyle w:val="BodyText"/>
        <w:spacing w:line="266" w:lineRule="auto"/>
        <w:ind w:left="119" w:right="21"/>
      </w:pPr>
      <w:r>
        <w:rPr>
          <w:color w:val="231F20"/>
        </w:rPr>
        <w:t>who receive regular care from the medical system.</w:t>
      </w:r>
      <w:r>
        <w:rPr>
          <w:color w:val="231F20"/>
          <w:spacing w:val="1"/>
        </w:rPr>
        <w:t> </w:t>
      </w:r>
      <w:r>
        <w:rPr>
          <w:color w:val="231F20"/>
        </w:rPr>
        <w:t>Citywide programs are funded through the San Francisco</w:t>
      </w:r>
      <w:r>
        <w:rPr>
          <w:color w:val="231F20"/>
          <w:spacing w:val="-52"/>
        </w:rPr>
        <w:t> </w:t>
      </w:r>
      <w:r>
        <w:rPr>
          <w:color w:val="231F20"/>
        </w:rPr>
        <w:t>Department of Public Health and other governmental</w:t>
      </w:r>
      <w:r>
        <w:rPr>
          <w:color w:val="231F20"/>
          <w:spacing w:val="1"/>
        </w:rPr>
        <w:t> </w:t>
      </w:r>
      <w:r>
        <w:rPr>
          <w:color w:val="231F20"/>
        </w:rPr>
        <w:t>resources.</w:t>
      </w:r>
    </w:p>
    <w:p>
      <w:pPr>
        <w:pStyle w:val="BodyText"/>
        <w:spacing w:line="266" w:lineRule="auto" w:before="176"/>
        <w:ind w:left="119" w:right="21"/>
      </w:pPr>
      <w:r>
        <w:rPr>
          <w:color w:val="231F20"/>
        </w:rPr>
        <w:t>Citywide ICM teams are interdisciplinary teams of social</w:t>
      </w:r>
      <w:r>
        <w:rPr>
          <w:color w:val="231F20"/>
          <w:spacing w:val="-52"/>
        </w:rPr>
        <w:t> </w:t>
      </w:r>
      <w:r>
        <w:rPr>
          <w:color w:val="231F20"/>
        </w:rPr>
        <w:t>workers, nurses, psychiatrists, employment specialists,</w:t>
      </w:r>
      <w:r>
        <w:rPr>
          <w:color w:val="231F20"/>
          <w:spacing w:val="1"/>
        </w:rPr>
        <w:t> </w:t>
      </w:r>
      <w:r>
        <w:rPr>
          <w:color w:val="231F20"/>
        </w:rPr>
        <w:t>and peer counselors, providing services to around 100 to</w:t>
      </w:r>
      <w:r>
        <w:rPr>
          <w:color w:val="231F20"/>
          <w:spacing w:val="1"/>
        </w:rPr>
        <w:t> </w:t>
      </w:r>
      <w:r>
        <w:rPr>
          <w:color w:val="231F20"/>
        </w:rPr>
        <w:t>200 clients per</w:t>
      </w:r>
      <w:r>
        <w:rPr>
          <w:color w:val="231F20"/>
          <w:spacing w:val="-1"/>
        </w:rPr>
        <w:t> </w:t>
      </w:r>
      <w:r>
        <w:rPr>
          <w:color w:val="231F20"/>
        </w:rPr>
        <w:t>team.</w:t>
      </w:r>
    </w:p>
    <w:p>
      <w:pPr>
        <w:pStyle w:val="BodyText"/>
        <w:spacing w:line="266" w:lineRule="auto" w:before="177"/>
        <w:ind w:left="119"/>
      </w:pPr>
      <w:r>
        <w:rPr>
          <w:color w:val="231F20"/>
          <w:spacing w:val="-4"/>
        </w:rPr>
        <w:t>To</w:t>
      </w:r>
      <w:r>
        <w:rPr>
          <w:color w:val="231F20"/>
          <w:spacing w:val="-8"/>
        </w:rPr>
        <w:t> </w:t>
      </w:r>
      <w:r>
        <w:rPr>
          <w:color w:val="231F20"/>
          <w:spacing w:val="-4"/>
        </w:rPr>
        <w:t>appropriately</w:t>
      </w:r>
      <w:r>
        <w:rPr>
          <w:color w:val="231F20"/>
          <w:spacing w:val="-8"/>
        </w:rPr>
        <w:t> </w:t>
      </w:r>
      <w:r>
        <w:rPr>
          <w:color w:val="231F20"/>
          <w:spacing w:val="-4"/>
        </w:rPr>
        <w:t>meet</w:t>
      </w:r>
      <w:r>
        <w:rPr>
          <w:color w:val="231F20"/>
          <w:spacing w:val="-7"/>
        </w:rPr>
        <w:t> </w:t>
      </w:r>
      <w:r>
        <w:rPr>
          <w:color w:val="231F20"/>
          <w:spacing w:val="-4"/>
        </w:rPr>
        <w:t>the</w:t>
      </w:r>
      <w:r>
        <w:rPr>
          <w:color w:val="231F20"/>
          <w:spacing w:val="-8"/>
        </w:rPr>
        <w:t> </w:t>
      </w:r>
      <w:r>
        <w:rPr>
          <w:color w:val="231F20"/>
          <w:spacing w:val="-4"/>
        </w:rPr>
        <w:t>clients’</w:t>
      </w:r>
      <w:r>
        <w:rPr>
          <w:color w:val="231F20"/>
          <w:spacing w:val="-24"/>
        </w:rPr>
        <w:t> </w:t>
      </w:r>
      <w:r>
        <w:rPr>
          <w:color w:val="231F20"/>
          <w:spacing w:val="-4"/>
        </w:rPr>
        <w:t>needs,</w:t>
      </w:r>
      <w:r>
        <w:rPr>
          <w:color w:val="231F20"/>
          <w:spacing w:val="-8"/>
        </w:rPr>
        <w:t> </w:t>
      </w:r>
      <w:r>
        <w:rPr>
          <w:color w:val="231F20"/>
          <w:spacing w:val="-4"/>
        </w:rPr>
        <w:t>Citywide</w:t>
      </w:r>
      <w:r>
        <w:rPr>
          <w:color w:val="231F20"/>
          <w:spacing w:val="-7"/>
        </w:rPr>
        <w:t> </w:t>
      </w:r>
      <w:r>
        <w:rPr>
          <w:color w:val="231F20"/>
          <w:spacing w:val="-4"/>
        </w:rPr>
        <w:t>has</w:t>
      </w:r>
      <w:r>
        <w:rPr>
          <w:color w:val="231F20"/>
          <w:spacing w:val="-8"/>
        </w:rPr>
        <w:t> </w:t>
      </w:r>
      <w:r>
        <w:rPr>
          <w:color w:val="231F20"/>
          <w:spacing w:val="-4"/>
        </w:rPr>
        <w:t>four</w:t>
      </w:r>
      <w:r>
        <w:rPr>
          <w:color w:val="231F20"/>
          <w:spacing w:val="-52"/>
        </w:rPr>
        <w:t> </w:t>
      </w:r>
      <w:r>
        <w:rPr>
          <w:color w:val="231F20"/>
          <w:spacing w:val="-1"/>
        </w:rPr>
        <w:t>culturally</w:t>
      </w:r>
      <w:r>
        <w:rPr>
          <w:color w:val="231F20"/>
          <w:spacing w:val="-13"/>
        </w:rPr>
        <w:t> </w:t>
      </w:r>
      <w:r>
        <w:rPr>
          <w:color w:val="231F20"/>
          <w:spacing w:val="-1"/>
        </w:rPr>
        <w:t>and</w:t>
      </w:r>
      <w:r>
        <w:rPr>
          <w:color w:val="231F20"/>
          <w:spacing w:val="-13"/>
        </w:rPr>
        <w:t> </w:t>
      </w:r>
      <w:r>
        <w:rPr>
          <w:color w:val="231F20"/>
          <w:spacing w:val="-1"/>
        </w:rPr>
        <w:t>linguistically</w:t>
      </w:r>
      <w:r>
        <w:rPr>
          <w:color w:val="231F20"/>
          <w:spacing w:val="-12"/>
        </w:rPr>
        <w:t> </w:t>
      </w:r>
      <w:r>
        <w:rPr>
          <w:color w:val="231F20"/>
          <w:spacing w:val="-1"/>
        </w:rPr>
        <w:t>focused</w:t>
      </w:r>
      <w:r>
        <w:rPr>
          <w:color w:val="231F20"/>
          <w:spacing w:val="-13"/>
        </w:rPr>
        <w:t> </w:t>
      </w:r>
      <w:r>
        <w:rPr>
          <w:color w:val="231F20"/>
          <w:spacing w:val="-1"/>
        </w:rPr>
        <w:t>ICM</w:t>
      </w:r>
      <w:r>
        <w:rPr>
          <w:color w:val="231F20"/>
          <w:spacing w:val="-12"/>
        </w:rPr>
        <w:t> </w:t>
      </w:r>
      <w:r>
        <w:rPr>
          <w:color w:val="231F20"/>
          <w:spacing w:val="-1"/>
        </w:rPr>
        <w:t>teams:</w:t>
      </w:r>
    </w:p>
    <w:p>
      <w:pPr>
        <w:pStyle w:val="ListParagraph"/>
        <w:numPr>
          <w:ilvl w:val="1"/>
          <w:numId w:val="5"/>
        </w:numPr>
        <w:tabs>
          <w:tab w:pos="839" w:val="left" w:leader="none"/>
          <w:tab w:pos="840" w:val="left" w:leader="none"/>
        </w:tabs>
        <w:spacing w:line="240" w:lineRule="auto" w:before="162" w:after="0"/>
        <w:ind w:left="839" w:right="0" w:hanging="361"/>
        <w:jc w:val="left"/>
        <w:rPr>
          <w:rFonts w:ascii="Symbol" w:hAnsi="Symbol"/>
          <w:color w:val="010202"/>
          <w:sz w:val="22"/>
        </w:rPr>
      </w:pPr>
      <w:r>
        <w:rPr>
          <w:color w:val="010202"/>
          <w:sz w:val="22"/>
        </w:rPr>
        <w:t>Hong</w:t>
      </w:r>
      <w:r>
        <w:rPr>
          <w:color w:val="010202"/>
          <w:spacing w:val="-4"/>
          <w:sz w:val="22"/>
        </w:rPr>
        <w:t> </w:t>
      </w:r>
      <w:r>
        <w:rPr>
          <w:color w:val="010202"/>
          <w:sz w:val="22"/>
        </w:rPr>
        <w:t>Ling</w:t>
      </w:r>
      <w:r>
        <w:rPr>
          <w:color w:val="010202"/>
          <w:spacing w:val="-8"/>
          <w:sz w:val="22"/>
        </w:rPr>
        <w:t> </w:t>
      </w:r>
      <w:r>
        <w:rPr>
          <w:color w:val="010202"/>
          <w:sz w:val="22"/>
        </w:rPr>
        <w:t>Team</w:t>
      </w:r>
      <w:r>
        <w:rPr>
          <w:color w:val="010202"/>
          <w:spacing w:val="-3"/>
          <w:sz w:val="22"/>
        </w:rPr>
        <w:t> </w:t>
      </w:r>
      <w:r>
        <w:rPr>
          <w:color w:val="010202"/>
          <w:sz w:val="22"/>
        </w:rPr>
        <w:t>(Chinese)</w:t>
      </w:r>
    </w:p>
    <w:p>
      <w:pPr>
        <w:pStyle w:val="ListParagraph"/>
        <w:numPr>
          <w:ilvl w:val="1"/>
          <w:numId w:val="5"/>
        </w:numPr>
        <w:tabs>
          <w:tab w:pos="839" w:val="left" w:leader="none"/>
          <w:tab w:pos="840" w:val="left" w:leader="none"/>
        </w:tabs>
        <w:spacing w:line="240" w:lineRule="auto" w:before="58" w:after="0"/>
        <w:ind w:left="839" w:right="0" w:hanging="361"/>
        <w:jc w:val="left"/>
        <w:rPr>
          <w:rFonts w:ascii="Symbol" w:hAnsi="Symbol"/>
          <w:color w:val="010202"/>
          <w:sz w:val="22"/>
        </w:rPr>
      </w:pPr>
      <w:r>
        <w:rPr>
          <w:color w:val="010202"/>
          <w:sz w:val="22"/>
        </w:rPr>
        <w:t>Cross</w:t>
      </w:r>
      <w:r>
        <w:rPr>
          <w:color w:val="010202"/>
          <w:spacing w:val="-3"/>
          <w:sz w:val="22"/>
        </w:rPr>
        <w:t> </w:t>
      </w:r>
      <w:r>
        <w:rPr>
          <w:color w:val="010202"/>
          <w:sz w:val="22"/>
        </w:rPr>
        <w:t>Currents</w:t>
      </w:r>
      <w:r>
        <w:rPr>
          <w:color w:val="010202"/>
          <w:spacing w:val="-6"/>
          <w:sz w:val="22"/>
        </w:rPr>
        <w:t> </w:t>
      </w:r>
      <w:r>
        <w:rPr>
          <w:color w:val="010202"/>
          <w:sz w:val="22"/>
        </w:rPr>
        <w:t>Team</w:t>
      </w:r>
      <w:r>
        <w:rPr>
          <w:color w:val="010202"/>
          <w:spacing w:val="-3"/>
          <w:sz w:val="22"/>
        </w:rPr>
        <w:t> </w:t>
      </w:r>
      <w:r>
        <w:rPr>
          <w:color w:val="010202"/>
          <w:sz w:val="22"/>
        </w:rPr>
        <w:t>(LGBTQ</w:t>
      </w:r>
      <w:r>
        <w:rPr>
          <w:color w:val="010202"/>
          <w:spacing w:val="-3"/>
          <w:sz w:val="22"/>
        </w:rPr>
        <w:t> </w:t>
      </w:r>
      <w:r>
        <w:rPr>
          <w:color w:val="010202"/>
          <w:sz w:val="22"/>
        </w:rPr>
        <w:t>and</w:t>
      </w:r>
      <w:r>
        <w:rPr>
          <w:color w:val="010202"/>
          <w:spacing w:val="-2"/>
          <w:sz w:val="22"/>
        </w:rPr>
        <w:t> </w:t>
      </w:r>
      <w:r>
        <w:rPr>
          <w:color w:val="010202"/>
          <w:sz w:val="22"/>
        </w:rPr>
        <w:t>women)</w:t>
      </w:r>
    </w:p>
    <w:p>
      <w:pPr>
        <w:pStyle w:val="ListParagraph"/>
        <w:numPr>
          <w:ilvl w:val="1"/>
          <w:numId w:val="5"/>
        </w:numPr>
        <w:tabs>
          <w:tab w:pos="839" w:val="left" w:leader="none"/>
          <w:tab w:pos="840" w:val="left" w:leader="none"/>
        </w:tabs>
        <w:spacing w:line="264" w:lineRule="auto" w:before="57" w:after="0"/>
        <w:ind w:left="839" w:right="572" w:hanging="360"/>
        <w:jc w:val="left"/>
        <w:rPr>
          <w:rFonts w:ascii="Symbol" w:hAnsi="Symbol"/>
          <w:color w:val="010202"/>
          <w:sz w:val="22"/>
        </w:rPr>
      </w:pPr>
      <w:r>
        <w:rPr>
          <w:color w:val="010202"/>
          <w:sz w:val="22"/>
        </w:rPr>
        <w:t>Kujichagulia</w:t>
      </w:r>
      <w:r>
        <w:rPr>
          <w:color w:val="010202"/>
          <w:spacing w:val="-14"/>
          <w:sz w:val="22"/>
        </w:rPr>
        <w:t> </w:t>
      </w:r>
      <w:r>
        <w:rPr>
          <w:color w:val="010202"/>
          <w:sz w:val="22"/>
        </w:rPr>
        <w:t>Team</w:t>
      </w:r>
      <w:r>
        <w:rPr>
          <w:color w:val="010202"/>
          <w:spacing w:val="-10"/>
          <w:sz w:val="22"/>
        </w:rPr>
        <w:t> </w:t>
      </w:r>
      <w:r>
        <w:rPr>
          <w:color w:val="010202"/>
          <w:sz w:val="22"/>
        </w:rPr>
        <w:t>(African-American</w:t>
      </w:r>
      <w:r>
        <w:rPr>
          <w:color w:val="010202"/>
          <w:spacing w:val="-9"/>
          <w:sz w:val="22"/>
        </w:rPr>
        <w:t> </w:t>
      </w:r>
      <w:r>
        <w:rPr>
          <w:color w:val="010202"/>
          <w:sz w:val="22"/>
        </w:rPr>
        <w:t>and</w:t>
      </w:r>
      <w:r>
        <w:rPr>
          <w:color w:val="010202"/>
          <w:spacing w:val="-52"/>
          <w:sz w:val="22"/>
        </w:rPr>
        <w:t> </w:t>
      </w:r>
      <w:r>
        <w:rPr>
          <w:color w:val="010202"/>
          <w:sz w:val="22"/>
        </w:rPr>
        <w:t>European-American)</w:t>
      </w:r>
    </w:p>
    <w:p>
      <w:pPr>
        <w:pStyle w:val="ListParagraph"/>
        <w:numPr>
          <w:ilvl w:val="1"/>
          <w:numId w:val="5"/>
        </w:numPr>
        <w:tabs>
          <w:tab w:pos="839" w:val="left" w:leader="none"/>
          <w:tab w:pos="840" w:val="left" w:leader="none"/>
        </w:tabs>
        <w:spacing w:line="240" w:lineRule="auto" w:before="32" w:after="0"/>
        <w:ind w:left="839" w:right="0" w:hanging="361"/>
        <w:jc w:val="left"/>
        <w:rPr>
          <w:rFonts w:ascii="Symbol" w:hAnsi="Symbol"/>
          <w:color w:val="010202"/>
          <w:sz w:val="22"/>
        </w:rPr>
      </w:pPr>
      <w:r>
        <w:rPr>
          <w:color w:val="010202"/>
          <w:sz w:val="22"/>
        </w:rPr>
        <w:t>Senderos</w:t>
      </w:r>
      <w:r>
        <w:rPr>
          <w:color w:val="010202"/>
          <w:spacing w:val="-7"/>
          <w:sz w:val="22"/>
        </w:rPr>
        <w:t> </w:t>
      </w:r>
      <w:r>
        <w:rPr>
          <w:color w:val="010202"/>
          <w:sz w:val="22"/>
        </w:rPr>
        <w:t>Team</w:t>
      </w:r>
      <w:r>
        <w:rPr>
          <w:color w:val="010202"/>
          <w:spacing w:val="-3"/>
          <w:sz w:val="22"/>
        </w:rPr>
        <w:t> </w:t>
      </w:r>
      <w:r>
        <w:rPr>
          <w:color w:val="010202"/>
          <w:sz w:val="22"/>
        </w:rPr>
        <w:t>(Latino</w:t>
      </w:r>
      <w:r>
        <w:rPr>
          <w:color w:val="010202"/>
          <w:spacing w:val="-3"/>
          <w:sz w:val="22"/>
        </w:rPr>
        <w:t> </w:t>
      </w:r>
      <w:r>
        <w:rPr>
          <w:color w:val="010202"/>
          <w:sz w:val="22"/>
        </w:rPr>
        <w:t>and</w:t>
      </w:r>
      <w:r>
        <w:rPr>
          <w:color w:val="010202"/>
          <w:spacing w:val="-3"/>
          <w:sz w:val="22"/>
        </w:rPr>
        <w:t> </w:t>
      </w:r>
      <w:r>
        <w:rPr>
          <w:color w:val="010202"/>
          <w:sz w:val="22"/>
        </w:rPr>
        <w:t>Korean)</w:t>
      </w:r>
    </w:p>
    <w:p>
      <w:pPr>
        <w:pStyle w:val="BodyText"/>
        <w:spacing w:before="206"/>
        <w:ind w:left="119"/>
      </w:pPr>
      <w:r>
        <w:rPr>
          <w:color w:val="231F20"/>
        </w:rPr>
        <w:t>In</w:t>
      </w:r>
      <w:r>
        <w:rPr>
          <w:color w:val="231F20"/>
          <w:spacing w:val="-2"/>
        </w:rPr>
        <w:t> </w:t>
      </w:r>
      <w:r>
        <w:rPr>
          <w:color w:val="231F20"/>
        </w:rPr>
        <w:t>addition,</w:t>
      </w:r>
      <w:r>
        <w:rPr>
          <w:color w:val="231F20"/>
          <w:spacing w:val="-1"/>
        </w:rPr>
        <w:t> </w:t>
      </w:r>
      <w:r>
        <w:rPr>
          <w:color w:val="231F20"/>
        </w:rPr>
        <w:t>Citywide</w:t>
      </w:r>
      <w:r>
        <w:rPr>
          <w:color w:val="231F20"/>
          <w:spacing w:val="-1"/>
        </w:rPr>
        <w:t> </w:t>
      </w:r>
      <w:r>
        <w:rPr>
          <w:color w:val="231F20"/>
        </w:rPr>
        <w:t>has</w:t>
      </w:r>
      <w:r>
        <w:rPr>
          <w:color w:val="231F20"/>
          <w:spacing w:val="-1"/>
        </w:rPr>
        <w:t> </w:t>
      </w:r>
      <w:r>
        <w:rPr>
          <w:color w:val="231F20"/>
        </w:rPr>
        <w:t>teams</w:t>
      </w:r>
      <w:r>
        <w:rPr>
          <w:color w:val="231F20"/>
          <w:spacing w:val="-1"/>
        </w:rPr>
        <w:t> </w:t>
      </w:r>
      <w:r>
        <w:rPr>
          <w:color w:val="231F20"/>
        </w:rPr>
        <w:t>that</w:t>
      </w:r>
      <w:r>
        <w:rPr>
          <w:color w:val="231F20"/>
          <w:spacing w:val="-1"/>
        </w:rPr>
        <w:t> </w:t>
      </w:r>
      <w:r>
        <w:rPr>
          <w:color w:val="231F20"/>
        </w:rPr>
        <w:t>specialize</w:t>
      </w:r>
      <w:r>
        <w:rPr>
          <w:color w:val="231F20"/>
          <w:spacing w:val="-2"/>
        </w:rPr>
        <w:t> </w:t>
      </w:r>
      <w:r>
        <w:rPr>
          <w:color w:val="231F20"/>
        </w:rPr>
        <w:t>in</w:t>
      </w:r>
    </w:p>
    <w:p>
      <w:pPr>
        <w:pStyle w:val="BodyText"/>
        <w:spacing w:before="27"/>
        <w:ind w:left="119"/>
      </w:pPr>
      <w:r>
        <w:rPr>
          <w:color w:val="231F20"/>
        </w:rPr>
        <w:t>working</w:t>
      </w:r>
      <w:r>
        <w:rPr>
          <w:color w:val="231F20"/>
          <w:spacing w:val="-1"/>
        </w:rPr>
        <w:t> </w:t>
      </w:r>
      <w:r>
        <w:rPr>
          <w:color w:val="231F20"/>
        </w:rPr>
        <w:t>with justice-involved individuals.</w:t>
      </w:r>
    </w:p>
    <w:p>
      <w:pPr>
        <w:pStyle w:val="BodyText"/>
        <w:spacing w:line="266" w:lineRule="auto" w:before="207"/>
        <w:ind w:left="119" w:right="485"/>
      </w:pPr>
      <w:r>
        <w:rPr>
          <w:color w:val="231F20"/>
        </w:rPr>
        <w:t>In addition to ICM, Citywide provides psychosocial</w:t>
      </w:r>
      <w:r>
        <w:rPr>
          <w:color w:val="231F20"/>
          <w:spacing w:val="-52"/>
        </w:rPr>
        <w:t> </w:t>
      </w:r>
      <w:r>
        <w:rPr>
          <w:color w:val="231F20"/>
        </w:rPr>
        <w:t>treatment, medication-assisted treatment (MAT),</w:t>
      </w:r>
      <w:r>
        <w:rPr>
          <w:color w:val="231F20"/>
          <w:spacing w:val="1"/>
        </w:rPr>
        <w:t> </w:t>
      </w:r>
      <w:r>
        <w:rPr>
          <w:color w:val="231F20"/>
        </w:rPr>
        <w:t>substance use treatment groups, and socialization</w:t>
      </w:r>
      <w:r>
        <w:rPr>
          <w:color w:val="231F20"/>
          <w:spacing w:val="1"/>
        </w:rPr>
        <w:t> </w:t>
      </w:r>
      <w:r>
        <w:rPr>
          <w:color w:val="231F20"/>
        </w:rPr>
        <w:t>groups, and utilizes</w:t>
      </w:r>
      <w:r>
        <w:rPr>
          <w:color w:val="231F20"/>
          <w:spacing w:val="-1"/>
        </w:rPr>
        <w:t> </w:t>
      </w:r>
      <w:r>
        <w:rPr>
          <w:color w:val="231F20"/>
        </w:rPr>
        <w:t>a combination of behavioral</w:t>
      </w:r>
    </w:p>
    <w:p>
      <w:pPr>
        <w:spacing w:line="240" w:lineRule="auto" w:before="5" w:after="24"/>
        <w:rPr>
          <w:sz w:val="10"/>
        </w:rPr>
      </w:pPr>
      <w:r>
        <w:rPr/>
        <w:br w:type="column"/>
      </w:r>
      <w:r>
        <w:rPr>
          <w:sz w:val="10"/>
        </w:rPr>
      </w:r>
    </w:p>
    <w:p>
      <w:pPr>
        <w:pStyle w:val="BodyText"/>
        <w:ind w:left="119"/>
        <w:rPr>
          <w:sz w:val="20"/>
        </w:rPr>
      </w:pPr>
      <w:r>
        <w:rPr>
          <w:sz w:val="20"/>
        </w:rPr>
        <w:pict>
          <v:group style="width:252pt;height:309.9pt;mso-position-horizontal-relative:char;mso-position-vertical-relative:line" id="docshapegroup163" coordorigin="0,0" coordsize="5040,6198">
            <v:shape style="position:absolute;left:0;top:0;width:5040;height:6198" id="docshape164" coordorigin="0,0" coordsize="5040,6198" path="m4950,0l90,0,55,7,26,26,7,55,0,90,0,6108,7,6143,26,6171,55,6191,90,6198,4950,6198,4985,6191,5014,6171,5033,6143,5040,6108,5040,90,5033,55,5014,26,4985,7,4950,0xe" filled="true" fillcolor="#f7e0e0" stroked="false">
              <v:path arrowok="t"/>
              <v:fill type="solid"/>
            </v:shape>
            <v:shape style="position:absolute;left:180;top:162;width:4596;height:3896" type="#_x0000_t202" id="docshape165" filled="false" stroked="false">
              <v:textbox inset="0,0,0,0">
                <w:txbxContent>
                  <w:p>
                    <w:pPr>
                      <w:spacing w:line="259" w:lineRule="auto" w:before="0"/>
                      <w:ind w:left="0" w:right="17" w:firstLine="0"/>
                      <w:jc w:val="left"/>
                      <w:rPr>
                        <w:rFonts w:ascii="Arial" w:hAnsi="Arial"/>
                        <w:sz w:val="21"/>
                      </w:rPr>
                    </w:pPr>
                    <w:r>
                      <w:rPr>
                        <w:rFonts w:ascii="Arial" w:hAnsi="Arial"/>
                        <w:color w:val="010202"/>
                        <w:sz w:val="21"/>
                      </w:rPr>
                      <w:t>A division of the UCSF Department of Psychiatry</w:t>
                    </w:r>
                    <w:r>
                      <w:rPr>
                        <w:rFonts w:ascii="Arial" w:hAnsi="Arial"/>
                        <w:color w:val="010202"/>
                        <w:spacing w:val="-56"/>
                        <w:sz w:val="21"/>
                      </w:rPr>
                      <w:t> </w:t>
                    </w:r>
                    <w:r>
                      <w:rPr>
                        <w:rFonts w:ascii="Arial" w:hAnsi="Arial"/>
                        <w:color w:val="010202"/>
                        <w:sz w:val="21"/>
                      </w:rPr>
                      <w:t>that provides case management and behavioral</w:t>
                    </w:r>
                    <w:r>
                      <w:rPr>
                        <w:rFonts w:ascii="Arial" w:hAnsi="Arial"/>
                        <w:color w:val="010202"/>
                        <w:spacing w:val="1"/>
                        <w:sz w:val="21"/>
                      </w:rPr>
                      <w:t> </w:t>
                    </w:r>
                    <w:r>
                      <w:rPr>
                        <w:rFonts w:ascii="Arial" w:hAnsi="Arial"/>
                        <w:color w:val="010202"/>
                        <w:sz w:val="21"/>
                      </w:rPr>
                      <w:t>health treatments to some of San Francisco’s</w:t>
                    </w:r>
                    <w:r>
                      <w:rPr>
                        <w:rFonts w:ascii="Arial" w:hAnsi="Arial"/>
                        <w:color w:val="010202"/>
                        <w:spacing w:val="1"/>
                        <w:sz w:val="21"/>
                      </w:rPr>
                      <w:t> </w:t>
                    </w:r>
                    <w:r>
                      <w:rPr>
                        <w:rFonts w:ascii="Arial" w:hAnsi="Arial"/>
                        <w:color w:val="010202"/>
                        <w:sz w:val="21"/>
                      </w:rPr>
                      <w:t>most</w:t>
                    </w:r>
                    <w:r>
                      <w:rPr>
                        <w:rFonts w:ascii="Arial" w:hAnsi="Arial"/>
                        <w:color w:val="010202"/>
                        <w:spacing w:val="-4"/>
                        <w:sz w:val="21"/>
                      </w:rPr>
                      <w:t> </w:t>
                    </w:r>
                    <w:r>
                      <w:rPr>
                        <w:rFonts w:ascii="Arial" w:hAnsi="Arial"/>
                        <w:color w:val="010202"/>
                        <w:sz w:val="21"/>
                      </w:rPr>
                      <w:t>vulnerable</w:t>
                    </w:r>
                    <w:r>
                      <w:rPr>
                        <w:rFonts w:ascii="Arial" w:hAnsi="Arial"/>
                        <w:color w:val="010202"/>
                        <w:spacing w:val="-3"/>
                        <w:sz w:val="21"/>
                      </w:rPr>
                      <w:t> </w:t>
                    </w:r>
                    <w:r>
                      <w:rPr>
                        <w:rFonts w:ascii="Arial" w:hAnsi="Arial"/>
                        <w:color w:val="010202"/>
                        <w:sz w:val="21"/>
                      </w:rPr>
                      <w:t>populations,</w:t>
                    </w:r>
                    <w:r>
                      <w:rPr>
                        <w:rFonts w:ascii="Arial" w:hAnsi="Arial"/>
                        <w:color w:val="010202"/>
                        <w:spacing w:val="-4"/>
                        <w:sz w:val="21"/>
                      </w:rPr>
                      <w:t> </w:t>
                    </w:r>
                    <w:r>
                      <w:rPr>
                        <w:rFonts w:ascii="Arial" w:hAnsi="Arial"/>
                        <w:color w:val="010202"/>
                        <w:sz w:val="21"/>
                      </w:rPr>
                      <w:t>including</w:t>
                    </w:r>
                    <w:r>
                      <w:rPr>
                        <w:rFonts w:ascii="Arial" w:hAnsi="Arial"/>
                        <w:color w:val="010202"/>
                        <w:spacing w:val="-3"/>
                        <w:sz w:val="21"/>
                      </w:rPr>
                      <w:t> </w:t>
                    </w:r>
                    <w:r>
                      <w:rPr>
                        <w:rFonts w:ascii="Arial" w:hAnsi="Arial"/>
                        <w:color w:val="010202"/>
                        <w:sz w:val="21"/>
                      </w:rPr>
                      <w:t>those</w:t>
                    </w:r>
                    <w:r>
                      <w:rPr>
                        <w:rFonts w:ascii="Arial" w:hAnsi="Arial"/>
                        <w:color w:val="010202"/>
                        <w:spacing w:val="-4"/>
                        <w:sz w:val="21"/>
                      </w:rPr>
                      <w:t> </w:t>
                    </w:r>
                    <w:r>
                      <w:rPr>
                        <w:rFonts w:ascii="Arial" w:hAnsi="Arial"/>
                        <w:color w:val="010202"/>
                        <w:sz w:val="21"/>
                      </w:rPr>
                      <w:t>who</w:t>
                    </w:r>
                    <w:r>
                      <w:rPr>
                        <w:rFonts w:ascii="Arial" w:hAnsi="Arial"/>
                        <w:color w:val="010202"/>
                        <w:spacing w:val="-56"/>
                        <w:sz w:val="21"/>
                      </w:rPr>
                      <w:t> </w:t>
                    </w:r>
                    <w:r>
                      <w:rPr>
                        <w:rFonts w:ascii="Arial" w:hAnsi="Arial"/>
                        <w:color w:val="010202"/>
                        <w:sz w:val="21"/>
                      </w:rPr>
                      <w:t>are</w:t>
                    </w:r>
                    <w:r>
                      <w:rPr>
                        <w:rFonts w:ascii="Arial" w:hAnsi="Arial"/>
                        <w:color w:val="010202"/>
                        <w:spacing w:val="-1"/>
                        <w:sz w:val="21"/>
                      </w:rPr>
                      <w:t> </w:t>
                    </w:r>
                    <w:r>
                      <w:rPr>
                        <w:rFonts w:ascii="Arial" w:hAnsi="Arial"/>
                        <w:color w:val="010202"/>
                        <w:sz w:val="21"/>
                      </w:rPr>
                      <w:t>experiencing unstable housing.</w:t>
                    </w:r>
                  </w:p>
                  <w:p>
                    <w:pPr>
                      <w:spacing w:before="135"/>
                      <w:ind w:left="0" w:right="0" w:firstLine="0"/>
                      <w:jc w:val="left"/>
                      <w:rPr>
                        <w:rFonts w:ascii="Arial Black"/>
                        <w:sz w:val="21"/>
                      </w:rPr>
                    </w:pPr>
                    <w:r>
                      <w:rPr>
                        <w:rFonts w:ascii="Arial Black"/>
                        <w:color w:val="CE384B"/>
                        <w:sz w:val="21"/>
                      </w:rPr>
                      <w:t>Treatment</w:t>
                    </w:r>
                    <w:r>
                      <w:rPr>
                        <w:rFonts w:ascii="Arial Black"/>
                        <w:color w:val="CE384B"/>
                        <w:spacing w:val="-5"/>
                        <w:sz w:val="21"/>
                      </w:rPr>
                      <w:t> </w:t>
                    </w:r>
                    <w:r>
                      <w:rPr>
                        <w:rFonts w:ascii="Arial Black"/>
                        <w:color w:val="CE384B"/>
                        <w:sz w:val="21"/>
                      </w:rPr>
                      <w:t>Offered</w:t>
                    </w:r>
                  </w:p>
                  <w:p>
                    <w:pPr>
                      <w:spacing w:line="259" w:lineRule="auto" w:before="118"/>
                      <w:ind w:left="0" w:right="614" w:firstLine="0"/>
                      <w:jc w:val="left"/>
                      <w:rPr>
                        <w:rFonts w:ascii="Arial"/>
                        <w:sz w:val="21"/>
                      </w:rPr>
                    </w:pPr>
                    <w:r>
                      <w:rPr>
                        <w:rFonts w:ascii="Arial"/>
                        <w:color w:val="010202"/>
                        <w:sz w:val="21"/>
                      </w:rPr>
                      <w:t>Behavioral</w:t>
                    </w:r>
                    <w:r>
                      <w:rPr>
                        <w:rFonts w:ascii="Arial"/>
                        <w:color w:val="010202"/>
                        <w:spacing w:val="-11"/>
                        <w:sz w:val="21"/>
                      </w:rPr>
                      <w:t> </w:t>
                    </w:r>
                    <w:r>
                      <w:rPr>
                        <w:rFonts w:ascii="Arial"/>
                        <w:color w:val="010202"/>
                        <w:sz w:val="21"/>
                      </w:rPr>
                      <w:t>Therapies,</w:t>
                    </w:r>
                    <w:r>
                      <w:rPr>
                        <w:rFonts w:ascii="Arial"/>
                        <w:color w:val="010202"/>
                        <w:spacing w:val="-8"/>
                        <w:sz w:val="21"/>
                      </w:rPr>
                      <w:t> </w:t>
                    </w:r>
                    <w:r>
                      <w:rPr>
                        <w:rFonts w:ascii="Arial"/>
                        <w:color w:val="010202"/>
                        <w:sz w:val="21"/>
                      </w:rPr>
                      <w:t>Medication-Assisted</w:t>
                    </w:r>
                    <w:r>
                      <w:rPr>
                        <w:rFonts w:ascii="Arial"/>
                        <w:color w:val="010202"/>
                        <w:spacing w:val="-56"/>
                        <w:sz w:val="21"/>
                      </w:rPr>
                      <w:t> </w:t>
                    </w:r>
                    <w:r>
                      <w:rPr>
                        <w:rFonts w:ascii="Arial"/>
                        <w:color w:val="010202"/>
                        <w:sz w:val="21"/>
                      </w:rPr>
                      <w:t>Treatment</w:t>
                    </w:r>
                    <w:r>
                      <w:rPr>
                        <w:rFonts w:ascii="Arial"/>
                        <w:color w:val="010202"/>
                        <w:spacing w:val="-5"/>
                        <w:sz w:val="21"/>
                      </w:rPr>
                      <w:t> </w:t>
                    </w:r>
                    <w:r>
                      <w:rPr>
                        <w:rFonts w:ascii="Arial"/>
                        <w:color w:val="010202"/>
                        <w:sz w:val="21"/>
                      </w:rPr>
                      <w:t>(MAT),</w:t>
                    </w:r>
                    <w:r>
                      <w:rPr>
                        <w:rFonts w:ascii="Arial"/>
                        <w:color w:val="010202"/>
                        <w:spacing w:val="-5"/>
                        <w:sz w:val="21"/>
                      </w:rPr>
                      <w:t> </w:t>
                    </w:r>
                    <w:r>
                      <w:rPr>
                        <w:rFonts w:ascii="Arial"/>
                        <w:color w:val="010202"/>
                        <w:sz w:val="21"/>
                      </w:rPr>
                      <w:t>and</w:t>
                    </w:r>
                    <w:r>
                      <w:rPr>
                        <w:rFonts w:ascii="Arial"/>
                        <w:color w:val="010202"/>
                        <w:spacing w:val="-6"/>
                        <w:sz w:val="21"/>
                      </w:rPr>
                      <w:t> </w:t>
                    </w:r>
                    <w:r>
                      <w:rPr>
                        <w:rFonts w:ascii="Arial"/>
                        <w:color w:val="010202"/>
                        <w:sz w:val="21"/>
                      </w:rPr>
                      <w:t>Case</w:t>
                    </w:r>
                    <w:r>
                      <w:rPr>
                        <w:rFonts w:ascii="Arial"/>
                        <w:color w:val="010202"/>
                        <w:spacing w:val="-6"/>
                        <w:sz w:val="21"/>
                      </w:rPr>
                      <w:t> </w:t>
                    </w:r>
                    <w:r>
                      <w:rPr>
                        <w:rFonts w:ascii="Arial"/>
                        <w:color w:val="010202"/>
                        <w:sz w:val="21"/>
                      </w:rPr>
                      <w:t>Management</w:t>
                    </w:r>
                  </w:p>
                  <w:p>
                    <w:pPr>
                      <w:spacing w:before="144"/>
                      <w:ind w:left="0" w:right="0" w:firstLine="0"/>
                      <w:jc w:val="left"/>
                      <w:rPr>
                        <w:rFonts w:ascii="Arial Black"/>
                        <w:sz w:val="21"/>
                      </w:rPr>
                    </w:pPr>
                    <w:r>
                      <w:rPr>
                        <w:rFonts w:ascii="Arial Black"/>
                        <w:color w:val="CE384B"/>
                        <w:sz w:val="21"/>
                      </w:rPr>
                      <w:t>Population</w:t>
                    </w:r>
                    <w:r>
                      <w:rPr>
                        <w:rFonts w:ascii="Arial Black"/>
                        <w:color w:val="CE384B"/>
                        <w:spacing w:val="-7"/>
                        <w:sz w:val="21"/>
                      </w:rPr>
                      <w:t> </w:t>
                    </w:r>
                    <w:r>
                      <w:rPr>
                        <w:rFonts w:ascii="Arial Black"/>
                        <w:color w:val="CE384B"/>
                        <w:sz w:val="21"/>
                      </w:rPr>
                      <w:t>of</w:t>
                    </w:r>
                    <w:r>
                      <w:rPr>
                        <w:rFonts w:ascii="Arial Black"/>
                        <w:color w:val="CE384B"/>
                        <w:spacing w:val="5"/>
                        <w:sz w:val="21"/>
                      </w:rPr>
                      <w:t> </w:t>
                    </w:r>
                    <w:r>
                      <w:rPr>
                        <w:rFonts w:ascii="Arial Black"/>
                        <w:color w:val="CE384B"/>
                        <w:sz w:val="21"/>
                      </w:rPr>
                      <w:t>Focus</w:t>
                    </w:r>
                  </w:p>
                  <w:p>
                    <w:pPr>
                      <w:spacing w:before="118"/>
                      <w:ind w:left="0" w:right="0" w:firstLine="0"/>
                      <w:jc w:val="left"/>
                      <w:rPr>
                        <w:rFonts w:ascii="Arial"/>
                        <w:sz w:val="21"/>
                      </w:rPr>
                    </w:pPr>
                    <w:r>
                      <w:rPr>
                        <w:rFonts w:ascii="Arial"/>
                        <w:color w:val="010202"/>
                        <w:w w:val="95"/>
                        <w:sz w:val="21"/>
                      </w:rPr>
                      <w:t>Adults</w:t>
                    </w:r>
                    <w:r>
                      <w:rPr>
                        <w:rFonts w:ascii="Arial"/>
                        <w:color w:val="010202"/>
                        <w:spacing w:val="12"/>
                        <w:w w:val="95"/>
                        <w:sz w:val="21"/>
                      </w:rPr>
                      <w:t> </w:t>
                    </w:r>
                    <w:r>
                      <w:rPr>
                        <w:rFonts w:ascii="Arial"/>
                        <w:color w:val="010202"/>
                        <w:w w:val="95"/>
                        <w:sz w:val="21"/>
                      </w:rPr>
                      <w:t>with</w:t>
                    </w:r>
                    <w:r>
                      <w:rPr>
                        <w:rFonts w:ascii="Arial"/>
                        <w:color w:val="010202"/>
                        <w:spacing w:val="14"/>
                        <w:w w:val="95"/>
                        <w:sz w:val="21"/>
                      </w:rPr>
                      <w:t> </w:t>
                    </w:r>
                    <w:r>
                      <w:rPr>
                        <w:rFonts w:ascii="Arial"/>
                        <w:color w:val="010202"/>
                        <w:w w:val="95"/>
                        <w:sz w:val="21"/>
                      </w:rPr>
                      <w:t>serious</w:t>
                    </w:r>
                    <w:r>
                      <w:rPr>
                        <w:rFonts w:ascii="Arial"/>
                        <w:color w:val="010202"/>
                        <w:spacing w:val="14"/>
                        <w:w w:val="95"/>
                        <w:sz w:val="21"/>
                      </w:rPr>
                      <w:t> </w:t>
                    </w:r>
                    <w:r>
                      <w:rPr>
                        <w:rFonts w:ascii="Arial"/>
                        <w:color w:val="010202"/>
                        <w:w w:val="95"/>
                        <w:sz w:val="21"/>
                      </w:rPr>
                      <w:t>mental</w:t>
                    </w:r>
                    <w:r>
                      <w:rPr>
                        <w:rFonts w:ascii="Arial"/>
                        <w:color w:val="010202"/>
                        <w:spacing w:val="14"/>
                        <w:w w:val="95"/>
                        <w:sz w:val="21"/>
                      </w:rPr>
                      <w:t> </w:t>
                    </w:r>
                    <w:r>
                      <w:rPr>
                        <w:rFonts w:ascii="Arial"/>
                        <w:color w:val="010202"/>
                        <w:w w:val="95"/>
                        <w:sz w:val="21"/>
                      </w:rPr>
                      <w:t>illness</w:t>
                    </w:r>
                    <w:r>
                      <w:rPr>
                        <w:rFonts w:ascii="Arial"/>
                        <w:color w:val="010202"/>
                        <w:spacing w:val="14"/>
                        <w:w w:val="95"/>
                        <w:sz w:val="21"/>
                      </w:rPr>
                      <w:t> </w:t>
                    </w:r>
                    <w:r>
                      <w:rPr>
                        <w:rFonts w:ascii="Arial"/>
                        <w:color w:val="010202"/>
                        <w:w w:val="95"/>
                        <w:sz w:val="21"/>
                      </w:rPr>
                      <w:t>(SMI)</w:t>
                    </w:r>
                    <w:r>
                      <w:rPr>
                        <w:rFonts w:ascii="Arial"/>
                        <w:color w:val="010202"/>
                        <w:spacing w:val="13"/>
                        <w:w w:val="95"/>
                        <w:sz w:val="21"/>
                      </w:rPr>
                      <w:t> </w:t>
                    </w:r>
                    <w:r>
                      <w:rPr>
                        <w:rFonts w:ascii="Arial"/>
                        <w:color w:val="010202"/>
                        <w:w w:val="95"/>
                        <w:sz w:val="21"/>
                      </w:rPr>
                      <w:t>who</w:t>
                    </w:r>
                    <w:r>
                      <w:rPr>
                        <w:rFonts w:ascii="Arial"/>
                        <w:color w:val="010202"/>
                        <w:spacing w:val="14"/>
                        <w:w w:val="95"/>
                        <w:sz w:val="21"/>
                      </w:rPr>
                      <w:t> </w:t>
                    </w:r>
                    <w:r>
                      <w:rPr>
                        <w:rFonts w:ascii="Arial"/>
                        <w:color w:val="010202"/>
                        <w:w w:val="95"/>
                        <w:sz w:val="21"/>
                      </w:rPr>
                      <w:t>are</w:t>
                    </w:r>
                  </w:p>
                  <w:p>
                    <w:pPr>
                      <w:spacing w:before="18"/>
                      <w:ind w:left="0" w:right="0" w:firstLine="0"/>
                      <w:jc w:val="left"/>
                      <w:rPr>
                        <w:rFonts w:ascii="Arial"/>
                        <w:sz w:val="21"/>
                      </w:rPr>
                    </w:pPr>
                    <w:r>
                      <w:rPr>
                        <w:rFonts w:ascii="Arial"/>
                        <w:color w:val="010202"/>
                        <w:spacing w:val="-2"/>
                        <w:sz w:val="21"/>
                      </w:rPr>
                      <w:t>experiencing</w:t>
                    </w:r>
                    <w:r>
                      <w:rPr>
                        <w:rFonts w:ascii="Arial"/>
                        <w:color w:val="010202"/>
                        <w:spacing w:val="-13"/>
                        <w:sz w:val="21"/>
                      </w:rPr>
                      <w:t> </w:t>
                    </w:r>
                    <w:r>
                      <w:rPr>
                        <w:rFonts w:ascii="Arial"/>
                        <w:color w:val="010202"/>
                        <w:spacing w:val="-2"/>
                        <w:sz w:val="21"/>
                      </w:rPr>
                      <w:t>unstable</w:t>
                    </w:r>
                    <w:r>
                      <w:rPr>
                        <w:rFonts w:ascii="Arial"/>
                        <w:color w:val="010202"/>
                        <w:spacing w:val="-13"/>
                        <w:sz w:val="21"/>
                      </w:rPr>
                      <w:t> </w:t>
                    </w:r>
                    <w:r>
                      <w:rPr>
                        <w:rFonts w:ascii="Arial"/>
                        <w:color w:val="010202"/>
                        <w:spacing w:val="-2"/>
                        <w:sz w:val="21"/>
                      </w:rPr>
                      <w:t>housing</w:t>
                    </w:r>
                    <w:r>
                      <w:rPr>
                        <w:rFonts w:ascii="Arial"/>
                        <w:color w:val="010202"/>
                        <w:spacing w:val="-12"/>
                        <w:sz w:val="21"/>
                      </w:rPr>
                      <w:t> </w:t>
                    </w:r>
                    <w:r>
                      <w:rPr>
                        <w:rFonts w:ascii="Arial"/>
                        <w:color w:val="010202"/>
                        <w:spacing w:val="-2"/>
                        <w:sz w:val="21"/>
                      </w:rPr>
                      <w:t>or</w:t>
                    </w:r>
                    <w:r>
                      <w:rPr>
                        <w:rFonts w:ascii="Arial"/>
                        <w:color w:val="010202"/>
                        <w:spacing w:val="-13"/>
                        <w:sz w:val="21"/>
                      </w:rPr>
                      <w:t> </w:t>
                    </w:r>
                    <w:r>
                      <w:rPr>
                        <w:rFonts w:ascii="Arial"/>
                        <w:color w:val="010202"/>
                        <w:spacing w:val="-1"/>
                        <w:sz w:val="21"/>
                      </w:rPr>
                      <w:t>homelessnes</w:t>
                    </w:r>
                  </w:p>
                  <w:p>
                    <w:pPr>
                      <w:spacing w:before="165"/>
                      <w:ind w:left="0" w:right="0" w:firstLine="0"/>
                      <w:jc w:val="left"/>
                      <w:rPr>
                        <w:rFonts w:ascii="Arial Black"/>
                        <w:sz w:val="21"/>
                      </w:rPr>
                    </w:pPr>
                    <w:r>
                      <w:rPr>
                        <w:rFonts w:ascii="Arial Black"/>
                        <w:color w:val="CE384B"/>
                        <w:sz w:val="21"/>
                      </w:rPr>
                      <w:t>Related</w:t>
                    </w:r>
                    <w:r>
                      <w:rPr>
                        <w:rFonts w:ascii="Arial Black"/>
                        <w:color w:val="CE384B"/>
                        <w:spacing w:val="-8"/>
                        <w:sz w:val="21"/>
                      </w:rPr>
                      <w:t> </w:t>
                    </w:r>
                    <w:r>
                      <w:rPr>
                        <w:rFonts w:ascii="Arial Black"/>
                        <w:color w:val="CE384B"/>
                        <w:sz w:val="21"/>
                      </w:rPr>
                      <w:t>Resources</w:t>
                    </w:r>
                  </w:p>
                </w:txbxContent>
              </v:textbox>
              <w10:wrap type="none"/>
            </v:shape>
            <v:shape style="position:absolute;left:180;top:4166;width:125;height:696" type="#_x0000_t202" id="docshape166" filled="false" stroked="false">
              <v:textbox inset="0,0,0,0">
                <w:txbxContent>
                  <w:p>
                    <w:pPr>
                      <w:spacing w:line="253" w:lineRule="exact" w:before="0"/>
                      <w:ind w:left="0" w:right="0" w:firstLine="0"/>
                      <w:jc w:val="left"/>
                      <w:rPr>
                        <w:rFonts w:ascii="Century Gothic" w:hAnsi="Century Gothic"/>
                        <w:sz w:val="21"/>
                      </w:rPr>
                    </w:pPr>
                    <w:r>
                      <w:rPr>
                        <w:rFonts w:ascii="Century Gothic" w:hAnsi="Century Gothic"/>
                        <w:color w:val="010202"/>
                        <w:w w:val="82"/>
                        <w:sz w:val="21"/>
                      </w:rPr>
                      <w:t>•</w:t>
                    </w:r>
                  </w:p>
                  <w:p>
                    <w:pPr>
                      <w:spacing w:before="182"/>
                      <w:ind w:left="0" w:right="0" w:firstLine="0"/>
                      <w:jc w:val="left"/>
                      <w:rPr>
                        <w:rFonts w:ascii="Century Gothic" w:hAnsi="Century Gothic"/>
                        <w:sz w:val="21"/>
                      </w:rPr>
                    </w:pPr>
                    <w:r>
                      <w:rPr>
                        <w:rFonts w:ascii="Century Gothic" w:hAnsi="Century Gothic"/>
                        <w:color w:val="010202"/>
                        <w:w w:val="82"/>
                        <w:sz w:val="21"/>
                      </w:rPr>
                      <w:t>•</w:t>
                    </w:r>
                  </w:p>
                </w:txbxContent>
              </v:textbox>
              <w10:wrap type="none"/>
            </v:shape>
            <v:shape style="position:absolute;left:539;top:4182;width:1444;height:235" type="#_x0000_t202" id="docshape167" filled="false" stroked="false">
              <v:textbox inset="0,0,0,0">
                <w:txbxContent>
                  <w:p>
                    <w:pPr>
                      <w:spacing w:line="235" w:lineRule="exact" w:before="0"/>
                      <w:ind w:left="0" w:right="0" w:firstLine="0"/>
                      <w:jc w:val="left"/>
                      <w:rPr>
                        <w:rFonts w:ascii="Arial"/>
                        <w:sz w:val="21"/>
                      </w:rPr>
                    </w:pPr>
                    <w:hyperlink r:id="rId319">
                      <w:r>
                        <w:rPr>
                          <w:rFonts w:ascii="Arial"/>
                          <w:color w:val="3953A4"/>
                          <w:sz w:val="21"/>
                          <w:u w:val="single" w:color="3953A4"/>
                        </w:rPr>
                        <w:t>Project</w:t>
                      </w:r>
                      <w:r>
                        <w:rPr>
                          <w:rFonts w:ascii="Arial"/>
                          <w:color w:val="3953A4"/>
                          <w:spacing w:val="-1"/>
                          <w:sz w:val="21"/>
                          <w:u w:val="single" w:color="3953A4"/>
                        </w:rPr>
                        <w:t> </w:t>
                      </w:r>
                      <w:r>
                        <w:rPr>
                          <w:rFonts w:ascii="Arial"/>
                          <w:color w:val="3953A4"/>
                          <w:sz w:val="21"/>
                          <w:u w:val="single" w:color="3953A4"/>
                        </w:rPr>
                        <w:t>website</w:t>
                      </w:r>
                    </w:hyperlink>
                  </w:p>
                </w:txbxContent>
              </v:textbox>
              <w10:wrap type="none"/>
            </v:shape>
            <v:shape style="position:absolute;left:539;top:4622;width:4113;height:495" type="#_x0000_t202" id="docshape168" filled="false" stroked="false">
              <v:textbox inset="0,0,0,0">
                <w:txbxContent>
                  <w:p>
                    <w:pPr>
                      <w:spacing w:line="259" w:lineRule="auto" w:before="0"/>
                      <w:ind w:left="0" w:right="0" w:firstLine="0"/>
                      <w:jc w:val="left"/>
                      <w:rPr>
                        <w:rFonts w:ascii="Arial" w:hAnsi="Arial"/>
                        <w:sz w:val="21"/>
                      </w:rPr>
                    </w:pPr>
                    <w:hyperlink r:id="rId320">
                      <w:r>
                        <w:rPr>
                          <w:rFonts w:ascii="Arial" w:hAnsi="Arial"/>
                          <w:color w:val="3953A4"/>
                          <w:sz w:val="21"/>
                          <w:u w:val="single" w:color="3953A4"/>
                        </w:rPr>
                        <w:t>Introduction to Citywide’s “Para-TeleHealth”</w:t>
                      </w:r>
                    </w:hyperlink>
                    <w:r>
                      <w:rPr>
                        <w:rFonts w:ascii="Arial" w:hAnsi="Arial"/>
                        <w:color w:val="3953A4"/>
                        <w:spacing w:val="-56"/>
                        <w:sz w:val="21"/>
                      </w:rPr>
                      <w:t> </w:t>
                    </w:r>
                    <w:hyperlink r:id="rId320">
                      <w:r>
                        <w:rPr>
                          <w:rFonts w:ascii="Arial" w:hAnsi="Arial"/>
                          <w:color w:val="3953A4"/>
                          <w:sz w:val="21"/>
                          <w:u w:val="single" w:color="3953A4"/>
                        </w:rPr>
                        <w:t>Approach</w:t>
                      </w:r>
                    </w:hyperlink>
                  </w:p>
                </w:txbxContent>
              </v:textbox>
              <w10:wrap type="none"/>
            </v:shape>
            <v:shape style="position:absolute;left:180;top:5306;width:4142;height:511" type="#_x0000_t202" id="docshape169" filled="false" stroked="false">
              <v:textbox inset="0,0,0,0">
                <w:txbxContent>
                  <w:p>
                    <w:pPr>
                      <w:numPr>
                        <w:ilvl w:val="0"/>
                        <w:numId w:val="64"/>
                      </w:numPr>
                      <w:tabs>
                        <w:tab w:pos="359" w:val="left" w:leader="none"/>
                        <w:tab w:pos="360" w:val="left" w:leader="none"/>
                      </w:tabs>
                      <w:spacing w:line="253" w:lineRule="exact" w:before="0"/>
                      <w:ind w:left="359" w:right="0" w:hanging="360"/>
                      <w:jc w:val="left"/>
                      <w:rPr>
                        <w:rFonts w:ascii="Arial" w:hAnsi="Arial"/>
                        <w:sz w:val="21"/>
                      </w:rPr>
                    </w:pPr>
                    <w:hyperlink r:id="rId321">
                      <w:r>
                        <w:rPr>
                          <w:rFonts w:ascii="Arial" w:hAnsi="Arial"/>
                          <w:color w:val="3953A4"/>
                          <w:sz w:val="21"/>
                          <w:u w:val="single" w:color="3953A4"/>
                        </w:rPr>
                        <w:t>Profile</w:t>
                      </w:r>
                      <w:r>
                        <w:rPr>
                          <w:rFonts w:ascii="Arial" w:hAnsi="Arial"/>
                          <w:color w:val="3953A4"/>
                          <w:spacing w:val="-10"/>
                          <w:sz w:val="21"/>
                          <w:u w:val="single" w:color="3953A4"/>
                        </w:rPr>
                        <w:t> </w:t>
                      </w:r>
                      <w:r>
                        <w:rPr>
                          <w:rFonts w:ascii="Arial" w:hAnsi="Arial"/>
                          <w:color w:val="3953A4"/>
                          <w:sz w:val="21"/>
                          <w:u w:val="single" w:color="3953A4"/>
                        </w:rPr>
                        <w:t>on</w:t>
                      </w:r>
                      <w:r>
                        <w:rPr>
                          <w:rFonts w:ascii="Arial" w:hAnsi="Arial"/>
                          <w:color w:val="3953A4"/>
                          <w:spacing w:val="-11"/>
                          <w:sz w:val="21"/>
                          <w:u w:val="single" w:color="3953A4"/>
                        </w:rPr>
                        <w:t> </w:t>
                      </w:r>
                      <w:r>
                        <w:rPr>
                          <w:rFonts w:ascii="Arial" w:hAnsi="Arial"/>
                          <w:color w:val="3953A4"/>
                          <w:sz w:val="21"/>
                          <w:u w:val="single" w:color="3953A4"/>
                        </w:rPr>
                        <w:t>Citywide’s</w:t>
                      </w:r>
                      <w:r>
                        <w:rPr>
                          <w:rFonts w:ascii="Arial" w:hAnsi="Arial"/>
                          <w:color w:val="3953A4"/>
                          <w:spacing w:val="-13"/>
                          <w:sz w:val="21"/>
                          <w:u w:val="single" w:color="3953A4"/>
                        </w:rPr>
                        <w:t> </w:t>
                      </w:r>
                      <w:r>
                        <w:rPr>
                          <w:rFonts w:ascii="Arial" w:hAnsi="Arial"/>
                          <w:color w:val="3953A4"/>
                          <w:sz w:val="21"/>
                          <w:u w:val="single" w:color="3953A4"/>
                        </w:rPr>
                        <w:t>Telehealth</w:t>
                      </w:r>
                      <w:r>
                        <w:rPr>
                          <w:rFonts w:ascii="Arial" w:hAnsi="Arial"/>
                          <w:color w:val="3953A4"/>
                          <w:spacing w:val="-11"/>
                          <w:sz w:val="21"/>
                          <w:u w:val="single" w:color="3953A4"/>
                        </w:rPr>
                        <w:t> </w:t>
                      </w:r>
                      <w:r>
                        <w:rPr>
                          <w:rFonts w:ascii="Arial" w:hAnsi="Arial"/>
                          <w:color w:val="3953A4"/>
                          <w:sz w:val="21"/>
                          <w:u w:val="single" w:color="3953A4"/>
                        </w:rPr>
                        <w:t>Services</w:t>
                      </w:r>
                    </w:hyperlink>
                  </w:p>
                  <w:p>
                    <w:pPr>
                      <w:spacing w:before="16"/>
                      <w:ind w:left="359" w:right="0" w:firstLine="0"/>
                      <w:jc w:val="left"/>
                      <w:rPr>
                        <w:rFonts w:ascii="Arial"/>
                        <w:sz w:val="21"/>
                      </w:rPr>
                    </w:pPr>
                    <w:hyperlink r:id="rId321">
                      <w:r>
                        <w:rPr>
                          <w:rFonts w:ascii="Arial"/>
                          <w:color w:val="3953A4"/>
                          <w:sz w:val="21"/>
                          <w:u w:val="single" w:color="3953A4"/>
                        </w:rPr>
                        <w:t>during</w:t>
                      </w:r>
                      <w:r>
                        <w:rPr>
                          <w:rFonts w:ascii="Arial"/>
                          <w:color w:val="3953A4"/>
                          <w:spacing w:val="-1"/>
                          <w:sz w:val="21"/>
                          <w:u w:val="single" w:color="3953A4"/>
                        </w:rPr>
                        <w:t> </w:t>
                      </w:r>
                      <w:r>
                        <w:rPr>
                          <w:rFonts w:ascii="Arial"/>
                          <w:color w:val="3953A4"/>
                          <w:sz w:val="21"/>
                          <w:u w:val="single" w:color="3953A4"/>
                        </w:rPr>
                        <w:t>COVID-19</w:t>
                      </w:r>
                    </w:hyperlink>
                  </w:p>
                </w:txbxContent>
              </v:textbox>
              <w10:wrap type="none"/>
            </v:shape>
          </v:group>
        </w:pict>
      </w:r>
      <w:r>
        <w:rPr>
          <w:sz w:val="20"/>
        </w:rPr>
      </w:r>
    </w:p>
    <w:p>
      <w:pPr>
        <w:pStyle w:val="BodyText"/>
        <w:rPr>
          <w:sz w:val="24"/>
        </w:rPr>
      </w:pPr>
    </w:p>
    <w:p>
      <w:pPr>
        <w:pStyle w:val="BodyText"/>
        <w:spacing w:line="266" w:lineRule="auto" w:before="143"/>
        <w:ind w:left="119" w:right="1041"/>
      </w:pPr>
      <w:r>
        <w:rPr>
          <w:color w:val="231F20"/>
        </w:rPr>
        <w:t>therapies, including cognitive behavioral therapy</w:t>
      </w:r>
      <w:r>
        <w:rPr>
          <w:color w:val="231F20"/>
          <w:spacing w:val="1"/>
        </w:rPr>
        <w:t> </w:t>
      </w:r>
      <w:r>
        <w:rPr>
          <w:color w:val="231F20"/>
        </w:rPr>
        <w:t>(CBT), CBT for psychosis, Behavioral Activation</w:t>
      </w:r>
      <w:r>
        <w:rPr>
          <w:color w:val="231F20"/>
          <w:spacing w:val="1"/>
        </w:rPr>
        <w:t> </w:t>
      </w:r>
      <w:r>
        <w:rPr>
          <w:color w:val="231F20"/>
        </w:rPr>
        <w:t>(BA)</w:t>
      </w:r>
      <w:r>
        <w:rPr>
          <w:color w:val="231F20"/>
          <w:spacing w:val="-6"/>
        </w:rPr>
        <w:t> </w:t>
      </w:r>
      <w:r>
        <w:rPr>
          <w:color w:val="231F20"/>
        </w:rPr>
        <w:t>Therapy,</w:t>
      </w:r>
      <w:r>
        <w:rPr>
          <w:color w:val="231F20"/>
          <w:spacing w:val="-2"/>
        </w:rPr>
        <w:t> </w:t>
      </w:r>
      <w:r>
        <w:rPr>
          <w:color w:val="231F20"/>
        </w:rPr>
        <w:t>Cognitive</w:t>
      </w:r>
      <w:r>
        <w:rPr>
          <w:color w:val="231F20"/>
          <w:spacing w:val="-2"/>
        </w:rPr>
        <w:t> </w:t>
      </w:r>
      <w:r>
        <w:rPr>
          <w:color w:val="231F20"/>
        </w:rPr>
        <w:t>processing</w:t>
      </w:r>
      <w:r>
        <w:rPr>
          <w:color w:val="231F20"/>
          <w:spacing w:val="-2"/>
        </w:rPr>
        <w:t> </w:t>
      </w:r>
      <w:r>
        <w:rPr>
          <w:color w:val="231F20"/>
        </w:rPr>
        <w:t>therapy</w:t>
      </w:r>
      <w:r>
        <w:rPr>
          <w:color w:val="231F20"/>
          <w:spacing w:val="-2"/>
        </w:rPr>
        <w:t> </w:t>
      </w:r>
      <w:r>
        <w:rPr>
          <w:color w:val="231F20"/>
        </w:rPr>
        <w:t>(CPT),</w:t>
      </w:r>
    </w:p>
    <w:p>
      <w:pPr>
        <w:pStyle w:val="BodyText"/>
        <w:spacing w:line="266" w:lineRule="auto"/>
        <w:ind w:left="119" w:right="725"/>
      </w:pPr>
      <w:r>
        <w:rPr>
          <w:color w:val="231F20"/>
        </w:rPr>
        <w:t>Dialectical Behavior Therapy (DBT), and Acceptance</w:t>
      </w:r>
      <w:r>
        <w:rPr>
          <w:color w:val="231F20"/>
          <w:spacing w:val="1"/>
        </w:rPr>
        <w:t> </w:t>
      </w:r>
      <w:r>
        <w:rPr>
          <w:color w:val="231F20"/>
        </w:rPr>
        <w:t>and</w:t>
      </w:r>
      <w:r>
        <w:rPr>
          <w:color w:val="231F20"/>
          <w:spacing w:val="-2"/>
        </w:rPr>
        <w:t> </w:t>
      </w:r>
      <w:r>
        <w:rPr>
          <w:color w:val="231F20"/>
        </w:rPr>
        <w:t>Commitment</w:t>
      </w:r>
      <w:r>
        <w:rPr>
          <w:color w:val="231F20"/>
          <w:spacing w:val="-7"/>
        </w:rPr>
        <w:t> </w:t>
      </w:r>
      <w:r>
        <w:rPr>
          <w:color w:val="231F20"/>
        </w:rPr>
        <w:t>Therapy</w:t>
      </w:r>
      <w:r>
        <w:rPr>
          <w:color w:val="231F20"/>
          <w:spacing w:val="-2"/>
        </w:rPr>
        <w:t> </w:t>
      </w:r>
      <w:r>
        <w:rPr>
          <w:color w:val="231F20"/>
        </w:rPr>
        <w:t>(ACT).</w:t>
      </w:r>
      <w:r>
        <w:rPr>
          <w:color w:val="231F20"/>
          <w:spacing w:val="-2"/>
        </w:rPr>
        <w:t> </w:t>
      </w:r>
      <w:r>
        <w:rPr>
          <w:color w:val="231F20"/>
        </w:rPr>
        <w:t>Due</w:t>
      </w:r>
      <w:r>
        <w:rPr>
          <w:color w:val="231F20"/>
          <w:spacing w:val="-3"/>
        </w:rPr>
        <w:t> </w:t>
      </w:r>
      <w:r>
        <w:rPr>
          <w:color w:val="231F20"/>
        </w:rPr>
        <w:t>to</w:t>
      </w:r>
      <w:r>
        <w:rPr>
          <w:color w:val="231F20"/>
          <w:spacing w:val="-2"/>
        </w:rPr>
        <w:t> </w:t>
      </w:r>
      <w:r>
        <w:rPr>
          <w:color w:val="231F20"/>
        </w:rPr>
        <w:t>the</w:t>
      </w:r>
      <w:r>
        <w:rPr>
          <w:color w:val="231F20"/>
          <w:spacing w:val="-2"/>
        </w:rPr>
        <w:t> </w:t>
      </w:r>
      <w:r>
        <w:rPr>
          <w:color w:val="231F20"/>
        </w:rPr>
        <w:t>COVID-19</w:t>
      </w:r>
      <w:r>
        <w:rPr>
          <w:color w:val="231F20"/>
          <w:spacing w:val="-52"/>
        </w:rPr>
        <w:t> </w:t>
      </w:r>
      <w:r>
        <w:rPr>
          <w:color w:val="231F20"/>
        </w:rPr>
        <w:t>pandemic,</w:t>
      </w:r>
      <w:r>
        <w:rPr>
          <w:color w:val="231F20"/>
          <w:spacing w:val="-1"/>
        </w:rPr>
        <w:t> </w:t>
      </w:r>
      <w:r>
        <w:rPr>
          <w:color w:val="231F20"/>
        </w:rPr>
        <w:t>Citywide shifted some of its services</w:t>
      </w:r>
    </w:p>
    <w:p>
      <w:pPr>
        <w:pStyle w:val="BodyText"/>
        <w:spacing w:line="266" w:lineRule="auto"/>
        <w:ind w:left="119" w:right="1041"/>
      </w:pPr>
      <w:r>
        <w:rPr>
          <w:color w:val="231F20"/>
        </w:rPr>
        <w:t>to telehealth, including case management and care</w:t>
      </w:r>
      <w:r>
        <w:rPr>
          <w:color w:val="231F20"/>
          <w:spacing w:val="1"/>
        </w:rPr>
        <w:t> </w:t>
      </w:r>
      <w:r>
        <w:rPr>
          <w:color w:val="231F20"/>
        </w:rPr>
        <w:t>coordination by phone and “Para-Telehealth” video</w:t>
      </w:r>
      <w:r>
        <w:rPr>
          <w:color w:val="231F20"/>
          <w:spacing w:val="1"/>
        </w:rPr>
        <w:t> </w:t>
      </w:r>
      <w:r>
        <w:rPr>
          <w:color w:val="231F20"/>
        </w:rPr>
        <w:t>sessions (further described below), while maintaining</w:t>
      </w:r>
      <w:r>
        <w:rPr>
          <w:color w:val="231F20"/>
          <w:spacing w:val="-53"/>
        </w:rPr>
        <w:t> </w:t>
      </w:r>
      <w:r>
        <w:rPr>
          <w:color w:val="231F20"/>
        </w:rPr>
        <w:t>outreach-based care to those unable to participate in</w:t>
      </w:r>
      <w:r>
        <w:rPr>
          <w:color w:val="231F20"/>
          <w:spacing w:val="1"/>
        </w:rPr>
        <w:t> </w:t>
      </w:r>
      <w:r>
        <w:rPr>
          <w:color w:val="231F20"/>
        </w:rPr>
        <w:t>telehealth.</w:t>
      </w:r>
    </w:p>
    <w:p>
      <w:pPr>
        <w:pStyle w:val="Heading5"/>
        <w:spacing w:before="171"/>
        <w:ind w:left="119"/>
      </w:pPr>
      <w:r>
        <w:rPr>
          <w:color w:val="CE384B"/>
        </w:rPr>
        <w:t>Client Population</w:t>
      </w:r>
    </w:p>
    <w:p>
      <w:pPr>
        <w:pStyle w:val="BodyText"/>
        <w:spacing w:line="266" w:lineRule="auto" w:before="118"/>
        <w:ind w:left="119" w:right="969"/>
      </w:pPr>
      <w:r>
        <w:rPr>
          <w:color w:val="231F20"/>
        </w:rPr>
        <w:t>Citywide serves approximately 1,500 clients at any</w:t>
      </w:r>
      <w:r>
        <w:rPr>
          <w:color w:val="231F20"/>
          <w:spacing w:val="1"/>
        </w:rPr>
        <w:t> </w:t>
      </w:r>
      <w:r>
        <w:rPr>
          <w:color w:val="231F20"/>
        </w:rPr>
        <w:t>given</w:t>
      </w:r>
      <w:r>
        <w:rPr>
          <w:color w:val="231F20"/>
          <w:spacing w:val="7"/>
        </w:rPr>
        <w:t> </w:t>
      </w:r>
      <w:r>
        <w:rPr>
          <w:color w:val="231F20"/>
        </w:rPr>
        <w:t>time.</w:t>
      </w:r>
      <w:r>
        <w:rPr>
          <w:color w:val="231F20"/>
          <w:spacing w:val="8"/>
        </w:rPr>
        <w:t> </w:t>
      </w:r>
      <w:r>
        <w:rPr>
          <w:color w:val="231F20"/>
        </w:rPr>
        <w:t>Citywide</w:t>
      </w:r>
      <w:r>
        <w:rPr>
          <w:color w:val="231F20"/>
          <w:spacing w:val="7"/>
        </w:rPr>
        <w:t> </w:t>
      </w:r>
      <w:r>
        <w:rPr>
          <w:color w:val="231F20"/>
        </w:rPr>
        <w:t>clients</w:t>
      </w:r>
      <w:r>
        <w:rPr>
          <w:color w:val="231F20"/>
          <w:spacing w:val="8"/>
        </w:rPr>
        <w:t> </w:t>
      </w:r>
      <w:r>
        <w:rPr>
          <w:color w:val="231F20"/>
        </w:rPr>
        <w:t>primarily</w:t>
      </w:r>
      <w:r>
        <w:rPr>
          <w:color w:val="231F20"/>
          <w:spacing w:val="7"/>
        </w:rPr>
        <w:t> </w:t>
      </w:r>
      <w:r>
        <w:rPr>
          <w:color w:val="231F20"/>
        </w:rPr>
        <w:t>experience</w:t>
      </w:r>
      <w:r>
        <w:rPr>
          <w:color w:val="231F20"/>
          <w:spacing w:val="1"/>
        </w:rPr>
        <w:t> </w:t>
      </w:r>
      <w:r>
        <w:rPr>
          <w:color w:val="231F20"/>
        </w:rPr>
        <w:t>SMI</w:t>
      </w:r>
      <w:r>
        <w:rPr>
          <w:color w:val="231F20"/>
          <w:spacing w:val="-11"/>
        </w:rPr>
        <w:t> </w:t>
      </w:r>
      <w:r>
        <w:rPr>
          <w:color w:val="231F20"/>
        </w:rPr>
        <w:t>(e.g.,</w:t>
      </w:r>
      <w:r>
        <w:rPr>
          <w:color w:val="231F20"/>
          <w:spacing w:val="-9"/>
        </w:rPr>
        <w:t> </w:t>
      </w:r>
      <w:r>
        <w:rPr>
          <w:color w:val="231F20"/>
        </w:rPr>
        <w:t>schizophrenia,</w:t>
      </w:r>
      <w:r>
        <w:rPr>
          <w:color w:val="231F20"/>
          <w:spacing w:val="-11"/>
        </w:rPr>
        <w:t> </w:t>
      </w:r>
      <w:r>
        <w:rPr>
          <w:color w:val="231F20"/>
        </w:rPr>
        <w:t>schizoaffective</w:t>
      </w:r>
      <w:r>
        <w:rPr>
          <w:color w:val="231F20"/>
          <w:spacing w:val="-10"/>
        </w:rPr>
        <w:t> </w:t>
      </w:r>
      <w:r>
        <w:rPr>
          <w:color w:val="231F20"/>
        </w:rPr>
        <w:t>disorder,</w:t>
      </w:r>
      <w:r>
        <w:rPr>
          <w:color w:val="231F20"/>
          <w:spacing w:val="-10"/>
        </w:rPr>
        <w:t> </w:t>
      </w:r>
      <w:r>
        <w:rPr>
          <w:color w:val="231F20"/>
        </w:rPr>
        <w:t>and</w:t>
      </w:r>
      <w:r>
        <w:rPr>
          <w:color w:val="231F20"/>
          <w:spacing w:val="-52"/>
        </w:rPr>
        <w:t> </w:t>
      </w:r>
      <w:r>
        <w:rPr>
          <w:color w:val="231F20"/>
        </w:rPr>
        <w:t>bipolar disorder), co-occurring SUD, and significant</w:t>
      </w:r>
      <w:r>
        <w:rPr>
          <w:color w:val="231F20"/>
          <w:spacing w:val="1"/>
        </w:rPr>
        <w:t> </w:t>
      </w:r>
      <w:r>
        <w:rPr>
          <w:color w:val="231F20"/>
        </w:rPr>
        <w:t>psychosocial challenges.</w:t>
      </w:r>
    </w:p>
    <w:p>
      <w:pPr>
        <w:spacing w:after="0" w:line="266" w:lineRule="auto"/>
        <w:sectPr>
          <w:type w:val="continuous"/>
          <w:pgSz w:w="12240" w:h="15840"/>
          <w:pgMar w:header="0" w:footer="666" w:top="1500" w:bottom="0" w:left="600" w:right="0"/>
          <w:cols w:num="2" w:equalWidth="0">
            <w:col w:w="5201" w:space="560"/>
            <w:col w:w="5879"/>
          </w:cols>
        </w:sectPr>
      </w:pPr>
    </w:p>
    <w:p>
      <w:pPr>
        <w:pStyle w:val="BodyText"/>
        <w:rPr>
          <w:sz w:val="20"/>
        </w:rPr>
      </w:pPr>
    </w:p>
    <w:p>
      <w:pPr>
        <w:pStyle w:val="BodyText"/>
        <w:rPr>
          <w:sz w:val="20"/>
        </w:rPr>
      </w:pPr>
    </w:p>
    <w:p>
      <w:pPr>
        <w:pStyle w:val="BodyText"/>
        <w:spacing w:before="3"/>
        <w:rPr>
          <w:sz w:val="26"/>
        </w:rPr>
      </w:pPr>
    </w:p>
    <w:p>
      <w:pPr>
        <w:spacing w:after="0"/>
        <w:rPr>
          <w:sz w:val="26"/>
        </w:rPr>
        <w:sectPr>
          <w:pgSz w:w="12240" w:h="15840"/>
          <w:pgMar w:header="0" w:footer="666" w:top="380" w:bottom="860" w:left="600" w:right="0"/>
        </w:sectPr>
      </w:pPr>
    </w:p>
    <w:p>
      <w:pPr>
        <w:pStyle w:val="BodyText"/>
        <w:spacing w:line="266" w:lineRule="auto" w:before="91"/>
        <w:ind w:left="120" w:right="98"/>
      </w:pPr>
      <w:r>
        <w:rPr>
          <w:color w:val="231F20"/>
        </w:rPr>
        <w:t>Most clients experience poverty, with approximately 90</w:t>
      </w:r>
      <w:r>
        <w:rPr>
          <w:color w:val="231F20"/>
          <w:spacing w:val="1"/>
        </w:rPr>
        <w:t> </w:t>
      </w:r>
      <w:r>
        <w:rPr>
          <w:color w:val="231F20"/>
        </w:rPr>
        <w:t>percent of clients subsisting on social security or county</w:t>
      </w:r>
      <w:r>
        <w:rPr>
          <w:color w:val="231F20"/>
          <w:spacing w:val="-52"/>
        </w:rPr>
        <w:t> </w:t>
      </w:r>
      <w:r>
        <w:rPr>
          <w:color w:val="231F20"/>
        </w:rPr>
        <w:t>general assistance. Most clients also experience unstable</w:t>
      </w:r>
      <w:r>
        <w:rPr>
          <w:color w:val="231F20"/>
          <w:spacing w:val="-52"/>
        </w:rPr>
        <w:t> </w:t>
      </w:r>
      <w:r>
        <w:rPr>
          <w:color w:val="231F20"/>
        </w:rPr>
        <w:t>housing and cycle in and out of homelessness, living in</w:t>
      </w:r>
      <w:r>
        <w:rPr>
          <w:color w:val="231F20"/>
          <w:spacing w:val="1"/>
        </w:rPr>
        <w:t> </w:t>
      </w:r>
      <w:r>
        <w:rPr>
          <w:color w:val="231F20"/>
        </w:rPr>
        <w:t>single-room occupancy hotels or shelters. Many clients</w:t>
      </w:r>
      <w:r>
        <w:rPr>
          <w:color w:val="231F20"/>
          <w:spacing w:val="1"/>
        </w:rPr>
        <w:t> </w:t>
      </w:r>
      <w:r>
        <w:rPr>
          <w:color w:val="231F20"/>
        </w:rPr>
        <w:t>have experienced extensive trauma from their housing</w:t>
      </w:r>
      <w:r>
        <w:rPr>
          <w:color w:val="231F20"/>
          <w:spacing w:val="1"/>
        </w:rPr>
        <w:t> </w:t>
      </w:r>
      <w:r>
        <w:rPr>
          <w:color w:val="231F20"/>
        </w:rPr>
        <w:t>instability and often persistent and lifelong encounters</w:t>
      </w:r>
      <w:r>
        <w:rPr>
          <w:color w:val="231F20"/>
          <w:spacing w:val="1"/>
        </w:rPr>
        <w:t> </w:t>
      </w:r>
      <w:r>
        <w:rPr>
          <w:color w:val="231F20"/>
        </w:rPr>
        <w:t>with child welfare</w:t>
      </w:r>
      <w:r>
        <w:rPr>
          <w:color w:val="231F20"/>
          <w:spacing w:val="-1"/>
        </w:rPr>
        <w:t> </w:t>
      </w:r>
      <w:r>
        <w:rPr>
          <w:color w:val="231F20"/>
        </w:rPr>
        <w:t>and justice system institutions.</w:t>
      </w:r>
    </w:p>
    <w:p>
      <w:pPr>
        <w:pStyle w:val="BodyText"/>
        <w:spacing w:line="266" w:lineRule="auto" w:before="174"/>
        <w:ind w:left="120" w:right="80"/>
      </w:pPr>
      <w:r>
        <w:rPr>
          <w:color w:val="231F20"/>
        </w:rPr>
        <w:t>Citywide clients are disproportionately racial minorities;</w:t>
      </w:r>
      <w:r>
        <w:rPr>
          <w:color w:val="231F20"/>
          <w:spacing w:val="-52"/>
        </w:rPr>
        <w:t> </w:t>
      </w:r>
      <w:r>
        <w:rPr>
          <w:color w:val="231F20"/>
        </w:rPr>
        <w:t>for instance, while San Francisco’s Black or African</w:t>
      </w:r>
      <w:r>
        <w:rPr>
          <w:color w:val="231F20"/>
          <w:spacing w:val="1"/>
        </w:rPr>
        <w:t> </w:t>
      </w:r>
      <w:r>
        <w:rPr>
          <w:color w:val="231F20"/>
        </w:rPr>
        <w:t>American population is below 5 percent, Citywide’s</w:t>
      </w:r>
      <w:r>
        <w:rPr>
          <w:color w:val="231F20"/>
          <w:spacing w:val="1"/>
        </w:rPr>
        <w:t> </w:t>
      </w:r>
      <w:r>
        <w:rPr>
          <w:color w:val="231F20"/>
        </w:rPr>
        <w:t>client population is 30 percent Black or African</w:t>
      </w:r>
      <w:r>
        <w:rPr>
          <w:color w:val="231F20"/>
          <w:spacing w:val="1"/>
        </w:rPr>
        <w:t> </w:t>
      </w:r>
      <w:r>
        <w:rPr>
          <w:color w:val="231F20"/>
        </w:rPr>
        <w:t>American.</w:t>
      </w:r>
    </w:p>
    <w:p>
      <w:pPr>
        <w:pStyle w:val="Heading5"/>
        <w:spacing w:before="176"/>
      </w:pPr>
      <w:r>
        <w:rPr>
          <w:color w:val="CE384B"/>
        </w:rPr>
        <w:t>Form(s)</w:t>
      </w:r>
      <w:r>
        <w:rPr>
          <w:color w:val="CE384B"/>
          <w:spacing w:val="-6"/>
        </w:rPr>
        <w:t> </w:t>
      </w:r>
      <w:r>
        <w:rPr>
          <w:color w:val="CE384B"/>
        </w:rPr>
        <w:t>of</w:t>
      </w:r>
      <w:r>
        <w:rPr>
          <w:color w:val="CE384B"/>
          <w:spacing w:val="-5"/>
        </w:rPr>
        <w:t> </w:t>
      </w:r>
      <w:r>
        <w:rPr>
          <w:color w:val="CE384B"/>
        </w:rPr>
        <w:t>Telehealth</w:t>
      </w:r>
    </w:p>
    <w:p>
      <w:pPr>
        <w:pStyle w:val="BodyText"/>
        <w:spacing w:line="266" w:lineRule="auto" w:before="118"/>
        <w:ind w:left="120" w:right="471"/>
      </w:pPr>
      <w:r>
        <w:rPr>
          <w:color w:val="231F20"/>
        </w:rPr>
        <w:t>Citywide uses synchronous forms of telehealth,</w:t>
      </w:r>
      <w:r>
        <w:rPr>
          <w:color w:val="231F20"/>
          <w:spacing w:val="1"/>
        </w:rPr>
        <w:t> </w:t>
      </w:r>
      <w:r>
        <w:rPr>
          <w:color w:val="231F20"/>
        </w:rPr>
        <w:t>including phone and video calls between clients and</w:t>
      </w:r>
      <w:r>
        <w:rPr>
          <w:color w:val="231F20"/>
          <w:spacing w:val="-52"/>
        </w:rPr>
        <w:t> </w:t>
      </w:r>
      <w:r>
        <w:rPr>
          <w:color w:val="231F20"/>
        </w:rPr>
        <w:t>providers.</w:t>
      </w:r>
    </w:p>
    <w:p>
      <w:pPr>
        <w:pStyle w:val="Heading5"/>
        <w:spacing w:before="176"/>
      </w:pPr>
      <w:r>
        <w:rPr>
          <w:color w:val="CE384B"/>
        </w:rPr>
        <w:t>Services</w:t>
      </w:r>
      <w:r>
        <w:rPr>
          <w:color w:val="CE384B"/>
          <w:spacing w:val="-6"/>
        </w:rPr>
        <w:t> </w:t>
      </w:r>
      <w:r>
        <w:rPr>
          <w:color w:val="CE384B"/>
        </w:rPr>
        <w:t>Offered</w:t>
      </w:r>
      <w:r>
        <w:rPr>
          <w:color w:val="CE384B"/>
          <w:spacing w:val="-6"/>
        </w:rPr>
        <w:t> </w:t>
      </w:r>
      <w:r>
        <w:rPr>
          <w:color w:val="CE384B"/>
        </w:rPr>
        <w:t>Through</w:t>
      </w:r>
      <w:r>
        <w:rPr>
          <w:color w:val="CE384B"/>
          <w:spacing w:val="-6"/>
        </w:rPr>
        <w:t> </w:t>
      </w:r>
      <w:r>
        <w:rPr>
          <w:color w:val="CE384B"/>
        </w:rPr>
        <w:t>Telehealth</w:t>
      </w:r>
      <w:r>
        <w:rPr>
          <w:color w:val="CE384B"/>
          <w:spacing w:val="-7"/>
        </w:rPr>
        <w:t> </w:t>
      </w:r>
      <w:r>
        <w:rPr>
          <w:color w:val="CE384B"/>
        </w:rPr>
        <w:t>Modalities</w:t>
      </w:r>
    </w:p>
    <w:p>
      <w:pPr>
        <w:pStyle w:val="BodyText"/>
        <w:spacing w:line="266" w:lineRule="auto" w:before="118"/>
        <w:ind w:left="120" w:right="117"/>
      </w:pPr>
      <w:r>
        <w:rPr>
          <w:color w:val="231F20"/>
        </w:rPr>
        <w:t>The COVID-19 pandemic was the catalyst for Citywide</w:t>
      </w:r>
      <w:r>
        <w:rPr>
          <w:color w:val="231F20"/>
          <w:spacing w:val="-52"/>
        </w:rPr>
        <w:t> </w:t>
      </w:r>
      <w:r>
        <w:rPr>
          <w:color w:val="231F20"/>
        </w:rPr>
        <w:t>to offer telehealth-delivered services. Prior to the</w:t>
      </w:r>
      <w:r>
        <w:rPr>
          <w:color w:val="231F20"/>
          <w:spacing w:val="1"/>
        </w:rPr>
        <w:t> </w:t>
      </w:r>
      <w:r>
        <w:rPr>
          <w:color w:val="231F20"/>
        </w:rPr>
        <w:t>pandemic, Citywide staff occasionally had synchronous</w:t>
      </w:r>
      <w:r>
        <w:rPr>
          <w:color w:val="231F20"/>
          <w:spacing w:val="-52"/>
        </w:rPr>
        <w:t> </w:t>
      </w:r>
      <w:r>
        <w:rPr>
          <w:color w:val="231F20"/>
        </w:rPr>
        <w:t>phone visits for care coordination and case management</w:t>
      </w:r>
      <w:r>
        <w:rPr>
          <w:color w:val="231F20"/>
          <w:spacing w:val="-52"/>
        </w:rPr>
        <w:t> </w:t>
      </w:r>
      <w:r>
        <w:rPr>
          <w:color w:val="231F20"/>
        </w:rPr>
        <w:t>but did not have video appointments with clients.</w:t>
      </w:r>
    </w:p>
    <w:p>
      <w:pPr>
        <w:pStyle w:val="Heading4"/>
        <w:spacing w:before="164"/>
        <w:rPr>
          <w:i/>
        </w:rPr>
      </w:pPr>
      <w:r>
        <w:rPr>
          <w:i/>
          <w:color w:val="1C384B"/>
        </w:rPr>
        <w:t>Case</w:t>
      </w:r>
      <w:r>
        <w:rPr>
          <w:i/>
          <w:color w:val="1C384B"/>
          <w:spacing w:val="-1"/>
        </w:rPr>
        <w:t> </w:t>
      </w:r>
      <w:r>
        <w:rPr>
          <w:i/>
          <w:color w:val="1C384B"/>
        </w:rPr>
        <w:t>Management and Care Coordination:</w:t>
      </w:r>
    </w:p>
    <w:p>
      <w:pPr>
        <w:pStyle w:val="BodyText"/>
        <w:spacing w:line="266" w:lineRule="auto" w:before="183"/>
        <w:ind w:left="120" w:right="146"/>
      </w:pPr>
      <w:r>
        <w:rPr>
          <w:color w:val="231F20"/>
        </w:rPr>
        <w:t>At</w:t>
      </w:r>
      <w:r>
        <w:rPr>
          <w:color w:val="231F20"/>
          <w:spacing w:val="1"/>
        </w:rPr>
        <w:t> </w:t>
      </w:r>
      <w:r>
        <w:rPr>
          <w:color w:val="231F20"/>
        </w:rPr>
        <w:t>the</w:t>
      </w:r>
      <w:r>
        <w:rPr>
          <w:color w:val="231F20"/>
          <w:spacing w:val="1"/>
        </w:rPr>
        <w:t> </w:t>
      </w:r>
      <w:r>
        <w:rPr>
          <w:color w:val="231F20"/>
        </w:rPr>
        <w:t>beginning</w:t>
      </w:r>
      <w:r>
        <w:rPr>
          <w:color w:val="231F20"/>
          <w:spacing w:val="2"/>
        </w:rPr>
        <w:t> </w:t>
      </w:r>
      <w:r>
        <w:rPr>
          <w:color w:val="231F20"/>
        </w:rPr>
        <w:t>of</w:t>
      </w:r>
      <w:r>
        <w:rPr>
          <w:color w:val="231F20"/>
          <w:spacing w:val="1"/>
        </w:rPr>
        <w:t> </w:t>
      </w:r>
      <w:r>
        <w:rPr>
          <w:color w:val="231F20"/>
        </w:rPr>
        <w:t>the</w:t>
      </w:r>
      <w:r>
        <w:rPr>
          <w:color w:val="231F20"/>
          <w:spacing w:val="1"/>
        </w:rPr>
        <w:t> </w:t>
      </w:r>
      <w:r>
        <w:rPr>
          <w:color w:val="231F20"/>
        </w:rPr>
        <w:t>pandemic,</w:t>
      </w:r>
      <w:r>
        <w:rPr>
          <w:color w:val="231F20"/>
          <w:spacing w:val="2"/>
        </w:rPr>
        <w:t> </w:t>
      </w:r>
      <w:r>
        <w:rPr>
          <w:color w:val="231F20"/>
        </w:rPr>
        <w:t>Citywide</w:t>
      </w:r>
      <w:r>
        <w:rPr>
          <w:color w:val="231F20"/>
          <w:spacing w:val="1"/>
        </w:rPr>
        <w:t> </w:t>
      </w:r>
      <w:r>
        <w:rPr>
          <w:color w:val="231F20"/>
        </w:rPr>
        <w:t>conducted</w:t>
      </w:r>
      <w:r>
        <w:rPr>
          <w:color w:val="231F20"/>
          <w:spacing w:val="1"/>
        </w:rPr>
        <w:t> </w:t>
      </w:r>
      <w:r>
        <w:rPr>
          <w:color w:val="231F20"/>
        </w:rPr>
        <w:t>a survey of clients about their technology use and found</w:t>
      </w:r>
      <w:r>
        <w:rPr>
          <w:color w:val="231F20"/>
          <w:spacing w:val="-52"/>
        </w:rPr>
        <w:t> </w:t>
      </w:r>
      <w:r>
        <w:rPr>
          <w:color w:val="231F20"/>
        </w:rPr>
        <w:t>that only about one-third of their 1,500 clients owned a</w:t>
      </w:r>
    </w:p>
    <w:p>
      <w:pPr>
        <w:pStyle w:val="BodyText"/>
        <w:spacing w:line="266" w:lineRule="auto"/>
        <w:ind w:left="120" w:right="38"/>
      </w:pPr>
      <w:r>
        <w:rPr>
          <w:color w:val="231F20"/>
        </w:rPr>
        <w:t>cellphone.</w:t>
      </w:r>
      <w:r>
        <w:rPr>
          <w:color w:val="231F20"/>
          <w:spacing w:val="-11"/>
        </w:rPr>
        <w:t> </w:t>
      </w:r>
      <w:r>
        <w:rPr>
          <w:color w:val="231F20"/>
        </w:rPr>
        <w:t>With</w:t>
      </w:r>
      <w:r>
        <w:rPr>
          <w:color w:val="231F20"/>
          <w:spacing w:val="-7"/>
        </w:rPr>
        <w:t> </w:t>
      </w:r>
      <w:r>
        <w:rPr>
          <w:color w:val="231F20"/>
        </w:rPr>
        <w:t>a</w:t>
      </w:r>
      <w:r>
        <w:rPr>
          <w:color w:val="231F20"/>
          <w:spacing w:val="-8"/>
        </w:rPr>
        <w:t> </w:t>
      </w:r>
      <w:r>
        <w:rPr>
          <w:color w:val="231F20"/>
        </w:rPr>
        <w:t>donation</w:t>
      </w:r>
      <w:r>
        <w:rPr>
          <w:color w:val="231F20"/>
          <w:spacing w:val="-7"/>
        </w:rPr>
        <w:t> </w:t>
      </w:r>
      <w:r>
        <w:rPr>
          <w:color w:val="231F20"/>
        </w:rPr>
        <w:t>to</w:t>
      </w:r>
      <w:r>
        <w:rPr>
          <w:color w:val="231F20"/>
          <w:spacing w:val="-7"/>
        </w:rPr>
        <w:t> </w:t>
      </w:r>
      <w:r>
        <w:rPr>
          <w:color w:val="231F20"/>
        </w:rPr>
        <w:t>UCSF,</w:t>
      </w:r>
      <w:r>
        <w:rPr>
          <w:color w:val="231F20"/>
          <w:spacing w:val="-7"/>
        </w:rPr>
        <w:t> </w:t>
      </w:r>
      <w:r>
        <w:rPr>
          <w:color w:val="231F20"/>
        </w:rPr>
        <w:t>Citywide</w:t>
      </w:r>
      <w:r>
        <w:rPr>
          <w:color w:val="231F20"/>
          <w:spacing w:val="-7"/>
        </w:rPr>
        <w:t> </w:t>
      </w:r>
      <w:r>
        <w:rPr>
          <w:color w:val="231F20"/>
        </w:rPr>
        <w:t>purchased</w:t>
      </w:r>
      <w:r>
        <w:rPr>
          <w:color w:val="231F20"/>
          <w:spacing w:val="-52"/>
        </w:rPr>
        <w:t> </w:t>
      </w:r>
      <w:r>
        <w:rPr>
          <w:color w:val="231F20"/>
        </w:rPr>
        <w:t>and distributed 250 flip-phones to clients (including data</w:t>
      </w:r>
      <w:r>
        <w:rPr>
          <w:color w:val="231F20"/>
          <w:spacing w:val="-52"/>
        </w:rPr>
        <w:t> </w:t>
      </w:r>
      <w:r>
        <w:rPr>
          <w:color w:val="231F20"/>
        </w:rPr>
        <w:t>plans). When the pandemic forced Citywide’s clinic to</w:t>
      </w:r>
      <w:r>
        <w:rPr>
          <w:color w:val="231F20"/>
          <w:spacing w:val="1"/>
        </w:rPr>
        <w:t> </w:t>
      </w:r>
      <w:r>
        <w:rPr>
          <w:color w:val="231F20"/>
        </w:rPr>
        <w:t>close for indoor face-to-face contact, the phones allowed</w:t>
      </w:r>
      <w:r>
        <w:rPr>
          <w:color w:val="231F20"/>
          <w:spacing w:val="-52"/>
        </w:rPr>
        <w:t> </w:t>
      </w:r>
      <w:r>
        <w:rPr>
          <w:color w:val="231F20"/>
        </w:rPr>
        <w:t>clinicians to reach out and mitigate isolation for clients</w:t>
      </w:r>
      <w:r>
        <w:rPr>
          <w:color w:val="231F20"/>
          <w:spacing w:val="1"/>
        </w:rPr>
        <w:t> </w:t>
      </w:r>
      <w:r>
        <w:rPr>
          <w:color w:val="231F20"/>
        </w:rPr>
        <w:t>sheltering in place and enabled staff to coordinate street</w:t>
      </w:r>
      <w:r>
        <w:rPr>
          <w:color w:val="231F20"/>
          <w:spacing w:val="1"/>
        </w:rPr>
        <w:t> </w:t>
      </w:r>
      <w:r>
        <w:rPr>
          <w:color w:val="231F20"/>
        </w:rPr>
        <w:t>outreach to clients experiencing homelessness who,</w:t>
      </w:r>
      <w:r>
        <w:rPr>
          <w:color w:val="231F20"/>
          <w:spacing w:val="1"/>
        </w:rPr>
        <w:t> </w:t>
      </w:r>
      <w:r>
        <w:rPr>
          <w:color w:val="231F20"/>
        </w:rPr>
        <w:t>without a</w:t>
      </w:r>
      <w:r>
        <w:rPr>
          <w:color w:val="231F20"/>
          <w:spacing w:val="1"/>
        </w:rPr>
        <w:t> </w:t>
      </w:r>
      <w:r>
        <w:rPr>
          <w:color w:val="231F20"/>
        </w:rPr>
        <w:t>phone,</w:t>
      </w:r>
      <w:r>
        <w:rPr>
          <w:color w:val="231F20"/>
          <w:spacing w:val="1"/>
        </w:rPr>
        <w:t> </w:t>
      </w:r>
      <w:r>
        <w:rPr>
          <w:color w:val="231F20"/>
        </w:rPr>
        <w:t>would have</w:t>
      </w:r>
      <w:r>
        <w:rPr>
          <w:color w:val="231F20"/>
          <w:spacing w:val="1"/>
        </w:rPr>
        <w:t> </w:t>
      </w:r>
      <w:r>
        <w:rPr>
          <w:color w:val="231F20"/>
        </w:rPr>
        <w:t>been</w:t>
      </w:r>
      <w:r>
        <w:rPr>
          <w:color w:val="231F20"/>
          <w:spacing w:val="1"/>
        </w:rPr>
        <w:t> </w:t>
      </w:r>
      <w:r>
        <w:rPr>
          <w:color w:val="231F20"/>
        </w:rPr>
        <w:t>very</w:t>
      </w:r>
      <w:r>
        <w:rPr>
          <w:color w:val="231F20"/>
          <w:spacing w:val="1"/>
        </w:rPr>
        <w:t> </w:t>
      </w:r>
      <w:r>
        <w:rPr>
          <w:color w:val="231F20"/>
        </w:rPr>
        <w:t>difficult</w:t>
      </w:r>
      <w:r>
        <w:rPr>
          <w:color w:val="231F20"/>
          <w:spacing w:val="1"/>
        </w:rPr>
        <w:t> </w:t>
      </w:r>
      <w:r>
        <w:rPr>
          <w:color w:val="231F20"/>
        </w:rPr>
        <w:t>to</w:t>
      </w:r>
      <w:r>
        <w:rPr>
          <w:color w:val="231F20"/>
          <w:spacing w:val="1"/>
        </w:rPr>
        <w:t> </w:t>
      </w:r>
      <w:r>
        <w:rPr>
          <w:color w:val="231F20"/>
        </w:rPr>
        <w:t>find</w:t>
      </w:r>
      <w:r>
        <w:rPr>
          <w:color w:val="231F20"/>
          <w:spacing w:val="1"/>
        </w:rPr>
        <w:t> </w:t>
      </w:r>
      <w:r>
        <w:rPr>
          <w:color w:val="231F20"/>
        </w:rPr>
        <w:t>in the community. Using these phones, Citywide also</w:t>
      </w:r>
      <w:r>
        <w:rPr>
          <w:color w:val="231F20"/>
          <w:spacing w:val="1"/>
        </w:rPr>
        <w:t> </w:t>
      </w:r>
      <w:r>
        <w:rPr>
          <w:color w:val="231F20"/>
        </w:rPr>
        <w:t>continued the evidence-based behavioral therapies</w:t>
      </w:r>
      <w:r>
        <w:rPr>
          <w:color w:val="231F20"/>
          <w:spacing w:val="1"/>
        </w:rPr>
        <w:t> </w:t>
      </w:r>
      <w:r>
        <w:rPr>
          <w:color w:val="231F20"/>
        </w:rPr>
        <w:t>provided before the</w:t>
      </w:r>
      <w:r>
        <w:rPr>
          <w:color w:val="231F20"/>
          <w:spacing w:val="-1"/>
        </w:rPr>
        <w:t> </w:t>
      </w:r>
      <w:r>
        <w:rPr>
          <w:color w:val="231F20"/>
        </w:rPr>
        <w:t>pandemic, such as CBT</w:t>
      </w:r>
      <w:r>
        <w:rPr>
          <w:color w:val="231F20"/>
          <w:spacing w:val="-5"/>
        </w:rPr>
        <w:t> </w:t>
      </w:r>
      <w:r>
        <w:rPr>
          <w:color w:val="231F20"/>
        </w:rPr>
        <w:t>and BA,</w:t>
      </w:r>
    </w:p>
    <w:p>
      <w:pPr>
        <w:pStyle w:val="BodyText"/>
        <w:spacing w:line="266" w:lineRule="auto"/>
        <w:ind w:left="120" w:right="356"/>
      </w:pPr>
      <w:r>
        <w:rPr>
          <w:color w:val="231F20"/>
        </w:rPr>
        <w:t>to keep clients engaged in treatment (e.g., medication</w:t>
      </w:r>
      <w:r>
        <w:rPr>
          <w:color w:val="231F20"/>
          <w:spacing w:val="-52"/>
        </w:rPr>
        <w:t> </w:t>
      </w:r>
      <w:r>
        <w:rPr>
          <w:color w:val="231F20"/>
        </w:rPr>
        <w:t>adherence, symptom management, etc.) and support</w:t>
      </w:r>
      <w:r>
        <w:rPr>
          <w:color w:val="231F20"/>
          <w:spacing w:val="1"/>
        </w:rPr>
        <w:t> </w:t>
      </w:r>
      <w:r>
        <w:rPr>
          <w:color w:val="231F20"/>
        </w:rPr>
        <w:t>clients in their recovery process.</w:t>
      </w:r>
    </w:p>
    <w:p>
      <w:pPr>
        <w:pStyle w:val="Heading4"/>
        <w:spacing w:before="94"/>
        <w:rPr>
          <w:i/>
        </w:rPr>
      </w:pPr>
      <w:r>
        <w:rPr>
          <w:i w:val="0"/>
        </w:rPr>
        <w:br w:type="column"/>
      </w:r>
      <w:r>
        <w:rPr>
          <w:i/>
          <w:color w:val="1C384B"/>
          <w:spacing w:val="-1"/>
        </w:rPr>
        <w:t>“Para-Telehealth”</w:t>
      </w:r>
      <w:r>
        <w:rPr>
          <w:i/>
          <w:color w:val="1C384B"/>
          <w:spacing w:val="-6"/>
        </w:rPr>
        <w:t> </w:t>
      </w:r>
      <w:r>
        <w:rPr>
          <w:i/>
          <w:color w:val="1C384B"/>
        </w:rPr>
        <w:t>Program:</w:t>
      </w:r>
    </w:p>
    <w:p>
      <w:pPr>
        <w:pStyle w:val="BodyText"/>
        <w:spacing w:line="266" w:lineRule="auto" w:before="184"/>
        <w:ind w:left="120" w:right="850"/>
      </w:pPr>
      <w:r>
        <w:rPr>
          <w:color w:val="231F20"/>
        </w:rPr>
        <w:t>Despite the usefulness of phone contacts, it became</w:t>
      </w:r>
      <w:r>
        <w:rPr>
          <w:color w:val="231F20"/>
          <w:spacing w:val="1"/>
        </w:rPr>
        <w:t> </w:t>
      </w:r>
      <w:r>
        <w:rPr>
          <w:color w:val="231F20"/>
        </w:rPr>
        <w:t>clear a few months into the pandemic that some clients</w:t>
      </w:r>
      <w:r>
        <w:rPr>
          <w:color w:val="231F20"/>
          <w:spacing w:val="1"/>
        </w:rPr>
        <w:t> </w:t>
      </w:r>
      <w:r>
        <w:rPr>
          <w:color w:val="231F20"/>
        </w:rPr>
        <w:t>found phone contact to be insufficient. While clinicians</w:t>
      </w:r>
      <w:r>
        <w:rPr>
          <w:color w:val="231F20"/>
          <w:spacing w:val="-52"/>
        </w:rPr>
        <w:t> </w:t>
      </w:r>
      <w:r>
        <w:rPr>
          <w:color w:val="231F20"/>
        </w:rPr>
        <w:t>were also meeting with clients outdoors (e.g., on busy</w:t>
      </w:r>
      <w:r>
        <w:rPr>
          <w:color w:val="231F20"/>
          <w:spacing w:val="1"/>
        </w:rPr>
        <w:t> </w:t>
      </w:r>
      <w:r>
        <w:rPr>
          <w:color w:val="231F20"/>
        </w:rPr>
        <w:t>urban sidewalks) while wearing N-95 masks and face</w:t>
      </w:r>
      <w:r>
        <w:rPr>
          <w:color w:val="231F20"/>
          <w:spacing w:val="1"/>
        </w:rPr>
        <w:t> </w:t>
      </w:r>
      <w:r>
        <w:rPr>
          <w:color w:val="231F20"/>
        </w:rPr>
        <w:t>shields for short fifteen-minute appointments, clients</w:t>
      </w:r>
      <w:r>
        <w:rPr>
          <w:color w:val="231F20"/>
          <w:spacing w:val="1"/>
        </w:rPr>
        <w:t> </w:t>
      </w:r>
      <w:r>
        <w:rPr>
          <w:color w:val="231F20"/>
        </w:rPr>
        <w:t>were often unable to remain masked due to existing</w:t>
      </w:r>
      <w:r>
        <w:rPr>
          <w:color w:val="231F20"/>
          <w:spacing w:val="1"/>
        </w:rPr>
        <w:t> </w:t>
      </w:r>
      <w:r>
        <w:rPr>
          <w:color w:val="231F20"/>
        </w:rPr>
        <w:t>cognitive or behavioral issues and the encounters were</w:t>
      </w:r>
      <w:r>
        <w:rPr>
          <w:color w:val="231F20"/>
          <w:spacing w:val="1"/>
        </w:rPr>
        <w:t> </w:t>
      </w:r>
      <w:r>
        <w:rPr>
          <w:color w:val="231F20"/>
          <w:spacing w:val="-1"/>
        </w:rPr>
        <w:t>not therapeutic </w:t>
      </w:r>
      <w:r>
        <w:rPr>
          <w:color w:val="231F20"/>
        </w:rPr>
        <w:t>or private. As such, Citywide developed</w:t>
      </w:r>
      <w:r>
        <w:rPr>
          <w:color w:val="231F20"/>
          <w:spacing w:val="-52"/>
        </w:rPr>
        <w:t> </w:t>
      </w:r>
      <w:r>
        <w:rPr>
          <w:color w:val="231F20"/>
        </w:rPr>
        <w:t>a</w:t>
      </w:r>
      <w:r>
        <w:rPr>
          <w:color w:val="231F20"/>
          <w:spacing w:val="-2"/>
        </w:rPr>
        <w:t> </w:t>
      </w:r>
      <w:r>
        <w:rPr>
          <w:color w:val="231F20"/>
        </w:rPr>
        <w:t>new</w:t>
      </w:r>
      <w:r>
        <w:rPr>
          <w:color w:val="231F20"/>
          <w:spacing w:val="-1"/>
        </w:rPr>
        <w:t> </w:t>
      </w:r>
      <w:r>
        <w:rPr>
          <w:color w:val="231F20"/>
        </w:rPr>
        <w:t>appointment</w:t>
      </w:r>
      <w:r>
        <w:rPr>
          <w:color w:val="231F20"/>
          <w:spacing w:val="-1"/>
        </w:rPr>
        <w:t> </w:t>
      </w:r>
      <w:r>
        <w:rPr>
          <w:color w:val="231F20"/>
        </w:rPr>
        <w:t>type</w:t>
      </w:r>
      <w:r>
        <w:rPr>
          <w:color w:val="231F20"/>
          <w:spacing w:val="-1"/>
        </w:rPr>
        <w:t> </w:t>
      </w:r>
      <w:r>
        <w:rPr>
          <w:color w:val="231F20"/>
        </w:rPr>
        <w:t>called</w:t>
      </w:r>
      <w:r>
        <w:rPr>
          <w:color w:val="231F20"/>
          <w:spacing w:val="-1"/>
        </w:rPr>
        <w:t> </w:t>
      </w:r>
      <w:r>
        <w:rPr>
          <w:color w:val="231F20"/>
        </w:rPr>
        <w:t>“Para-Telehealth.”</w:t>
      </w:r>
    </w:p>
    <w:p>
      <w:pPr>
        <w:pStyle w:val="BodyText"/>
        <w:spacing w:line="266" w:lineRule="auto" w:before="172"/>
        <w:ind w:left="120" w:right="1224"/>
      </w:pPr>
      <w:r>
        <w:rPr>
          <w:color w:val="231F20"/>
        </w:rPr>
        <w:t>Through “Para-Telehealth,” Citywide reopened its</w:t>
      </w:r>
      <w:r>
        <w:rPr>
          <w:color w:val="231F20"/>
          <w:spacing w:val="1"/>
        </w:rPr>
        <w:t> </w:t>
      </w:r>
      <w:r>
        <w:rPr>
          <w:color w:val="231F20"/>
        </w:rPr>
        <w:t>physical</w:t>
      </w:r>
      <w:r>
        <w:rPr>
          <w:color w:val="231F20"/>
          <w:spacing w:val="9"/>
        </w:rPr>
        <w:t> </w:t>
      </w:r>
      <w:r>
        <w:rPr>
          <w:color w:val="231F20"/>
        </w:rPr>
        <w:t>clinic</w:t>
      </w:r>
      <w:r>
        <w:rPr>
          <w:color w:val="231F20"/>
          <w:spacing w:val="9"/>
        </w:rPr>
        <w:t> </w:t>
      </w:r>
      <w:r>
        <w:rPr>
          <w:color w:val="231F20"/>
        </w:rPr>
        <w:t>site</w:t>
      </w:r>
      <w:r>
        <w:rPr>
          <w:color w:val="231F20"/>
          <w:spacing w:val="9"/>
        </w:rPr>
        <w:t> </w:t>
      </w:r>
      <w:r>
        <w:rPr>
          <w:color w:val="231F20"/>
        </w:rPr>
        <w:t>using</w:t>
      </w:r>
      <w:r>
        <w:rPr>
          <w:color w:val="231F20"/>
          <w:spacing w:val="9"/>
        </w:rPr>
        <w:t> </w:t>
      </w:r>
      <w:r>
        <w:rPr>
          <w:color w:val="231F20"/>
        </w:rPr>
        <w:t>video-based</w:t>
      </w:r>
      <w:r>
        <w:rPr>
          <w:color w:val="231F20"/>
          <w:spacing w:val="9"/>
        </w:rPr>
        <w:t> </w:t>
      </w:r>
      <w:r>
        <w:rPr>
          <w:color w:val="231F20"/>
        </w:rPr>
        <w:t>technology</w:t>
      </w:r>
      <w:r>
        <w:rPr>
          <w:color w:val="231F20"/>
          <w:spacing w:val="1"/>
        </w:rPr>
        <w:t> </w:t>
      </w:r>
      <w:r>
        <w:rPr>
          <w:color w:val="231F20"/>
        </w:rPr>
        <w:t>to</w:t>
      </w:r>
      <w:r>
        <w:rPr>
          <w:color w:val="231F20"/>
          <w:spacing w:val="-3"/>
        </w:rPr>
        <w:t> </w:t>
      </w:r>
      <w:r>
        <w:rPr>
          <w:color w:val="231F20"/>
        </w:rPr>
        <w:t>connect</w:t>
      </w:r>
      <w:r>
        <w:rPr>
          <w:color w:val="231F20"/>
          <w:spacing w:val="-2"/>
        </w:rPr>
        <w:t> </w:t>
      </w:r>
      <w:r>
        <w:rPr>
          <w:color w:val="231F20"/>
        </w:rPr>
        <w:t>providers</w:t>
      </w:r>
      <w:r>
        <w:rPr>
          <w:color w:val="231F20"/>
          <w:spacing w:val="-2"/>
        </w:rPr>
        <w:t> </w:t>
      </w:r>
      <w:r>
        <w:rPr>
          <w:color w:val="231F20"/>
        </w:rPr>
        <w:t>and</w:t>
      </w:r>
      <w:r>
        <w:rPr>
          <w:color w:val="231F20"/>
          <w:spacing w:val="-2"/>
        </w:rPr>
        <w:t> </w:t>
      </w:r>
      <w:r>
        <w:rPr>
          <w:color w:val="231F20"/>
        </w:rPr>
        <w:t>clients</w:t>
      </w:r>
      <w:r>
        <w:rPr>
          <w:color w:val="231F20"/>
          <w:spacing w:val="-2"/>
        </w:rPr>
        <w:t> </w:t>
      </w:r>
      <w:r>
        <w:rPr>
          <w:color w:val="231F20"/>
        </w:rPr>
        <w:t>who</w:t>
      </w:r>
      <w:r>
        <w:rPr>
          <w:color w:val="231F20"/>
          <w:spacing w:val="-2"/>
        </w:rPr>
        <w:t> </w:t>
      </w:r>
      <w:r>
        <w:rPr>
          <w:color w:val="231F20"/>
        </w:rPr>
        <w:t>sat</w:t>
      </w:r>
      <w:r>
        <w:rPr>
          <w:color w:val="231F20"/>
          <w:spacing w:val="-2"/>
        </w:rPr>
        <w:t> </w:t>
      </w:r>
      <w:r>
        <w:rPr>
          <w:color w:val="231F20"/>
        </w:rPr>
        <w:t>in</w:t>
      </w:r>
      <w:r>
        <w:rPr>
          <w:color w:val="231F20"/>
          <w:spacing w:val="-2"/>
        </w:rPr>
        <w:t> </w:t>
      </w:r>
      <w:r>
        <w:rPr>
          <w:color w:val="231F20"/>
        </w:rPr>
        <w:t>separate</w:t>
      </w:r>
    </w:p>
    <w:p>
      <w:pPr>
        <w:pStyle w:val="BodyText"/>
        <w:spacing w:line="266" w:lineRule="auto"/>
        <w:ind w:left="120" w:right="860"/>
      </w:pPr>
      <w:r>
        <w:rPr>
          <w:color w:val="231F20"/>
        </w:rPr>
        <w:t>interview rooms. This hybrid model allowed lengthier</w:t>
      </w:r>
      <w:r>
        <w:rPr>
          <w:color w:val="231F20"/>
          <w:spacing w:val="1"/>
        </w:rPr>
        <w:t> </w:t>
      </w:r>
      <w:r>
        <w:rPr>
          <w:color w:val="231F20"/>
        </w:rPr>
        <w:t>sessions without the barriers of personal protective</w:t>
      </w:r>
      <w:r>
        <w:rPr>
          <w:color w:val="231F20"/>
          <w:spacing w:val="1"/>
        </w:rPr>
        <w:t> </w:t>
      </w:r>
      <w:r>
        <w:rPr>
          <w:color w:val="231F20"/>
        </w:rPr>
        <w:t>equipment, while ensuring a safer interaction from</w:t>
      </w:r>
      <w:r>
        <w:rPr>
          <w:color w:val="231F20"/>
          <w:spacing w:val="1"/>
        </w:rPr>
        <w:t> </w:t>
      </w:r>
      <w:r>
        <w:rPr>
          <w:color w:val="231F20"/>
        </w:rPr>
        <w:t>COVID-19 transmission. To train staff on how to</w:t>
      </w:r>
      <w:r>
        <w:rPr>
          <w:color w:val="231F20"/>
          <w:spacing w:val="1"/>
        </w:rPr>
        <w:t> </w:t>
      </w:r>
      <w:r>
        <w:rPr>
          <w:color w:val="231F20"/>
        </w:rPr>
        <w:t>conduct “Para-Telehealth” visits in a safe and effective</w:t>
      </w:r>
      <w:r>
        <w:rPr>
          <w:color w:val="231F20"/>
          <w:spacing w:val="1"/>
        </w:rPr>
        <w:t> </w:t>
      </w:r>
      <w:r>
        <w:rPr>
          <w:color w:val="231F20"/>
        </w:rPr>
        <w:t>manner, Citywide developed a “Para-Telehealth” video</w:t>
      </w:r>
      <w:r>
        <w:rPr>
          <w:color w:val="231F20"/>
          <w:spacing w:val="-52"/>
        </w:rPr>
        <w:t> </w:t>
      </w:r>
      <w:r>
        <w:rPr>
          <w:color w:val="231F20"/>
        </w:rPr>
        <w:t>tutorial, protocol, and online walkthrough. The “Para-</w:t>
      </w:r>
      <w:r>
        <w:rPr>
          <w:color w:val="231F20"/>
          <w:spacing w:val="1"/>
        </w:rPr>
        <w:t> </w:t>
      </w:r>
      <w:r>
        <w:rPr>
          <w:color w:val="231F20"/>
        </w:rPr>
        <w:t>Telehealth”</w:t>
      </w:r>
      <w:r>
        <w:rPr>
          <w:color w:val="231F20"/>
          <w:spacing w:val="-5"/>
        </w:rPr>
        <w:t> </w:t>
      </w:r>
      <w:r>
        <w:rPr>
          <w:color w:val="231F20"/>
        </w:rPr>
        <w:t>appointment</w:t>
      </w:r>
      <w:r>
        <w:rPr>
          <w:color w:val="231F20"/>
          <w:spacing w:val="-5"/>
        </w:rPr>
        <w:t> </w:t>
      </w:r>
      <w:r>
        <w:rPr>
          <w:color w:val="231F20"/>
        </w:rPr>
        <w:t>modality</w:t>
      </w:r>
      <w:r>
        <w:rPr>
          <w:color w:val="231F20"/>
          <w:spacing w:val="-5"/>
        </w:rPr>
        <w:t> </w:t>
      </w:r>
      <w:r>
        <w:rPr>
          <w:color w:val="231F20"/>
        </w:rPr>
        <w:t>has</w:t>
      </w:r>
      <w:r>
        <w:rPr>
          <w:color w:val="231F20"/>
          <w:spacing w:val="-5"/>
        </w:rPr>
        <w:t> </w:t>
      </w:r>
      <w:r>
        <w:rPr>
          <w:color w:val="231F20"/>
        </w:rPr>
        <w:t>been</w:t>
      </w:r>
      <w:r>
        <w:rPr>
          <w:color w:val="231F20"/>
          <w:spacing w:val="-5"/>
        </w:rPr>
        <w:t> </w:t>
      </w:r>
      <w:r>
        <w:rPr>
          <w:color w:val="231F20"/>
        </w:rPr>
        <w:t>extended</w:t>
      </w:r>
      <w:r>
        <w:rPr>
          <w:color w:val="231F20"/>
          <w:spacing w:val="-5"/>
        </w:rPr>
        <w:t> </w:t>
      </w:r>
      <w:r>
        <w:rPr>
          <w:color w:val="231F20"/>
        </w:rPr>
        <w:t>to</w:t>
      </w:r>
      <w:r>
        <w:rPr>
          <w:color w:val="231F20"/>
          <w:spacing w:val="-52"/>
        </w:rPr>
        <w:t> </w:t>
      </w:r>
      <w:r>
        <w:rPr>
          <w:color w:val="231F20"/>
        </w:rPr>
        <w:t>conduct CBT groups, allowing the inclusion of clients</w:t>
      </w:r>
      <w:r>
        <w:rPr>
          <w:color w:val="231F20"/>
          <w:spacing w:val="1"/>
        </w:rPr>
        <w:t> </w:t>
      </w:r>
      <w:r>
        <w:rPr>
          <w:color w:val="231F20"/>
        </w:rPr>
        <w:t>with technological limitations, whether it be due to</w:t>
      </w:r>
      <w:r>
        <w:rPr>
          <w:color w:val="231F20"/>
          <w:spacing w:val="1"/>
        </w:rPr>
        <w:t> </w:t>
      </w:r>
      <w:r>
        <w:rPr>
          <w:color w:val="231F20"/>
        </w:rPr>
        <w:t>equipment,</w:t>
      </w:r>
      <w:r>
        <w:rPr>
          <w:color w:val="231F20"/>
          <w:spacing w:val="-1"/>
        </w:rPr>
        <w:t> </w:t>
      </w:r>
      <w:r>
        <w:rPr>
          <w:color w:val="231F20"/>
        </w:rPr>
        <w:t>connectivity,</w:t>
      </w:r>
      <w:r>
        <w:rPr>
          <w:color w:val="231F20"/>
          <w:spacing w:val="-1"/>
        </w:rPr>
        <w:t> </w:t>
      </w:r>
      <w:r>
        <w:rPr>
          <w:color w:val="231F20"/>
        </w:rPr>
        <w:t>or</w:t>
      </w:r>
      <w:r>
        <w:rPr>
          <w:color w:val="231F20"/>
          <w:spacing w:val="-1"/>
        </w:rPr>
        <w:t> </w:t>
      </w:r>
      <w:r>
        <w:rPr>
          <w:color w:val="231F20"/>
        </w:rPr>
        <w:t>literacy.</w:t>
      </w:r>
    </w:p>
    <w:p>
      <w:pPr>
        <w:pStyle w:val="Heading5"/>
        <w:spacing w:before="169"/>
      </w:pPr>
      <w:r>
        <w:rPr>
          <w:color w:val="CE384B"/>
        </w:rPr>
        <w:t>Findings and Outcomes</w:t>
      </w:r>
    </w:p>
    <w:p>
      <w:pPr>
        <w:pStyle w:val="BodyText"/>
        <w:spacing w:line="266" w:lineRule="auto" w:before="118"/>
        <w:ind w:left="120" w:right="789"/>
      </w:pPr>
      <w:r>
        <w:rPr>
          <w:color w:val="231F20"/>
        </w:rPr>
        <w:t>During the early part of the COVID-19 pandemic (April</w:t>
      </w:r>
      <w:r>
        <w:rPr>
          <w:color w:val="231F20"/>
          <w:spacing w:val="-52"/>
        </w:rPr>
        <w:t> </w:t>
      </w:r>
      <w:r>
        <w:rPr>
          <w:color w:val="231F20"/>
        </w:rPr>
        <w:t>2020), Citywide conducted two clinician-facing surveys</w:t>
      </w:r>
      <w:r>
        <w:rPr>
          <w:color w:val="231F20"/>
          <w:spacing w:val="-52"/>
        </w:rPr>
        <w:t> </w:t>
      </w:r>
      <w:r>
        <w:rPr>
          <w:color w:val="231F20"/>
          <w:spacing w:val="-1"/>
        </w:rPr>
        <w:t>to characterize clients’ access to </w:t>
      </w:r>
      <w:r>
        <w:rPr>
          <w:color w:val="231F20"/>
        </w:rPr>
        <w:t>technology, their ability</w:t>
      </w:r>
      <w:r>
        <w:rPr>
          <w:color w:val="231F20"/>
          <w:spacing w:val="-52"/>
        </w:rPr>
        <w:t> </w:t>
      </w:r>
      <w:r>
        <w:rPr>
          <w:color w:val="231F20"/>
        </w:rPr>
        <w:t>to retain these devices, and the impact of distributing</w:t>
      </w:r>
      <w:r>
        <w:rPr>
          <w:color w:val="231F20"/>
          <w:spacing w:val="1"/>
        </w:rPr>
        <w:t> </w:t>
      </w:r>
      <w:r>
        <w:rPr>
          <w:color w:val="231F20"/>
        </w:rPr>
        <w:t>flip-phones to them. Citywide observed the following</w:t>
      </w:r>
      <w:r>
        <w:rPr>
          <w:color w:val="231F20"/>
          <w:spacing w:val="1"/>
        </w:rPr>
        <w:t> </w:t>
      </w:r>
      <w:r>
        <w:rPr>
          <w:color w:val="231F20"/>
        </w:rPr>
        <w:t>results:</w:t>
      </w:r>
    </w:p>
    <w:p>
      <w:pPr>
        <w:pStyle w:val="ListParagraph"/>
        <w:numPr>
          <w:ilvl w:val="1"/>
          <w:numId w:val="5"/>
        </w:numPr>
        <w:tabs>
          <w:tab w:pos="839" w:val="left" w:leader="none"/>
          <w:tab w:pos="840" w:val="left" w:leader="none"/>
        </w:tabs>
        <w:spacing w:line="264" w:lineRule="auto" w:before="159" w:after="0"/>
        <w:ind w:left="839" w:right="760" w:hanging="360"/>
        <w:jc w:val="left"/>
        <w:rPr>
          <w:rFonts w:ascii="Symbol" w:hAnsi="Symbol"/>
          <w:color w:val="010202"/>
          <w:sz w:val="22"/>
        </w:rPr>
      </w:pPr>
      <w:r>
        <w:rPr>
          <w:color w:val="010202"/>
          <w:sz w:val="22"/>
        </w:rPr>
        <w:t>Citywide’s</w:t>
      </w:r>
      <w:r>
        <w:rPr>
          <w:color w:val="010202"/>
          <w:spacing w:val="-6"/>
          <w:sz w:val="22"/>
        </w:rPr>
        <w:t> </w:t>
      </w:r>
      <w:r>
        <w:rPr>
          <w:color w:val="010202"/>
          <w:sz w:val="22"/>
        </w:rPr>
        <w:t>purchase</w:t>
      </w:r>
      <w:r>
        <w:rPr>
          <w:color w:val="010202"/>
          <w:spacing w:val="-5"/>
          <w:sz w:val="22"/>
        </w:rPr>
        <w:t> </w:t>
      </w:r>
      <w:r>
        <w:rPr>
          <w:color w:val="010202"/>
          <w:sz w:val="22"/>
        </w:rPr>
        <w:t>and</w:t>
      </w:r>
      <w:r>
        <w:rPr>
          <w:color w:val="010202"/>
          <w:spacing w:val="-5"/>
          <w:sz w:val="22"/>
        </w:rPr>
        <w:t> </w:t>
      </w:r>
      <w:r>
        <w:rPr>
          <w:color w:val="010202"/>
          <w:sz w:val="22"/>
        </w:rPr>
        <w:t>distribution</w:t>
      </w:r>
      <w:r>
        <w:rPr>
          <w:color w:val="010202"/>
          <w:spacing w:val="-5"/>
          <w:sz w:val="22"/>
        </w:rPr>
        <w:t> </w:t>
      </w:r>
      <w:r>
        <w:rPr>
          <w:color w:val="010202"/>
          <w:sz w:val="22"/>
        </w:rPr>
        <w:t>of</w:t>
      </w:r>
      <w:r>
        <w:rPr>
          <w:color w:val="010202"/>
          <w:spacing w:val="-5"/>
          <w:sz w:val="22"/>
        </w:rPr>
        <w:t> </w:t>
      </w:r>
      <w:r>
        <w:rPr>
          <w:color w:val="010202"/>
          <w:sz w:val="22"/>
        </w:rPr>
        <w:t>250</w:t>
      </w:r>
      <w:r>
        <w:rPr>
          <w:color w:val="010202"/>
          <w:spacing w:val="-5"/>
          <w:sz w:val="22"/>
        </w:rPr>
        <w:t> </w:t>
      </w:r>
      <w:r>
        <w:rPr>
          <w:color w:val="010202"/>
          <w:sz w:val="22"/>
        </w:rPr>
        <w:t>flip-</w:t>
      </w:r>
      <w:r>
        <w:rPr>
          <w:color w:val="010202"/>
          <w:spacing w:val="-52"/>
          <w:sz w:val="22"/>
        </w:rPr>
        <w:t> </w:t>
      </w:r>
      <w:r>
        <w:rPr>
          <w:color w:val="010202"/>
          <w:sz w:val="22"/>
        </w:rPr>
        <w:t>phones to clients increased cellular telephonic</w:t>
      </w:r>
      <w:r>
        <w:rPr>
          <w:color w:val="010202"/>
          <w:spacing w:val="1"/>
          <w:sz w:val="22"/>
        </w:rPr>
        <w:t> </w:t>
      </w:r>
      <w:r>
        <w:rPr>
          <w:color w:val="010202"/>
          <w:sz w:val="22"/>
        </w:rPr>
        <w:t>access</w:t>
      </w:r>
      <w:r>
        <w:rPr>
          <w:color w:val="010202"/>
          <w:spacing w:val="-1"/>
          <w:sz w:val="22"/>
        </w:rPr>
        <w:t> </w:t>
      </w:r>
      <w:r>
        <w:rPr>
          <w:color w:val="010202"/>
          <w:sz w:val="22"/>
        </w:rPr>
        <w:t>to clients by nearly 40 percent.</w:t>
      </w:r>
    </w:p>
    <w:p>
      <w:pPr>
        <w:pStyle w:val="ListParagraph"/>
        <w:numPr>
          <w:ilvl w:val="1"/>
          <w:numId w:val="5"/>
        </w:numPr>
        <w:tabs>
          <w:tab w:pos="839" w:val="left" w:leader="none"/>
          <w:tab w:pos="840" w:val="left" w:leader="none"/>
        </w:tabs>
        <w:spacing w:line="264" w:lineRule="auto" w:before="34" w:after="0"/>
        <w:ind w:left="839" w:right="766" w:hanging="360"/>
        <w:jc w:val="left"/>
        <w:rPr>
          <w:rFonts w:ascii="Symbol" w:hAnsi="Symbol"/>
          <w:color w:val="010202"/>
          <w:sz w:val="22"/>
        </w:rPr>
      </w:pPr>
      <w:r>
        <w:rPr>
          <w:color w:val="010202"/>
          <w:sz w:val="22"/>
        </w:rPr>
        <w:t>More than 50 percent of clients used the donor</w:t>
      </w:r>
      <w:r>
        <w:rPr>
          <w:color w:val="010202"/>
          <w:spacing w:val="1"/>
          <w:sz w:val="22"/>
        </w:rPr>
        <w:t> </w:t>
      </w:r>
      <w:r>
        <w:rPr>
          <w:color w:val="010202"/>
          <w:sz w:val="22"/>
        </w:rPr>
        <w:t>phones</w:t>
      </w:r>
      <w:r>
        <w:rPr>
          <w:color w:val="010202"/>
          <w:spacing w:val="2"/>
          <w:sz w:val="22"/>
        </w:rPr>
        <w:t> </w:t>
      </w:r>
      <w:r>
        <w:rPr>
          <w:color w:val="010202"/>
          <w:sz w:val="22"/>
        </w:rPr>
        <w:t>to</w:t>
      </w:r>
      <w:r>
        <w:rPr>
          <w:color w:val="010202"/>
          <w:spacing w:val="2"/>
          <w:sz w:val="22"/>
        </w:rPr>
        <w:t> </w:t>
      </w:r>
      <w:r>
        <w:rPr>
          <w:color w:val="010202"/>
          <w:sz w:val="22"/>
        </w:rPr>
        <w:t>contact</w:t>
      </w:r>
      <w:r>
        <w:rPr>
          <w:color w:val="010202"/>
          <w:spacing w:val="2"/>
          <w:sz w:val="22"/>
        </w:rPr>
        <w:t> </w:t>
      </w:r>
      <w:r>
        <w:rPr>
          <w:color w:val="010202"/>
          <w:sz w:val="22"/>
        </w:rPr>
        <w:t>other</w:t>
      </w:r>
      <w:r>
        <w:rPr>
          <w:color w:val="010202"/>
          <w:spacing w:val="2"/>
          <w:sz w:val="22"/>
        </w:rPr>
        <w:t> </w:t>
      </w:r>
      <w:r>
        <w:rPr>
          <w:color w:val="010202"/>
          <w:sz w:val="22"/>
        </w:rPr>
        <w:t>healthcare</w:t>
      </w:r>
      <w:r>
        <w:rPr>
          <w:color w:val="010202"/>
          <w:spacing w:val="3"/>
          <w:sz w:val="22"/>
        </w:rPr>
        <w:t> </w:t>
      </w:r>
      <w:r>
        <w:rPr>
          <w:color w:val="010202"/>
          <w:sz w:val="22"/>
        </w:rPr>
        <w:t>providers,</w:t>
      </w:r>
      <w:r>
        <w:rPr>
          <w:color w:val="010202"/>
          <w:spacing w:val="1"/>
          <w:sz w:val="22"/>
        </w:rPr>
        <w:t> </w:t>
      </w:r>
      <w:r>
        <w:rPr>
          <w:color w:val="010202"/>
          <w:sz w:val="22"/>
        </w:rPr>
        <w:t>and approximately 66 percent of clients used the</w:t>
      </w:r>
      <w:r>
        <w:rPr>
          <w:color w:val="010202"/>
          <w:spacing w:val="-52"/>
          <w:sz w:val="22"/>
        </w:rPr>
        <w:t> </w:t>
      </w:r>
      <w:r>
        <w:rPr>
          <w:color w:val="010202"/>
          <w:sz w:val="22"/>
        </w:rPr>
        <w:t>donated</w:t>
      </w:r>
      <w:r>
        <w:rPr>
          <w:color w:val="010202"/>
          <w:spacing w:val="-3"/>
          <w:sz w:val="22"/>
        </w:rPr>
        <w:t> </w:t>
      </w:r>
      <w:r>
        <w:rPr>
          <w:color w:val="010202"/>
          <w:sz w:val="22"/>
        </w:rPr>
        <w:t>phones</w:t>
      </w:r>
      <w:r>
        <w:rPr>
          <w:color w:val="010202"/>
          <w:spacing w:val="-3"/>
          <w:sz w:val="22"/>
        </w:rPr>
        <w:t> </w:t>
      </w:r>
      <w:r>
        <w:rPr>
          <w:color w:val="010202"/>
          <w:sz w:val="22"/>
        </w:rPr>
        <w:t>to</w:t>
      </w:r>
      <w:r>
        <w:rPr>
          <w:color w:val="010202"/>
          <w:spacing w:val="-2"/>
          <w:sz w:val="22"/>
        </w:rPr>
        <w:t> </w:t>
      </w:r>
      <w:r>
        <w:rPr>
          <w:color w:val="010202"/>
          <w:sz w:val="22"/>
        </w:rPr>
        <w:t>contact</w:t>
      </w:r>
      <w:r>
        <w:rPr>
          <w:color w:val="010202"/>
          <w:spacing w:val="-3"/>
          <w:sz w:val="22"/>
        </w:rPr>
        <w:t> </w:t>
      </w:r>
      <w:r>
        <w:rPr>
          <w:color w:val="010202"/>
          <w:sz w:val="22"/>
        </w:rPr>
        <w:t>their</w:t>
      </w:r>
      <w:r>
        <w:rPr>
          <w:color w:val="010202"/>
          <w:spacing w:val="-2"/>
          <w:sz w:val="22"/>
        </w:rPr>
        <w:t> </w:t>
      </w:r>
      <w:r>
        <w:rPr>
          <w:color w:val="010202"/>
          <w:sz w:val="22"/>
        </w:rPr>
        <w:t>support</w:t>
      </w:r>
      <w:r>
        <w:rPr>
          <w:color w:val="010202"/>
          <w:spacing w:val="-3"/>
          <w:sz w:val="22"/>
        </w:rPr>
        <w:t> </w:t>
      </w:r>
      <w:r>
        <w:rPr>
          <w:color w:val="010202"/>
          <w:sz w:val="22"/>
        </w:rPr>
        <w:t>systems.</w:t>
      </w:r>
    </w:p>
    <w:p>
      <w:pPr>
        <w:pStyle w:val="ListParagraph"/>
        <w:numPr>
          <w:ilvl w:val="1"/>
          <w:numId w:val="5"/>
        </w:numPr>
        <w:tabs>
          <w:tab w:pos="839" w:val="left" w:leader="none"/>
          <w:tab w:pos="840" w:val="left" w:leader="none"/>
        </w:tabs>
        <w:spacing w:line="264" w:lineRule="auto" w:before="36" w:after="0"/>
        <w:ind w:left="839" w:right="1012" w:hanging="360"/>
        <w:jc w:val="left"/>
        <w:rPr>
          <w:rFonts w:ascii="Symbol" w:hAnsi="Symbol"/>
          <w:color w:val="010202"/>
          <w:sz w:val="22"/>
        </w:rPr>
      </w:pPr>
      <w:r>
        <w:rPr>
          <w:color w:val="010202"/>
          <w:sz w:val="22"/>
        </w:rPr>
        <w:t>Citywide was able to reach a client through</w:t>
      </w:r>
      <w:r>
        <w:rPr>
          <w:color w:val="010202"/>
          <w:spacing w:val="1"/>
          <w:sz w:val="22"/>
        </w:rPr>
        <w:t> </w:t>
      </w:r>
      <w:r>
        <w:rPr>
          <w:color w:val="010202"/>
          <w:sz w:val="22"/>
        </w:rPr>
        <w:t>one of the donated flip-phones the day after</w:t>
      </w:r>
      <w:r>
        <w:rPr>
          <w:color w:val="010202"/>
          <w:spacing w:val="1"/>
          <w:sz w:val="22"/>
        </w:rPr>
        <w:t> </w:t>
      </w:r>
      <w:r>
        <w:rPr>
          <w:color w:val="010202"/>
          <w:sz w:val="22"/>
        </w:rPr>
        <w:t>he experienced an overdose on fentanyl. Case</w:t>
      </w:r>
      <w:r>
        <w:rPr>
          <w:color w:val="010202"/>
          <w:spacing w:val="-52"/>
          <w:sz w:val="22"/>
        </w:rPr>
        <w:t> </w:t>
      </w:r>
      <w:r>
        <w:rPr>
          <w:color w:val="010202"/>
          <w:sz w:val="22"/>
        </w:rPr>
        <w:t>managers were able to speak with the client,</w:t>
      </w:r>
    </w:p>
    <w:p>
      <w:pPr>
        <w:pStyle w:val="BodyText"/>
        <w:spacing w:before="4"/>
        <w:ind w:left="839"/>
      </w:pPr>
      <w:r>
        <w:rPr>
          <w:color w:val="010202"/>
        </w:rPr>
        <w:t>coach him on accessing Narcan, and enroll him</w:t>
      </w:r>
    </w:p>
    <w:p>
      <w:pPr>
        <w:spacing w:after="0"/>
        <w:sectPr>
          <w:type w:val="continuous"/>
          <w:pgSz w:w="12240" w:h="15840"/>
          <w:pgMar w:header="0" w:footer="666" w:top="1500" w:bottom="0" w:left="600" w:right="0"/>
          <w:cols w:num="2" w:equalWidth="0">
            <w:col w:w="5200" w:space="560"/>
            <w:col w:w="58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1"/>
        <w:ind w:left="840" w:right="97"/>
      </w:pPr>
      <w:r>
        <w:rPr>
          <w:color w:val="010202"/>
        </w:rPr>
        <w:t>in</w:t>
      </w:r>
      <w:r>
        <w:rPr>
          <w:color w:val="010202"/>
          <w:spacing w:val="-6"/>
        </w:rPr>
        <w:t> </w:t>
      </w:r>
      <w:r>
        <w:rPr>
          <w:color w:val="010202"/>
        </w:rPr>
        <w:t>a</w:t>
      </w:r>
      <w:r>
        <w:rPr>
          <w:color w:val="010202"/>
          <w:spacing w:val="-6"/>
        </w:rPr>
        <w:t> </w:t>
      </w:r>
      <w:r>
        <w:rPr>
          <w:color w:val="010202"/>
        </w:rPr>
        <w:t>Substance</w:t>
      </w:r>
      <w:r>
        <w:rPr>
          <w:color w:val="010202"/>
          <w:spacing w:val="-11"/>
        </w:rPr>
        <w:t> </w:t>
      </w:r>
      <w:r>
        <w:rPr>
          <w:color w:val="010202"/>
        </w:rPr>
        <w:t>Treatment</w:t>
      </w:r>
      <w:r>
        <w:rPr>
          <w:color w:val="010202"/>
          <w:spacing w:val="-6"/>
        </w:rPr>
        <w:t> </w:t>
      </w:r>
      <w:r>
        <w:rPr>
          <w:color w:val="010202"/>
        </w:rPr>
        <w:t>Outpatient</w:t>
      </w:r>
      <w:r>
        <w:rPr>
          <w:color w:val="010202"/>
          <w:spacing w:val="-7"/>
        </w:rPr>
        <w:t> </w:t>
      </w:r>
      <w:r>
        <w:rPr>
          <w:color w:val="010202"/>
        </w:rPr>
        <w:t>Program</w:t>
      </w:r>
      <w:r>
        <w:rPr>
          <w:color w:val="010202"/>
          <w:spacing w:val="-52"/>
        </w:rPr>
        <w:t> </w:t>
      </w:r>
      <w:r>
        <w:rPr>
          <w:color w:val="010202"/>
        </w:rPr>
        <w:t>(STOP)</w:t>
      </w:r>
      <w:r>
        <w:rPr>
          <w:color w:val="010202"/>
          <w:spacing w:val="-2"/>
        </w:rPr>
        <w:t> </w:t>
      </w:r>
      <w:r>
        <w:rPr>
          <w:color w:val="010202"/>
        </w:rPr>
        <w:t>group at Citywide.</w:t>
      </w:r>
    </w:p>
    <w:p>
      <w:pPr>
        <w:pStyle w:val="ListParagraph"/>
        <w:numPr>
          <w:ilvl w:val="1"/>
          <w:numId w:val="5"/>
        </w:numPr>
        <w:tabs>
          <w:tab w:pos="839" w:val="left" w:leader="none"/>
          <w:tab w:pos="840" w:val="left" w:leader="none"/>
        </w:tabs>
        <w:spacing w:line="266" w:lineRule="auto" w:before="29" w:after="0"/>
        <w:ind w:left="840" w:right="134" w:hanging="360"/>
        <w:jc w:val="left"/>
        <w:rPr>
          <w:rFonts w:ascii="Symbol" w:hAnsi="Symbol"/>
          <w:color w:val="010202"/>
          <w:sz w:val="22"/>
        </w:rPr>
      </w:pPr>
      <w:r>
        <w:rPr/>
        <w:drawing>
          <wp:anchor distT="0" distB="0" distL="0" distR="0" allowOverlap="1" layoutInCell="1" locked="0" behindDoc="0" simplePos="0" relativeHeight="15755264">
            <wp:simplePos x="0" y="0"/>
            <wp:positionH relativeFrom="page">
              <wp:posOffset>457200</wp:posOffset>
            </wp:positionH>
            <wp:positionV relativeFrom="paragraph">
              <wp:posOffset>1343457</wp:posOffset>
            </wp:positionV>
            <wp:extent cx="496061" cy="496061"/>
            <wp:effectExtent l="0" t="0" r="0" b="0"/>
            <wp:wrapNone/>
            <wp:docPr id="45" name="image22.jpeg"/>
            <wp:cNvGraphicFramePr>
              <a:graphicFrameLocks noChangeAspect="1"/>
            </wp:cNvGraphicFramePr>
            <a:graphic>
              <a:graphicData uri="http://schemas.openxmlformats.org/drawingml/2006/picture">
                <pic:pic>
                  <pic:nvPicPr>
                    <pic:cNvPr id="46" name="image22.jpeg"/>
                    <pic:cNvPicPr/>
                  </pic:nvPicPr>
                  <pic:blipFill>
                    <a:blip r:embed="rId317" cstate="print"/>
                    <a:stretch>
                      <a:fillRect/>
                    </a:stretch>
                  </pic:blipFill>
                  <pic:spPr>
                    <a:xfrm>
                      <a:off x="0" y="0"/>
                      <a:ext cx="496061" cy="496061"/>
                    </a:xfrm>
                    <a:prstGeom prst="rect">
                      <a:avLst/>
                    </a:prstGeom>
                  </pic:spPr>
                </pic:pic>
              </a:graphicData>
            </a:graphic>
          </wp:anchor>
        </w:drawing>
      </w:r>
      <w:r>
        <w:rPr>
          <w:color w:val="010202"/>
          <w:sz w:val="22"/>
        </w:rPr>
        <w:t>Citywide was able to notify a client of his</w:t>
      </w:r>
      <w:r>
        <w:rPr>
          <w:color w:val="010202"/>
          <w:spacing w:val="1"/>
          <w:sz w:val="22"/>
        </w:rPr>
        <w:t> </w:t>
      </w:r>
      <w:r>
        <w:rPr>
          <w:color w:val="010202"/>
          <w:sz w:val="22"/>
        </w:rPr>
        <w:t>exposure to COVID-19 via the donated phone.</w:t>
      </w:r>
      <w:r>
        <w:rPr>
          <w:color w:val="010202"/>
          <w:spacing w:val="1"/>
          <w:sz w:val="22"/>
        </w:rPr>
        <w:t> </w:t>
      </w:r>
      <w:r>
        <w:rPr>
          <w:color w:val="010202"/>
          <w:sz w:val="22"/>
        </w:rPr>
        <w:t>Contact tracers were unable to locate the client</w:t>
      </w:r>
      <w:r>
        <w:rPr>
          <w:color w:val="010202"/>
          <w:spacing w:val="-52"/>
          <w:sz w:val="22"/>
        </w:rPr>
        <w:t> </w:t>
      </w:r>
      <w:r>
        <w:rPr>
          <w:color w:val="010202"/>
          <w:sz w:val="22"/>
        </w:rPr>
        <w:t>since they did not have a number on record for</w:t>
      </w:r>
      <w:r>
        <w:rPr>
          <w:color w:val="010202"/>
          <w:spacing w:val="1"/>
          <w:sz w:val="22"/>
        </w:rPr>
        <w:t> </w:t>
      </w:r>
      <w:r>
        <w:rPr>
          <w:color w:val="010202"/>
          <w:sz w:val="22"/>
        </w:rPr>
        <w:t>him, so they contacted Citywide case managers</w:t>
      </w:r>
      <w:r>
        <w:rPr>
          <w:color w:val="010202"/>
          <w:spacing w:val="-52"/>
          <w:sz w:val="22"/>
        </w:rPr>
        <w:t> </w:t>
      </w:r>
      <w:r>
        <w:rPr>
          <w:color w:val="010202"/>
          <w:sz w:val="22"/>
        </w:rPr>
        <w:t>who were able to notify the client using the</w:t>
      </w:r>
      <w:r>
        <w:rPr>
          <w:color w:val="010202"/>
          <w:spacing w:val="1"/>
          <w:sz w:val="22"/>
        </w:rPr>
        <w:t> </w:t>
      </w:r>
      <w:r>
        <w:rPr>
          <w:color w:val="010202"/>
          <w:sz w:val="22"/>
        </w:rPr>
        <w:t>donated phone.</w:t>
      </w:r>
    </w:p>
    <w:p>
      <w:pPr>
        <w:pStyle w:val="BodyText"/>
        <w:spacing w:before="6"/>
        <w:rPr>
          <w:sz w:val="30"/>
        </w:rPr>
      </w:pPr>
    </w:p>
    <w:p>
      <w:pPr>
        <w:pStyle w:val="Heading5"/>
        <w:spacing w:before="0"/>
        <w:ind w:left="1081"/>
      </w:pPr>
      <w:r>
        <w:rPr>
          <w:color w:val="CE384B"/>
        </w:rPr>
        <w:t>Lessons</w:t>
      </w:r>
      <w:r>
        <w:rPr>
          <w:color w:val="CE384B"/>
          <w:spacing w:val="-1"/>
        </w:rPr>
        <w:t> </w:t>
      </w:r>
      <w:r>
        <w:rPr>
          <w:color w:val="CE384B"/>
        </w:rPr>
        <w:t>Learned</w:t>
      </w:r>
    </w:p>
    <w:p>
      <w:pPr>
        <w:pStyle w:val="BodyText"/>
        <w:spacing w:before="4"/>
        <w:rPr>
          <w:rFonts w:ascii="Arial"/>
          <w:b/>
          <w:sz w:val="32"/>
        </w:rPr>
      </w:pPr>
    </w:p>
    <w:p>
      <w:pPr>
        <w:pStyle w:val="ListParagraph"/>
        <w:numPr>
          <w:ilvl w:val="1"/>
          <w:numId w:val="5"/>
        </w:numPr>
        <w:tabs>
          <w:tab w:pos="839" w:val="left" w:leader="none"/>
          <w:tab w:pos="840" w:val="left" w:leader="none"/>
        </w:tabs>
        <w:spacing w:line="264" w:lineRule="auto" w:before="1" w:after="0"/>
        <w:ind w:left="839" w:right="93" w:hanging="360"/>
        <w:jc w:val="left"/>
        <w:rPr>
          <w:rFonts w:ascii="Symbol" w:hAnsi="Symbol"/>
          <w:color w:val="010202"/>
          <w:sz w:val="22"/>
        </w:rPr>
      </w:pPr>
      <w:r>
        <w:rPr>
          <w:b/>
          <w:color w:val="010202"/>
          <w:sz w:val="22"/>
        </w:rPr>
        <w:t>The</w:t>
      </w:r>
      <w:r>
        <w:rPr>
          <w:b/>
          <w:color w:val="010202"/>
          <w:spacing w:val="-4"/>
          <w:sz w:val="22"/>
        </w:rPr>
        <w:t> </w:t>
      </w:r>
      <w:r>
        <w:rPr>
          <w:b/>
          <w:color w:val="010202"/>
          <w:sz w:val="22"/>
        </w:rPr>
        <w:t>pandemic</w:t>
      </w:r>
      <w:r>
        <w:rPr>
          <w:b/>
          <w:color w:val="010202"/>
          <w:spacing w:val="-4"/>
          <w:sz w:val="22"/>
        </w:rPr>
        <w:t> </w:t>
      </w:r>
      <w:r>
        <w:rPr>
          <w:b/>
          <w:color w:val="010202"/>
          <w:sz w:val="22"/>
        </w:rPr>
        <w:t>has</w:t>
      </w:r>
      <w:r>
        <w:rPr>
          <w:b/>
          <w:color w:val="010202"/>
          <w:spacing w:val="-5"/>
          <w:sz w:val="22"/>
        </w:rPr>
        <w:t> </w:t>
      </w:r>
      <w:r>
        <w:rPr>
          <w:b/>
          <w:color w:val="010202"/>
          <w:sz w:val="22"/>
        </w:rPr>
        <w:t>reinforced</w:t>
      </w:r>
      <w:r>
        <w:rPr>
          <w:b/>
          <w:color w:val="010202"/>
          <w:spacing w:val="-3"/>
          <w:sz w:val="22"/>
        </w:rPr>
        <w:t> </w:t>
      </w:r>
      <w:r>
        <w:rPr>
          <w:b/>
          <w:color w:val="010202"/>
          <w:sz w:val="22"/>
        </w:rPr>
        <w:t>the</w:t>
      </w:r>
      <w:r>
        <w:rPr>
          <w:b/>
          <w:color w:val="010202"/>
          <w:spacing w:val="-4"/>
          <w:sz w:val="22"/>
        </w:rPr>
        <w:t> </w:t>
      </w:r>
      <w:r>
        <w:rPr>
          <w:b/>
          <w:color w:val="010202"/>
          <w:sz w:val="22"/>
        </w:rPr>
        <w:t>importance</w:t>
      </w:r>
      <w:r>
        <w:rPr>
          <w:b/>
          <w:color w:val="010202"/>
          <w:spacing w:val="-52"/>
          <w:sz w:val="22"/>
        </w:rPr>
        <w:t> </w:t>
      </w:r>
      <w:r>
        <w:rPr>
          <w:b/>
          <w:color w:val="010202"/>
          <w:sz w:val="22"/>
        </w:rPr>
        <w:t>of</w:t>
      </w:r>
      <w:r>
        <w:rPr>
          <w:b/>
          <w:color w:val="010202"/>
          <w:spacing w:val="-1"/>
          <w:sz w:val="22"/>
        </w:rPr>
        <w:t> </w:t>
      </w:r>
      <w:r>
        <w:rPr>
          <w:b/>
          <w:color w:val="010202"/>
          <w:sz w:val="22"/>
        </w:rPr>
        <w:t>an</w:t>
      </w:r>
      <w:r>
        <w:rPr>
          <w:b/>
          <w:color w:val="010202"/>
          <w:spacing w:val="-1"/>
          <w:sz w:val="22"/>
        </w:rPr>
        <w:t> </w:t>
      </w:r>
      <w:r>
        <w:rPr>
          <w:b/>
          <w:color w:val="010202"/>
          <w:sz w:val="22"/>
        </w:rPr>
        <w:t>individual approach</w:t>
      </w:r>
      <w:r>
        <w:rPr>
          <w:b/>
          <w:color w:val="010202"/>
          <w:spacing w:val="-1"/>
          <w:sz w:val="22"/>
        </w:rPr>
        <w:t> </w:t>
      </w:r>
      <w:r>
        <w:rPr>
          <w:b/>
          <w:color w:val="010202"/>
          <w:sz w:val="22"/>
        </w:rPr>
        <w:t>to treatment</w:t>
      </w:r>
    </w:p>
    <w:p>
      <w:pPr>
        <w:pStyle w:val="BodyText"/>
        <w:spacing w:line="266" w:lineRule="auto" w:before="1"/>
        <w:ind w:left="839" w:right="5"/>
      </w:pPr>
      <w:r>
        <w:rPr>
          <w:b/>
          <w:color w:val="010202"/>
        </w:rPr>
        <w:t>for engaging some of the hardest to reach</w:t>
      </w:r>
      <w:r>
        <w:rPr>
          <w:b/>
          <w:color w:val="010202"/>
          <w:spacing w:val="1"/>
        </w:rPr>
        <w:t> </w:t>
      </w:r>
      <w:r>
        <w:rPr>
          <w:b/>
          <w:color w:val="010202"/>
        </w:rPr>
        <w:t>populations in care. </w:t>
      </w:r>
      <w:r>
        <w:rPr>
          <w:color w:val="010202"/>
        </w:rPr>
        <w:t>Citywide uses a client-</w:t>
      </w:r>
      <w:r>
        <w:rPr>
          <w:color w:val="010202"/>
          <w:spacing w:val="1"/>
        </w:rPr>
        <w:t> </w:t>
      </w:r>
      <w:r>
        <w:rPr>
          <w:color w:val="010202"/>
        </w:rPr>
        <w:t>centered approach with treatment plans tailored</w:t>
      </w:r>
      <w:r>
        <w:rPr>
          <w:color w:val="010202"/>
          <w:spacing w:val="1"/>
        </w:rPr>
        <w:t> </w:t>
      </w:r>
      <w:r>
        <w:rPr>
          <w:color w:val="010202"/>
        </w:rPr>
        <w:t>to each client. This approach of meeting clients</w:t>
      </w:r>
      <w:r>
        <w:rPr>
          <w:color w:val="010202"/>
          <w:spacing w:val="1"/>
        </w:rPr>
        <w:t> </w:t>
      </w:r>
      <w:r>
        <w:rPr>
          <w:color w:val="010202"/>
        </w:rPr>
        <w:t>“where they are,” both physically and in</w:t>
      </w:r>
      <w:r>
        <w:rPr>
          <w:color w:val="010202"/>
          <w:spacing w:val="1"/>
        </w:rPr>
        <w:t> </w:t>
      </w:r>
      <w:r>
        <w:rPr>
          <w:color w:val="010202"/>
        </w:rPr>
        <w:t>therapeutic orientation, is critical to engaging</w:t>
      </w:r>
      <w:r>
        <w:rPr>
          <w:color w:val="010202"/>
          <w:spacing w:val="1"/>
        </w:rPr>
        <w:t> </w:t>
      </w:r>
      <w:r>
        <w:rPr>
          <w:color w:val="010202"/>
        </w:rPr>
        <w:t>those</w:t>
      </w:r>
      <w:r>
        <w:rPr>
          <w:color w:val="010202"/>
          <w:spacing w:val="-5"/>
        </w:rPr>
        <w:t> </w:t>
      </w:r>
      <w:r>
        <w:rPr>
          <w:color w:val="010202"/>
        </w:rPr>
        <w:t>who</w:t>
      </w:r>
      <w:r>
        <w:rPr>
          <w:color w:val="010202"/>
          <w:spacing w:val="-6"/>
        </w:rPr>
        <w:t> </w:t>
      </w:r>
      <w:r>
        <w:rPr>
          <w:color w:val="010202"/>
        </w:rPr>
        <w:t>carry</w:t>
      </w:r>
      <w:r>
        <w:rPr>
          <w:color w:val="010202"/>
          <w:spacing w:val="-5"/>
        </w:rPr>
        <w:t> </w:t>
      </w:r>
      <w:r>
        <w:rPr>
          <w:color w:val="010202"/>
        </w:rPr>
        <w:t>significant</w:t>
      </w:r>
      <w:r>
        <w:rPr>
          <w:color w:val="010202"/>
          <w:spacing w:val="-6"/>
        </w:rPr>
        <w:t> </w:t>
      </w:r>
      <w:r>
        <w:rPr>
          <w:color w:val="010202"/>
        </w:rPr>
        <w:t>societal</w:t>
      </w:r>
      <w:r>
        <w:rPr>
          <w:color w:val="010202"/>
          <w:spacing w:val="-5"/>
        </w:rPr>
        <w:t> </w:t>
      </w:r>
      <w:r>
        <w:rPr>
          <w:color w:val="010202"/>
        </w:rPr>
        <w:t>trauma</w:t>
      </w:r>
      <w:r>
        <w:rPr>
          <w:color w:val="010202"/>
          <w:spacing w:val="-5"/>
        </w:rPr>
        <w:t> </w:t>
      </w:r>
      <w:r>
        <w:rPr>
          <w:color w:val="010202"/>
        </w:rPr>
        <w:t>(e.g.,</w:t>
      </w:r>
      <w:r>
        <w:rPr>
          <w:color w:val="010202"/>
          <w:spacing w:val="-52"/>
        </w:rPr>
        <w:t> </w:t>
      </w:r>
      <w:r>
        <w:rPr>
          <w:color w:val="010202"/>
        </w:rPr>
        <w:t>from institutionalization, racism, poverty) and</w:t>
      </w:r>
      <w:r>
        <w:rPr>
          <w:color w:val="010202"/>
          <w:spacing w:val="1"/>
        </w:rPr>
        <w:t> </w:t>
      </w:r>
      <w:r>
        <w:rPr>
          <w:color w:val="010202"/>
        </w:rPr>
        <w:t>are thus hesitant to engage in care.</w:t>
      </w:r>
    </w:p>
    <w:p>
      <w:pPr>
        <w:pStyle w:val="ListParagraph"/>
        <w:numPr>
          <w:ilvl w:val="1"/>
          <w:numId w:val="5"/>
        </w:numPr>
        <w:tabs>
          <w:tab w:pos="839" w:val="left" w:leader="none"/>
          <w:tab w:pos="840" w:val="left" w:leader="none"/>
        </w:tabs>
        <w:spacing w:line="266" w:lineRule="auto" w:before="24" w:after="0"/>
        <w:ind w:left="839" w:right="50" w:hanging="360"/>
        <w:jc w:val="left"/>
        <w:rPr>
          <w:rFonts w:ascii="Symbol" w:hAnsi="Symbol"/>
          <w:color w:val="010202"/>
          <w:sz w:val="22"/>
        </w:rPr>
      </w:pPr>
      <w:r>
        <w:rPr>
          <w:b/>
          <w:color w:val="010202"/>
          <w:sz w:val="22"/>
        </w:rPr>
        <w:t>Sustainable</w:t>
      </w:r>
      <w:r>
        <w:rPr>
          <w:b/>
          <w:color w:val="010202"/>
          <w:spacing w:val="-6"/>
          <w:sz w:val="22"/>
        </w:rPr>
        <w:t> </w:t>
      </w:r>
      <w:r>
        <w:rPr>
          <w:b/>
          <w:color w:val="010202"/>
          <w:sz w:val="22"/>
        </w:rPr>
        <w:t>telehealth</w:t>
      </w:r>
      <w:r>
        <w:rPr>
          <w:b/>
          <w:color w:val="010202"/>
          <w:spacing w:val="-4"/>
          <w:sz w:val="22"/>
        </w:rPr>
        <w:t> </w:t>
      </w:r>
      <w:r>
        <w:rPr>
          <w:b/>
          <w:color w:val="010202"/>
          <w:sz w:val="22"/>
        </w:rPr>
        <w:t>requires</w:t>
      </w:r>
      <w:r>
        <w:rPr>
          <w:b/>
          <w:color w:val="010202"/>
          <w:spacing w:val="-5"/>
          <w:sz w:val="22"/>
        </w:rPr>
        <w:t> </w:t>
      </w:r>
      <w:r>
        <w:rPr>
          <w:b/>
          <w:color w:val="010202"/>
          <w:sz w:val="22"/>
        </w:rPr>
        <w:t>an</w:t>
      </w:r>
      <w:r>
        <w:rPr>
          <w:b/>
          <w:color w:val="010202"/>
          <w:spacing w:val="-4"/>
          <w:sz w:val="22"/>
        </w:rPr>
        <w:t> </w:t>
      </w:r>
      <w:r>
        <w:rPr>
          <w:b/>
          <w:color w:val="010202"/>
          <w:sz w:val="22"/>
        </w:rPr>
        <w:t>assessment</w:t>
      </w:r>
      <w:r>
        <w:rPr>
          <w:b/>
          <w:color w:val="010202"/>
          <w:spacing w:val="-52"/>
          <w:sz w:val="22"/>
        </w:rPr>
        <w:t> </w:t>
      </w:r>
      <w:r>
        <w:rPr>
          <w:b/>
          <w:color w:val="010202"/>
          <w:sz w:val="22"/>
        </w:rPr>
        <w:t>of client’s technology context. </w:t>
      </w:r>
      <w:r>
        <w:rPr>
          <w:color w:val="010202"/>
          <w:sz w:val="22"/>
        </w:rPr>
        <w:t>Distributing</w:t>
      </w:r>
      <w:r>
        <w:rPr>
          <w:color w:val="010202"/>
          <w:spacing w:val="1"/>
          <w:sz w:val="22"/>
        </w:rPr>
        <w:t> </w:t>
      </w:r>
      <w:r>
        <w:rPr>
          <w:color w:val="010202"/>
          <w:sz w:val="22"/>
        </w:rPr>
        <w:t>phones to clients at the beginning of the</w:t>
      </w:r>
      <w:r>
        <w:rPr>
          <w:color w:val="010202"/>
          <w:spacing w:val="1"/>
          <w:sz w:val="22"/>
        </w:rPr>
        <w:t> </w:t>
      </w:r>
      <w:r>
        <w:rPr>
          <w:color w:val="010202"/>
          <w:sz w:val="22"/>
        </w:rPr>
        <w:t>pandemic was an effective way to initially</w:t>
      </w:r>
      <w:r>
        <w:rPr>
          <w:color w:val="010202"/>
          <w:spacing w:val="1"/>
          <w:sz w:val="22"/>
        </w:rPr>
        <w:t> </w:t>
      </w:r>
      <w:r>
        <w:rPr>
          <w:color w:val="010202"/>
          <w:sz w:val="22"/>
        </w:rPr>
        <w:t>maintain contact with clients. However, phone</w:t>
      </w:r>
      <w:r>
        <w:rPr>
          <w:color w:val="010202"/>
          <w:spacing w:val="1"/>
          <w:sz w:val="22"/>
        </w:rPr>
        <w:t> </w:t>
      </w:r>
      <w:r>
        <w:rPr>
          <w:color w:val="010202"/>
          <w:sz w:val="22"/>
        </w:rPr>
        <w:t>attrition</w:t>
      </w:r>
      <w:r>
        <w:rPr>
          <w:color w:val="010202"/>
          <w:spacing w:val="-2"/>
          <w:sz w:val="22"/>
        </w:rPr>
        <w:t> </w:t>
      </w:r>
      <w:r>
        <w:rPr>
          <w:color w:val="010202"/>
          <w:sz w:val="22"/>
        </w:rPr>
        <w:t>was</w:t>
      </w:r>
      <w:r>
        <w:rPr>
          <w:color w:val="010202"/>
          <w:spacing w:val="-2"/>
          <w:sz w:val="22"/>
        </w:rPr>
        <w:t> </w:t>
      </w:r>
      <w:r>
        <w:rPr>
          <w:color w:val="010202"/>
          <w:sz w:val="22"/>
        </w:rPr>
        <w:t>significant</w:t>
      </w:r>
      <w:r>
        <w:rPr>
          <w:color w:val="010202"/>
          <w:spacing w:val="-2"/>
          <w:sz w:val="22"/>
        </w:rPr>
        <w:t> </w:t>
      </w:r>
      <w:r>
        <w:rPr>
          <w:color w:val="010202"/>
          <w:sz w:val="22"/>
        </w:rPr>
        <w:t>over</w:t>
      </w:r>
      <w:r>
        <w:rPr>
          <w:color w:val="010202"/>
          <w:spacing w:val="-1"/>
          <w:sz w:val="22"/>
        </w:rPr>
        <w:t> </w:t>
      </w:r>
      <w:r>
        <w:rPr>
          <w:color w:val="010202"/>
          <w:sz w:val="22"/>
        </w:rPr>
        <w:t>time</w:t>
      </w:r>
      <w:r>
        <w:rPr>
          <w:color w:val="010202"/>
          <w:spacing w:val="-2"/>
          <w:sz w:val="22"/>
        </w:rPr>
        <w:t> </w:t>
      </w:r>
      <w:r>
        <w:rPr>
          <w:color w:val="010202"/>
          <w:sz w:val="22"/>
        </w:rPr>
        <w:t>due</w:t>
      </w:r>
      <w:r>
        <w:rPr>
          <w:color w:val="010202"/>
          <w:spacing w:val="-1"/>
          <w:sz w:val="22"/>
        </w:rPr>
        <w:t> </w:t>
      </w:r>
      <w:r>
        <w:rPr>
          <w:color w:val="010202"/>
          <w:sz w:val="22"/>
        </w:rPr>
        <w:t>to</w:t>
      </w:r>
    </w:p>
    <w:p>
      <w:pPr>
        <w:pStyle w:val="BodyText"/>
        <w:spacing w:line="266" w:lineRule="auto"/>
        <w:ind w:left="839" w:right="143"/>
      </w:pPr>
      <w:r>
        <w:rPr>
          <w:color w:val="010202"/>
        </w:rPr>
        <w:t>factors such as the utility of the phones (e.g.,</w:t>
      </w:r>
      <w:r>
        <w:rPr>
          <w:color w:val="010202"/>
          <w:spacing w:val="1"/>
        </w:rPr>
        <w:t> </w:t>
      </w:r>
      <w:r>
        <w:rPr>
          <w:color w:val="010202"/>
        </w:rPr>
        <w:t>some clients did not know how to use the</w:t>
      </w:r>
      <w:r>
        <w:rPr>
          <w:color w:val="010202"/>
          <w:spacing w:val="1"/>
        </w:rPr>
        <w:t> </w:t>
      </w:r>
      <w:r>
        <w:rPr>
          <w:color w:val="010202"/>
        </w:rPr>
        <w:t>phones), challenges to maintain data or operate</w:t>
      </w:r>
      <w:r>
        <w:rPr>
          <w:color w:val="010202"/>
          <w:spacing w:val="-52"/>
        </w:rPr>
        <w:t> </w:t>
      </w:r>
      <w:r>
        <w:rPr>
          <w:color w:val="010202"/>
        </w:rPr>
        <w:t>the phones (e.g., difficulty keeping phones</w:t>
      </w:r>
      <w:r>
        <w:rPr>
          <w:color w:val="010202"/>
          <w:spacing w:val="1"/>
        </w:rPr>
        <w:t> </w:t>
      </w:r>
      <w:r>
        <w:rPr>
          <w:color w:val="010202"/>
        </w:rPr>
        <w:t>charged while experiencing homelessness),</w:t>
      </w:r>
      <w:r>
        <w:rPr>
          <w:color w:val="010202"/>
          <w:spacing w:val="1"/>
        </w:rPr>
        <w:t> </w:t>
      </w:r>
      <w:r>
        <w:rPr>
          <w:color w:val="010202"/>
        </w:rPr>
        <w:t>lack of motivation to keep the phones, and</w:t>
      </w:r>
      <w:r>
        <w:rPr>
          <w:color w:val="010202"/>
          <w:spacing w:val="1"/>
        </w:rPr>
        <w:t> </w:t>
      </w:r>
      <w:r>
        <w:rPr>
          <w:color w:val="010202"/>
        </w:rPr>
        <w:t>theft. Additional challenges included client</w:t>
      </w:r>
      <w:r>
        <w:rPr>
          <w:color w:val="010202"/>
          <w:spacing w:val="1"/>
        </w:rPr>
        <w:t> </w:t>
      </w:r>
      <w:r>
        <w:rPr>
          <w:color w:val="010202"/>
        </w:rPr>
        <w:t>interest and ability to maintain equipment and</w:t>
      </w:r>
      <w:r>
        <w:rPr>
          <w:color w:val="010202"/>
          <w:spacing w:val="1"/>
        </w:rPr>
        <w:t> </w:t>
      </w:r>
      <w:r>
        <w:rPr>
          <w:color w:val="010202"/>
        </w:rPr>
        <w:t>connectivity,</w:t>
      </w:r>
      <w:r>
        <w:rPr>
          <w:color w:val="010202"/>
          <w:spacing w:val="-3"/>
        </w:rPr>
        <w:t> </w:t>
      </w:r>
      <w:r>
        <w:rPr>
          <w:color w:val="010202"/>
        </w:rPr>
        <w:t>existing</w:t>
      </w:r>
      <w:r>
        <w:rPr>
          <w:color w:val="010202"/>
          <w:spacing w:val="-2"/>
        </w:rPr>
        <w:t> </w:t>
      </w:r>
      <w:r>
        <w:rPr>
          <w:color w:val="010202"/>
        </w:rPr>
        <w:t>physical</w:t>
      </w:r>
      <w:r>
        <w:rPr>
          <w:color w:val="010202"/>
          <w:spacing w:val="-3"/>
        </w:rPr>
        <w:t> </w:t>
      </w:r>
      <w:r>
        <w:rPr>
          <w:color w:val="010202"/>
        </w:rPr>
        <w:t>and</w:t>
      </w:r>
      <w:r>
        <w:rPr>
          <w:color w:val="010202"/>
          <w:spacing w:val="-2"/>
        </w:rPr>
        <w:t> </w:t>
      </w:r>
      <w:r>
        <w:rPr>
          <w:color w:val="010202"/>
        </w:rPr>
        <w:t>behavioral</w:t>
      </w:r>
    </w:p>
    <w:p>
      <w:pPr>
        <w:pStyle w:val="BodyText"/>
        <w:spacing w:line="266" w:lineRule="auto"/>
        <w:ind w:left="839" w:right="39"/>
        <w:jc w:val="both"/>
      </w:pPr>
      <w:r>
        <w:rPr>
          <w:color w:val="010202"/>
        </w:rPr>
        <w:t>challenges,</w:t>
      </w:r>
      <w:r>
        <w:rPr>
          <w:color w:val="010202"/>
          <w:spacing w:val="-6"/>
        </w:rPr>
        <w:t> </w:t>
      </w:r>
      <w:r>
        <w:rPr>
          <w:color w:val="010202"/>
        </w:rPr>
        <w:t>and</w:t>
      </w:r>
      <w:r>
        <w:rPr>
          <w:color w:val="010202"/>
          <w:spacing w:val="-6"/>
        </w:rPr>
        <w:t> </w:t>
      </w:r>
      <w:r>
        <w:rPr>
          <w:color w:val="010202"/>
        </w:rPr>
        <w:t>baseline</w:t>
      </w:r>
      <w:r>
        <w:rPr>
          <w:color w:val="010202"/>
          <w:spacing w:val="-6"/>
        </w:rPr>
        <w:t> </w:t>
      </w:r>
      <w:r>
        <w:rPr>
          <w:color w:val="010202"/>
        </w:rPr>
        <w:t>literacy.</w:t>
      </w:r>
      <w:r>
        <w:rPr>
          <w:color w:val="010202"/>
          <w:spacing w:val="-5"/>
        </w:rPr>
        <w:t> </w:t>
      </w:r>
      <w:r>
        <w:rPr>
          <w:color w:val="010202"/>
        </w:rPr>
        <w:t>Knowing</w:t>
      </w:r>
      <w:r>
        <w:rPr>
          <w:color w:val="010202"/>
          <w:spacing w:val="-6"/>
        </w:rPr>
        <w:t> </w:t>
      </w:r>
      <w:r>
        <w:rPr>
          <w:color w:val="010202"/>
        </w:rPr>
        <w:t>these</w:t>
      </w:r>
      <w:r>
        <w:rPr>
          <w:color w:val="010202"/>
          <w:spacing w:val="-53"/>
        </w:rPr>
        <w:t> </w:t>
      </w:r>
      <w:r>
        <w:rPr>
          <w:color w:val="010202"/>
        </w:rPr>
        <w:t>factors allowed staff to match clients to the right</w:t>
      </w:r>
      <w:r>
        <w:rPr>
          <w:color w:val="010202"/>
          <w:spacing w:val="-52"/>
        </w:rPr>
        <w:t> </w:t>
      </w:r>
      <w:r>
        <w:rPr>
          <w:color w:val="010202"/>
        </w:rPr>
        <w:t>equipment and connectivity plan.</w:t>
      </w:r>
    </w:p>
    <w:p>
      <w:pPr>
        <w:pStyle w:val="ListParagraph"/>
        <w:numPr>
          <w:ilvl w:val="1"/>
          <w:numId w:val="5"/>
        </w:numPr>
        <w:tabs>
          <w:tab w:pos="839" w:val="left" w:leader="none"/>
          <w:tab w:pos="840" w:val="left" w:leader="none"/>
        </w:tabs>
        <w:spacing w:line="266" w:lineRule="auto" w:before="15" w:after="0"/>
        <w:ind w:left="839" w:right="147" w:hanging="360"/>
        <w:jc w:val="left"/>
        <w:rPr>
          <w:rFonts w:ascii="Symbol" w:hAnsi="Symbol"/>
          <w:color w:val="010202"/>
          <w:sz w:val="22"/>
        </w:rPr>
      </w:pPr>
      <w:r>
        <w:rPr>
          <w:b/>
          <w:color w:val="010202"/>
          <w:sz w:val="22"/>
        </w:rPr>
        <w:t>Clients need additional assistance to succeed</w:t>
      </w:r>
      <w:r>
        <w:rPr>
          <w:b/>
          <w:color w:val="010202"/>
          <w:spacing w:val="-53"/>
          <w:sz w:val="22"/>
        </w:rPr>
        <w:t> </w:t>
      </w:r>
      <w:r>
        <w:rPr>
          <w:b/>
          <w:color w:val="010202"/>
          <w:sz w:val="22"/>
        </w:rPr>
        <w:t>in telehealth, telehealth needs to be adapted</w:t>
      </w:r>
      <w:r>
        <w:rPr>
          <w:b/>
          <w:color w:val="010202"/>
          <w:spacing w:val="1"/>
          <w:sz w:val="22"/>
        </w:rPr>
        <w:t> </w:t>
      </w:r>
      <w:r>
        <w:rPr>
          <w:b/>
          <w:color w:val="010202"/>
          <w:sz w:val="22"/>
        </w:rPr>
        <w:t>for clients, and telehealth may not work for</w:t>
      </w:r>
      <w:r>
        <w:rPr>
          <w:b/>
          <w:color w:val="010202"/>
          <w:spacing w:val="1"/>
          <w:sz w:val="22"/>
        </w:rPr>
        <w:t> </w:t>
      </w:r>
      <w:r>
        <w:rPr>
          <w:b/>
          <w:color w:val="010202"/>
          <w:sz w:val="22"/>
        </w:rPr>
        <w:t>all clients. </w:t>
      </w:r>
      <w:r>
        <w:rPr>
          <w:color w:val="010202"/>
          <w:sz w:val="22"/>
        </w:rPr>
        <w:t>Citywide clients require assistance</w:t>
      </w:r>
      <w:r>
        <w:rPr>
          <w:color w:val="010202"/>
          <w:spacing w:val="1"/>
          <w:sz w:val="22"/>
        </w:rPr>
        <w:t> </w:t>
      </w:r>
      <w:r>
        <w:rPr>
          <w:color w:val="010202"/>
          <w:sz w:val="22"/>
        </w:rPr>
        <w:t>in setting up technology and using it. Since</w:t>
      </w:r>
      <w:r>
        <w:rPr>
          <w:color w:val="010202"/>
          <w:spacing w:val="1"/>
          <w:sz w:val="22"/>
        </w:rPr>
        <w:t> </w:t>
      </w:r>
      <w:r>
        <w:rPr>
          <w:color w:val="010202"/>
          <w:sz w:val="22"/>
        </w:rPr>
        <w:t>clients have difficulty using and maintaining</w:t>
      </w:r>
      <w:r>
        <w:rPr>
          <w:color w:val="010202"/>
          <w:spacing w:val="1"/>
          <w:sz w:val="22"/>
        </w:rPr>
        <w:t> </w:t>
      </w:r>
      <w:r>
        <w:rPr>
          <w:color w:val="010202"/>
          <w:sz w:val="22"/>
        </w:rPr>
        <w:t>possession</w:t>
      </w:r>
      <w:r>
        <w:rPr>
          <w:color w:val="010202"/>
          <w:spacing w:val="-1"/>
          <w:sz w:val="22"/>
        </w:rPr>
        <w:t> </w:t>
      </w:r>
      <w:r>
        <w:rPr>
          <w:color w:val="010202"/>
          <w:sz w:val="22"/>
        </w:rPr>
        <w:t>of phones and other technology</w:t>
      </w:r>
    </w:p>
    <w:p>
      <w:pPr>
        <w:pStyle w:val="BodyText"/>
        <w:spacing w:line="266" w:lineRule="auto" w:before="93"/>
        <w:ind w:left="479" w:right="1040"/>
      </w:pPr>
      <w:r>
        <w:rPr/>
        <w:br w:type="column"/>
      </w:r>
      <w:r>
        <w:rPr>
          <w:color w:val="010202"/>
        </w:rPr>
        <w:t>(e.g., laptops, computers), Citywide staff</w:t>
      </w:r>
      <w:r>
        <w:rPr>
          <w:color w:val="010202"/>
          <w:spacing w:val="1"/>
        </w:rPr>
        <w:t> </w:t>
      </w:r>
      <w:r>
        <w:rPr>
          <w:color w:val="010202"/>
        </w:rPr>
        <w:t>used a contingency management approach to</w:t>
      </w:r>
      <w:r>
        <w:rPr>
          <w:color w:val="010202"/>
          <w:spacing w:val="-52"/>
        </w:rPr>
        <w:t> </w:t>
      </w:r>
      <w:r>
        <w:rPr>
          <w:color w:val="010202"/>
        </w:rPr>
        <w:t>provide</w:t>
      </w:r>
      <w:r>
        <w:rPr>
          <w:color w:val="010202"/>
          <w:spacing w:val="-3"/>
        </w:rPr>
        <w:t> </w:t>
      </w:r>
      <w:r>
        <w:rPr>
          <w:color w:val="010202"/>
        </w:rPr>
        <w:t>incentives</w:t>
      </w:r>
      <w:r>
        <w:rPr>
          <w:color w:val="010202"/>
          <w:spacing w:val="-2"/>
        </w:rPr>
        <w:t> </w:t>
      </w:r>
      <w:r>
        <w:rPr>
          <w:color w:val="010202"/>
        </w:rPr>
        <w:t>to</w:t>
      </w:r>
      <w:r>
        <w:rPr>
          <w:color w:val="010202"/>
          <w:spacing w:val="-2"/>
        </w:rPr>
        <w:t> </w:t>
      </w:r>
      <w:r>
        <w:rPr>
          <w:color w:val="010202"/>
        </w:rPr>
        <w:t>clients</w:t>
      </w:r>
      <w:r>
        <w:rPr>
          <w:color w:val="010202"/>
          <w:spacing w:val="-2"/>
        </w:rPr>
        <w:t> </w:t>
      </w:r>
      <w:r>
        <w:rPr>
          <w:color w:val="010202"/>
        </w:rPr>
        <w:t>to</w:t>
      </w:r>
      <w:r>
        <w:rPr>
          <w:color w:val="010202"/>
          <w:spacing w:val="-2"/>
        </w:rPr>
        <w:t> </w:t>
      </w:r>
      <w:r>
        <w:rPr>
          <w:color w:val="010202"/>
        </w:rPr>
        <w:t>not</w:t>
      </w:r>
      <w:r>
        <w:rPr>
          <w:color w:val="010202"/>
          <w:spacing w:val="-2"/>
        </w:rPr>
        <w:t> </w:t>
      </w:r>
      <w:r>
        <w:rPr>
          <w:color w:val="010202"/>
        </w:rPr>
        <w:t>lose</w:t>
      </w:r>
      <w:r>
        <w:rPr>
          <w:color w:val="010202"/>
          <w:spacing w:val="-2"/>
        </w:rPr>
        <w:t> </w:t>
      </w:r>
      <w:r>
        <w:rPr>
          <w:color w:val="010202"/>
        </w:rPr>
        <w:t>them.</w:t>
      </w:r>
    </w:p>
    <w:p>
      <w:pPr>
        <w:pStyle w:val="BodyText"/>
        <w:spacing w:line="266" w:lineRule="auto"/>
        <w:ind w:left="479" w:right="878"/>
      </w:pPr>
      <w:r>
        <w:rPr>
          <w:color w:val="010202"/>
        </w:rPr>
        <w:t>Also, clients need reliable Wi-Fi access, as the</w:t>
      </w:r>
      <w:r>
        <w:rPr>
          <w:color w:val="010202"/>
          <w:spacing w:val="1"/>
        </w:rPr>
        <w:t> </w:t>
      </w:r>
      <w:r>
        <w:rPr>
          <w:color w:val="010202"/>
        </w:rPr>
        <w:t>cell phone data plans alone were insufficient</w:t>
      </w:r>
      <w:r>
        <w:rPr>
          <w:color w:val="010202"/>
          <w:spacing w:val="1"/>
        </w:rPr>
        <w:t> </w:t>
      </w:r>
      <w:r>
        <w:rPr>
          <w:color w:val="010202"/>
        </w:rPr>
        <w:t>for video-based telehealth sessions. However,</w:t>
      </w:r>
      <w:r>
        <w:rPr>
          <w:color w:val="010202"/>
          <w:spacing w:val="1"/>
        </w:rPr>
        <w:t> </w:t>
      </w:r>
      <w:r>
        <w:rPr>
          <w:color w:val="010202"/>
        </w:rPr>
        <w:t>access to technology does not replace the need</w:t>
      </w:r>
      <w:r>
        <w:rPr>
          <w:color w:val="010202"/>
          <w:spacing w:val="1"/>
        </w:rPr>
        <w:t> </w:t>
      </w:r>
      <w:r>
        <w:rPr>
          <w:color w:val="010202"/>
        </w:rPr>
        <w:t>for in-person services. By providing “Para-</w:t>
      </w:r>
      <w:r>
        <w:rPr>
          <w:color w:val="010202"/>
          <w:spacing w:val="1"/>
        </w:rPr>
        <w:t> </w:t>
      </w:r>
      <w:r>
        <w:rPr>
          <w:color w:val="010202"/>
        </w:rPr>
        <w:t>Telehealth,”</w:t>
      </w:r>
      <w:r>
        <w:rPr>
          <w:color w:val="010202"/>
          <w:spacing w:val="-5"/>
        </w:rPr>
        <w:t> </w:t>
      </w:r>
      <w:r>
        <w:rPr>
          <w:color w:val="010202"/>
        </w:rPr>
        <w:t>Citywide</w:t>
      </w:r>
      <w:r>
        <w:rPr>
          <w:color w:val="010202"/>
          <w:spacing w:val="-5"/>
        </w:rPr>
        <w:t> </w:t>
      </w:r>
      <w:r>
        <w:rPr>
          <w:color w:val="010202"/>
        </w:rPr>
        <w:t>can</w:t>
      </w:r>
      <w:r>
        <w:rPr>
          <w:color w:val="010202"/>
          <w:spacing w:val="-5"/>
        </w:rPr>
        <w:t> </w:t>
      </w:r>
      <w:r>
        <w:rPr>
          <w:color w:val="010202"/>
        </w:rPr>
        <w:t>reach</w:t>
      </w:r>
      <w:r>
        <w:rPr>
          <w:color w:val="010202"/>
          <w:spacing w:val="-5"/>
        </w:rPr>
        <w:t> </w:t>
      </w:r>
      <w:r>
        <w:rPr>
          <w:color w:val="010202"/>
        </w:rPr>
        <w:t>clients</w:t>
      </w:r>
      <w:r>
        <w:rPr>
          <w:color w:val="010202"/>
          <w:spacing w:val="-5"/>
        </w:rPr>
        <w:t> </w:t>
      </w:r>
      <w:r>
        <w:rPr>
          <w:color w:val="010202"/>
        </w:rPr>
        <w:t>who</w:t>
      </w:r>
      <w:r>
        <w:rPr>
          <w:color w:val="010202"/>
          <w:spacing w:val="-5"/>
        </w:rPr>
        <w:t> </w:t>
      </w:r>
      <w:r>
        <w:rPr>
          <w:color w:val="010202"/>
        </w:rPr>
        <w:t>do</w:t>
      </w:r>
      <w:r>
        <w:rPr>
          <w:color w:val="010202"/>
          <w:spacing w:val="-52"/>
        </w:rPr>
        <w:t> </w:t>
      </w:r>
      <w:r>
        <w:rPr>
          <w:color w:val="010202"/>
        </w:rPr>
        <w:t>not have technology tools while also providing</w:t>
      </w:r>
      <w:r>
        <w:rPr>
          <w:color w:val="010202"/>
          <w:spacing w:val="-52"/>
        </w:rPr>
        <w:t> </w:t>
      </w:r>
      <w:r>
        <w:rPr>
          <w:color w:val="010202"/>
          <w:spacing w:val="-1"/>
        </w:rPr>
        <w:t>technology </w:t>
      </w:r>
      <w:r>
        <w:rPr>
          <w:color w:val="010202"/>
        </w:rPr>
        <w:t>literacy training.</w:t>
      </w:r>
      <w:r>
        <w:rPr>
          <w:color w:val="010202"/>
          <w:spacing w:val="-14"/>
        </w:rPr>
        <w:t> </w:t>
      </w:r>
      <w:r>
        <w:rPr>
          <w:color w:val="010202"/>
        </w:rPr>
        <w:t>Additionally,</w:t>
      </w:r>
    </w:p>
    <w:p>
      <w:pPr>
        <w:pStyle w:val="BodyText"/>
        <w:spacing w:line="266" w:lineRule="auto"/>
        <w:ind w:left="479" w:right="755"/>
      </w:pPr>
      <w:r>
        <w:rPr>
          <w:color w:val="010202"/>
        </w:rPr>
        <w:t>Citywide found that some clients with psychosis</w:t>
      </w:r>
      <w:r>
        <w:rPr>
          <w:color w:val="010202"/>
          <w:spacing w:val="-52"/>
        </w:rPr>
        <w:t> </w:t>
      </w:r>
      <w:r>
        <w:rPr>
          <w:color w:val="010202"/>
        </w:rPr>
        <w:t>felt more suspicious of video sessions with</w:t>
      </w:r>
      <w:r>
        <w:rPr>
          <w:color w:val="010202"/>
          <w:spacing w:val="1"/>
        </w:rPr>
        <w:t> </w:t>
      </w:r>
      <w:r>
        <w:rPr>
          <w:color w:val="010202"/>
        </w:rPr>
        <w:t>clinicians.</w:t>
      </w:r>
    </w:p>
    <w:p>
      <w:pPr>
        <w:pStyle w:val="Heading5"/>
        <w:numPr>
          <w:ilvl w:val="0"/>
          <w:numId w:val="5"/>
        </w:numPr>
        <w:tabs>
          <w:tab w:pos="479" w:val="left" w:leader="none"/>
          <w:tab w:pos="480" w:val="left" w:leader="none"/>
        </w:tabs>
        <w:spacing w:line="264" w:lineRule="auto" w:before="20" w:after="0"/>
        <w:ind w:left="479" w:right="807" w:hanging="360"/>
        <w:jc w:val="left"/>
        <w:rPr>
          <w:rFonts w:ascii="Times New Roman" w:hAnsi="Times New Roman"/>
          <w:b w:val="0"/>
        </w:rPr>
      </w:pPr>
      <w:r>
        <w:rPr>
          <w:rFonts w:ascii="Times New Roman" w:hAnsi="Times New Roman"/>
          <w:color w:val="010202"/>
        </w:rPr>
        <w:t>Programs</w:t>
      </w:r>
      <w:r>
        <w:rPr>
          <w:rFonts w:ascii="Times New Roman" w:hAnsi="Times New Roman"/>
          <w:color w:val="010202"/>
          <w:spacing w:val="-6"/>
        </w:rPr>
        <w:t> </w:t>
      </w:r>
      <w:r>
        <w:rPr>
          <w:rFonts w:ascii="Times New Roman" w:hAnsi="Times New Roman"/>
          <w:color w:val="010202"/>
        </w:rPr>
        <w:t>need</w:t>
      </w:r>
      <w:r>
        <w:rPr>
          <w:rFonts w:ascii="Times New Roman" w:hAnsi="Times New Roman"/>
          <w:color w:val="010202"/>
          <w:spacing w:val="-7"/>
        </w:rPr>
        <w:t> </w:t>
      </w:r>
      <w:r>
        <w:rPr>
          <w:rFonts w:ascii="Times New Roman" w:hAnsi="Times New Roman"/>
          <w:color w:val="010202"/>
        </w:rPr>
        <w:t>additional</w:t>
      </w:r>
      <w:r>
        <w:rPr>
          <w:rFonts w:ascii="Times New Roman" w:hAnsi="Times New Roman"/>
          <w:color w:val="010202"/>
          <w:spacing w:val="-6"/>
        </w:rPr>
        <w:t> </w:t>
      </w:r>
      <w:r>
        <w:rPr>
          <w:rFonts w:ascii="Times New Roman" w:hAnsi="Times New Roman"/>
          <w:color w:val="010202"/>
        </w:rPr>
        <w:t>resources</w:t>
      </w:r>
      <w:r>
        <w:rPr>
          <w:rFonts w:ascii="Times New Roman" w:hAnsi="Times New Roman"/>
          <w:color w:val="010202"/>
          <w:spacing w:val="-6"/>
        </w:rPr>
        <w:t> </w:t>
      </w:r>
      <w:r>
        <w:rPr>
          <w:rFonts w:ascii="Times New Roman" w:hAnsi="Times New Roman"/>
          <w:color w:val="010202"/>
        </w:rPr>
        <w:t>to</w:t>
      </w:r>
      <w:r>
        <w:rPr>
          <w:rFonts w:ascii="Times New Roman" w:hAnsi="Times New Roman"/>
          <w:color w:val="010202"/>
          <w:spacing w:val="-5"/>
        </w:rPr>
        <w:t> </w:t>
      </w:r>
      <w:r>
        <w:rPr>
          <w:rFonts w:ascii="Times New Roman" w:hAnsi="Times New Roman"/>
          <w:color w:val="010202"/>
        </w:rPr>
        <w:t>create</w:t>
      </w:r>
      <w:r>
        <w:rPr>
          <w:rFonts w:ascii="Times New Roman" w:hAnsi="Times New Roman"/>
          <w:color w:val="010202"/>
          <w:spacing w:val="-52"/>
        </w:rPr>
        <w:t> </w:t>
      </w:r>
      <w:r>
        <w:rPr>
          <w:rFonts w:ascii="Times New Roman" w:hAnsi="Times New Roman"/>
          <w:color w:val="010202"/>
        </w:rPr>
        <w:t>a</w:t>
      </w:r>
      <w:r>
        <w:rPr>
          <w:rFonts w:ascii="Times New Roman" w:hAnsi="Times New Roman"/>
          <w:color w:val="010202"/>
          <w:spacing w:val="-1"/>
        </w:rPr>
        <w:t> </w:t>
      </w:r>
      <w:r>
        <w:rPr>
          <w:rFonts w:ascii="Times New Roman" w:hAnsi="Times New Roman"/>
          <w:color w:val="010202"/>
        </w:rPr>
        <w:t>telehealth</w:t>
      </w:r>
      <w:r>
        <w:rPr>
          <w:rFonts w:ascii="Times New Roman" w:hAnsi="Times New Roman"/>
          <w:color w:val="010202"/>
          <w:spacing w:val="-1"/>
        </w:rPr>
        <w:t> </w:t>
      </w:r>
      <w:r>
        <w:rPr>
          <w:rFonts w:ascii="Times New Roman" w:hAnsi="Times New Roman"/>
          <w:color w:val="010202"/>
        </w:rPr>
        <w:t>program.</w:t>
      </w:r>
      <w:r>
        <w:rPr>
          <w:rFonts w:ascii="Times New Roman" w:hAnsi="Times New Roman"/>
          <w:color w:val="010202"/>
          <w:spacing w:val="-4"/>
        </w:rPr>
        <w:t> </w:t>
      </w:r>
      <w:r>
        <w:rPr>
          <w:rFonts w:ascii="Times New Roman" w:hAnsi="Times New Roman"/>
          <w:b w:val="0"/>
          <w:color w:val="010202"/>
        </w:rPr>
        <w:t>Though COVID-19</w:t>
      </w:r>
    </w:p>
    <w:p>
      <w:pPr>
        <w:pStyle w:val="BodyText"/>
        <w:spacing w:line="266" w:lineRule="auto" w:before="1"/>
        <w:ind w:left="479" w:right="879"/>
      </w:pPr>
      <w:r>
        <w:rPr>
          <w:color w:val="010202"/>
        </w:rPr>
        <w:t>has forced programs to implement telehealth-</w:t>
      </w:r>
      <w:r>
        <w:rPr>
          <w:color w:val="010202"/>
          <w:spacing w:val="1"/>
        </w:rPr>
        <w:t> </w:t>
      </w:r>
      <w:r>
        <w:rPr>
          <w:color w:val="010202"/>
        </w:rPr>
        <w:t>delivered services, a sustainable telehealth</w:t>
      </w:r>
      <w:r>
        <w:rPr>
          <w:color w:val="010202"/>
          <w:spacing w:val="1"/>
        </w:rPr>
        <w:t> </w:t>
      </w:r>
      <w:r>
        <w:rPr>
          <w:color w:val="010202"/>
        </w:rPr>
        <w:t>program is a new service type, not a temporary</w:t>
      </w:r>
      <w:r>
        <w:rPr>
          <w:color w:val="010202"/>
          <w:spacing w:val="-52"/>
        </w:rPr>
        <w:t> </w:t>
      </w:r>
      <w:r>
        <w:rPr>
          <w:color w:val="010202"/>
        </w:rPr>
        <w:t>adaptation or addition to an existing program.</w:t>
      </w:r>
      <w:r>
        <w:rPr>
          <w:color w:val="010202"/>
          <w:spacing w:val="1"/>
        </w:rPr>
        <w:t> </w:t>
      </w:r>
      <w:r>
        <w:rPr>
          <w:color w:val="010202"/>
        </w:rPr>
        <w:t>As such, additional resources are needed to not</w:t>
      </w:r>
      <w:r>
        <w:rPr>
          <w:color w:val="010202"/>
          <w:spacing w:val="-52"/>
        </w:rPr>
        <w:t> </w:t>
      </w:r>
      <w:r>
        <w:rPr>
          <w:color w:val="010202"/>
        </w:rPr>
        <w:t>only purchase the equipment and data plans,</w:t>
      </w:r>
      <w:r>
        <w:rPr>
          <w:color w:val="010202"/>
          <w:spacing w:val="1"/>
        </w:rPr>
        <w:t> </w:t>
      </w:r>
      <w:r>
        <w:rPr>
          <w:color w:val="010202"/>
        </w:rPr>
        <w:t>but also build the administrative capacity</w:t>
      </w:r>
    </w:p>
    <w:p>
      <w:pPr>
        <w:pStyle w:val="BodyText"/>
        <w:spacing w:line="266" w:lineRule="auto"/>
        <w:ind w:left="479" w:right="1041"/>
      </w:pPr>
      <w:r>
        <w:rPr>
          <w:color w:val="010202"/>
        </w:rPr>
        <w:t>to operationalize every aspect of the new</w:t>
      </w:r>
      <w:r>
        <w:rPr>
          <w:color w:val="010202"/>
          <w:spacing w:val="1"/>
        </w:rPr>
        <w:t> </w:t>
      </w:r>
      <w:r>
        <w:rPr>
          <w:color w:val="010202"/>
        </w:rPr>
        <w:t>program (e.g., negotiating the appropriate</w:t>
      </w:r>
      <w:r>
        <w:rPr>
          <w:color w:val="010202"/>
          <w:spacing w:val="1"/>
        </w:rPr>
        <w:t> </w:t>
      </w:r>
      <w:r>
        <w:rPr>
          <w:color w:val="010202"/>
        </w:rPr>
        <w:t>data</w:t>
      </w:r>
      <w:r>
        <w:rPr>
          <w:color w:val="010202"/>
          <w:spacing w:val="-4"/>
        </w:rPr>
        <w:t> </w:t>
      </w:r>
      <w:r>
        <w:rPr>
          <w:color w:val="010202"/>
        </w:rPr>
        <w:t>plan,</w:t>
      </w:r>
      <w:r>
        <w:rPr>
          <w:color w:val="010202"/>
          <w:spacing w:val="-3"/>
        </w:rPr>
        <w:t> </w:t>
      </w:r>
      <w:r>
        <w:rPr>
          <w:color w:val="010202"/>
        </w:rPr>
        <w:t>creating</w:t>
      </w:r>
      <w:r>
        <w:rPr>
          <w:color w:val="010202"/>
          <w:spacing w:val="-3"/>
        </w:rPr>
        <w:t> </w:t>
      </w:r>
      <w:r>
        <w:rPr>
          <w:color w:val="010202"/>
        </w:rPr>
        <w:t>dashboards</w:t>
      </w:r>
      <w:r>
        <w:rPr>
          <w:color w:val="010202"/>
          <w:spacing w:val="-3"/>
        </w:rPr>
        <w:t> </w:t>
      </w:r>
      <w:r>
        <w:rPr>
          <w:color w:val="010202"/>
        </w:rPr>
        <w:t>for</w:t>
      </w:r>
      <w:r>
        <w:rPr>
          <w:color w:val="010202"/>
          <w:spacing w:val="-3"/>
        </w:rPr>
        <w:t> </w:t>
      </w:r>
      <w:r>
        <w:rPr>
          <w:color w:val="010202"/>
        </w:rPr>
        <w:t>continuous</w:t>
      </w:r>
    </w:p>
    <w:p>
      <w:pPr>
        <w:pStyle w:val="BodyText"/>
        <w:spacing w:line="251" w:lineRule="exact"/>
        <w:ind w:left="479"/>
      </w:pPr>
      <w:r>
        <w:rPr>
          <w:color w:val="010202"/>
        </w:rPr>
        <w:t>improvement).</w:t>
      </w:r>
      <w:r>
        <w:rPr>
          <w:color w:val="010202"/>
          <w:spacing w:val="-3"/>
        </w:rPr>
        <w:t> </w:t>
      </w:r>
      <w:r>
        <w:rPr>
          <w:color w:val="010202"/>
        </w:rPr>
        <w:t>Clinicians</w:t>
      </w:r>
      <w:r>
        <w:rPr>
          <w:color w:val="010202"/>
          <w:spacing w:val="-2"/>
        </w:rPr>
        <w:t> </w:t>
      </w:r>
      <w:r>
        <w:rPr>
          <w:color w:val="010202"/>
        </w:rPr>
        <w:t>benefit</w:t>
      </w:r>
      <w:r>
        <w:rPr>
          <w:color w:val="010202"/>
          <w:spacing w:val="-2"/>
        </w:rPr>
        <w:t> </w:t>
      </w:r>
      <w:r>
        <w:rPr>
          <w:color w:val="010202"/>
        </w:rPr>
        <w:t>from</w:t>
      </w:r>
      <w:r>
        <w:rPr>
          <w:color w:val="010202"/>
          <w:spacing w:val="-3"/>
        </w:rPr>
        <w:t> </w:t>
      </w:r>
      <w:r>
        <w:rPr>
          <w:color w:val="010202"/>
        </w:rPr>
        <w:t>training</w:t>
      </w:r>
    </w:p>
    <w:p>
      <w:pPr>
        <w:pStyle w:val="BodyText"/>
        <w:spacing w:line="266" w:lineRule="auto" w:before="22"/>
        <w:ind w:left="479" w:right="1110"/>
      </w:pPr>
      <w:r>
        <w:rPr>
          <w:color w:val="010202"/>
        </w:rPr>
        <w:t>on how to conduct telehealth sessions and</w:t>
      </w:r>
      <w:r>
        <w:rPr>
          <w:color w:val="010202"/>
          <w:spacing w:val="1"/>
        </w:rPr>
        <w:t> </w:t>
      </w:r>
      <w:r>
        <w:rPr>
          <w:color w:val="010202"/>
        </w:rPr>
        <w:t>how</w:t>
      </w:r>
      <w:r>
        <w:rPr>
          <w:color w:val="010202"/>
          <w:spacing w:val="-5"/>
        </w:rPr>
        <w:t> </w:t>
      </w:r>
      <w:r>
        <w:rPr>
          <w:color w:val="010202"/>
        </w:rPr>
        <w:t>to</w:t>
      </w:r>
      <w:r>
        <w:rPr>
          <w:color w:val="010202"/>
          <w:spacing w:val="-5"/>
        </w:rPr>
        <w:t> </w:t>
      </w:r>
      <w:r>
        <w:rPr>
          <w:color w:val="010202"/>
        </w:rPr>
        <w:t>best</w:t>
      </w:r>
      <w:r>
        <w:rPr>
          <w:color w:val="010202"/>
          <w:spacing w:val="-5"/>
        </w:rPr>
        <w:t> </w:t>
      </w:r>
      <w:r>
        <w:rPr>
          <w:color w:val="010202"/>
        </w:rPr>
        <w:t>engage</w:t>
      </w:r>
      <w:r>
        <w:rPr>
          <w:color w:val="010202"/>
          <w:spacing w:val="-5"/>
        </w:rPr>
        <w:t> </w:t>
      </w:r>
      <w:r>
        <w:rPr>
          <w:color w:val="010202"/>
        </w:rPr>
        <w:t>clients</w:t>
      </w:r>
      <w:r>
        <w:rPr>
          <w:color w:val="010202"/>
          <w:spacing w:val="-5"/>
        </w:rPr>
        <w:t> </w:t>
      </w:r>
      <w:r>
        <w:rPr>
          <w:color w:val="010202"/>
        </w:rPr>
        <w:t>using</w:t>
      </w:r>
      <w:r>
        <w:rPr>
          <w:color w:val="010202"/>
          <w:spacing w:val="-5"/>
        </w:rPr>
        <w:t> </w:t>
      </w:r>
      <w:r>
        <w:rPr>
          <w:color w:val="010202"/>
        </w:rPr>
        <w:t>technology.</w:t>
      </w:r>
    </w:p>
    <w:p>
      <w:pPr>
        <w:pStyle w:val="BodyText"/>
        <w:spacing w:line="266" w:lineRule="auto"/>
        <w:ind w:left="479" w:right="781"/>
      </w:pPr>
      <w:r>
        <w:rPr>
          <w:color w:val="010202"/>
        </w:rPr>
        <w:t>Programs can employ a technical peer navigator</w:t>
      </w:r>
      <w:r>
        <w:rPr>
          <w:color w:val="010202"/>
          <w:spacing w:val="-52"/>
        </w:rPr>
        <w:t> </w:t>
      </w:r>
      <w:r>
        <w:rPr>
          <w:color w:val="010202"/>
          <w:w w:val="95"/>
        </w:rPr>
        <w:t>to</w:t>
      </w:r>
      <w:r>
        <w:rPr>
          <w:color w:val="010202"/>
          <w:spacing w:val="1"/>
          <w:w w:val="95"/>
        </w:rPr>
        <w:t> </w:t>
      </w:r>
      <w:r>
        <w:rPr>
          <w:color w:val="010202"/>
          <w:w w:val="95"/>
        </w:rPr>
        <w:t>assess</w:t>
      </w:r>
      <w:r>
        <w:rPr>
          <w:color w:val="010202"/>
          <w:spacing w:val="1"/>
          <w:w w:val="95"/>
        </w:rPr>
        <w:t> </w:t>
      </w:r>
      <w:r>
        <w:rPr>
          <w:color w:val="010202"/>
          <w:w w:val="95"/>
        </w:rPr>
        <w:t>clients’ technological</w:t>
      </w:r>
      <w:r>
        <w:rPr>
          <w:color w:val="010202"/>
          <w:spacing w:val="1"/>
          <w:w w:val="95"/>
        </w:rPr>
        <w:t> </w:t>
      </w:r>
      <w:r>
        <w:rPr>
          <w:color w:val="010202"/>
          <w:w w:val="95"/>
        </w:rPr>
        <w:t>needs,</w:t>
      </w:r>
      <w:r>
        <w:rPr>
          <w:color w:val="010202"/>
          <w:spacing w:val="1"/>
          <w:w w:val="95"/>
        </w:rPr>
        <w:t> </w:t>
      </w:r>
      <w:r>
        <w:rPr>
          <w:color w:val="010202"/>
          <w:w w:val="95"/>
        </w:rPr>
        <w:t>enhance</w:t>
      </w:r>
      <w:r>
        <w:rPr>
          <w:color w:val="010202"/>
          <w:spacing w:val="1"/>
          <w:w w:val="95"/>
        </w:rPr>
        <w:t> </w:t>
      </w:r>
      <w:r>
        <w:rPr>
          <w:color w:val="010202"/>
        </w:rPr>
        <w:t>technology literacy with in-home assessment of</w:t>
      </w:r>
      <w:r>
        <w:rPr>
          <w:color w:val="010202"/>
          <w:spacing w:val="-52"/>
        </w:rPr>
        <w:t> </w:t>
      </w:r>
      <w:r>
        <w:rPr>
          <w:color w:val="010202"/>
        </w:rPr>
        <w:t>connectivity, and provide individual or group-</w:t>
      </w:r>
      <w:r>
        <w:rPr>
          <w:color w:val="010202"/>
          <w:spacing w:val="1"/>
        </w:rPr>
        <w:t> </w:t>
      </w:r>
      <w:r>
        <w:rPr>
          <w:color w:val="010202"/>
        </w:rPr>
        <w:t>based technology training.</w:t>
      </w:r>
    </w:p>
    <w:p>
      <w:pPr>
        <w:pStyle w:val="ListParagraph"/>
        <w:numPr>
          <w:ilvl w:val="0"/>
          <w:numId w:val="5"/>
        </w:numPr>
        <w:tabs>
          <w:tab w:pos="479" w:val="left" w:leader="none"/>
          <w:tab w:pos="480" w:val="left" w:leader="none"/>
        </w:tabs>
        <w:spacing w:line="266" w:lineRule="auto" w:before="26" w:after="0"/>
        <w:ind w:left="479" w:right="728" w:hanging="360"/>
        <w:jc w:val="left"/>
        <w:rPr>
          <w:sz w:val="22"/>
        </w:rPr>
      </w:pPr>
      <w:r>
        <w:rPr>
          <w:b/>
          <w:color w:val="010202"/>
          <w:spacing w:val="-1"/>
          <w:sz w:val="22"/>
        </w:rPr>
        <w:t>Technology equity is </w:t>
      </w:r>
      <w:r>
        <w:rPr>
          <w:b/>
          <w:color w:val="010202"/>
          <w:sz w:val="22"/>
        </w:rPr>
        <w:t>a social justice issue. </w:t>
      </w:r>
      <w:r>
        <w:rPr>
          <w:color w:val="010202"/>
          <w:sz w:val="22"/>
        </w:rPr>
        <w:t>As</w:t>
      </w:r>
      <w:r>
        <w:rPr>
          <w:color w:val="010202"/>
          <w:spacing w:val="1"/>
          <w:sz w:val="22"/>
        </w:rPr>
        <w:t> </w:t>
      </w:r>
      <w:r>
        <w:rPr>
          <w:color w:val="010202"/>
          <w:sz w:val="22"/>
        </w:rPr>
        <w:t>telehealth technology becomes more prominent</w:t>
      </w:r>
      <w:r>
        <w:rPr>
          <w:color w:val="010202"/>
          <w:spacing w:val="1"/>
          <w:sz w:val="22"/>
        </w:rPr>
        <w:t> </w:t>
      </w:r>
      <w:r>
        <w:rPr>
          <w:color w:val="010202"/>
          <w:sz w:val="22"/>
        </w:rPr>
        <w:t>in health care, disparities in technology access</w:t>
      </w:r>
      <w:r>
        <w:rPr>
          <w:color w:val="010202"/>
          <w:spacing w:val="1"/>
          <w:sz w:val="22"/>
        </w:rPr>
        <w:t> </w:t>
      </w:r>
      <w:r>
        <w:rPr>
          <w:color w:val="010202"/>
          <w:sz w:val="22"/>
        </w:rPr>
        <w:t>and literacy among clients with SMI will widen</w:t>
      </w:r>
      <w:r>
        <w:rPr>
          <w:color w:val="010202"/>
          <w:spacing w:val="1"/>
          <w:sz w:val="22"/>
        </w:rPr>
        <w:t> </w:t>
      </w:r>
      <w:r>
        <w:rPr>
          <w:color w:val="010202"/>
          <w:sz w:val="22"/>
        </w:rPr>
        <w:t>existing</w:t>
      </w:r>
      <w:r>
        <w:rPr>
          <w:color w:val="010202"/>
          <w:spacing w:val="-4"/>
          <w:sz w:val="22"/>
        </w:rPr>
        <w:t> </w:t>
      </w:r>
      <w:r>
        <w:rPr>
          <w:color w:val="010202"/>
          <w:sz w:val="22"/>
        </w:rPr>
        <w:t>health</w:t>
      </w:r>
      <w:r>
        <w:rPr>
          <w:color w:val="010202"/>
          <w:spacing w:val="-4"/>
          <w:sz w:val="22"/>
        </w:rPr>
        <w:t> </w:t>
      </w:r>
      <w:r>
        <w:rPr>
          <w:color w:val="010202"/>
          <w:sz w:val="22"/>
        </w:rPr>
        <w:t>disparities.</w:t>
      </w:r>
      <w:r>
        <w:rPr>
          <w:color w:val="010202"/>
          <w:spacing w:val="-8"/>
          <w:sz w:val="22"/>
        </w:rPr>
        <w:t> </w:t>
      </w:r>
      <w:r>
        <w:rPr>
          <w:color w:val="010202"/>
          <w:sz w:val="22"/>
        </w:rPr>
        <w:t>Therefore,</w:t>
      </w:r>
      <w:r>
        <w:rPr>
          <w:color w:val="010202"/>
          <w:spacing w:val="-3"/>
          <w:sz w:val="22"/>
        </w:rPr>
        <w:t> </w:t>
      </w:r>
      <w:r>
        <w:rPr>
          <w:color w:val="010202"/>
          <w:sz w:val="22"/>
        </w:rPr>
        <w:t>technology</w:t>
      </w:r>
      <w:r>
        <w:rPr>
          <w:color w:val="010202"/>
          <w:spacing w:val="-52"/>
          <w:sz w:val="22"/>
        </w:rPr>
        <w:t> </w:t>
      </w:r>
      <w:r>
        <w:rPr>
          <w:color w:val="010202"/>
          <w:sz w:val="22"/>
        </w:rPr>
        <w:t>access and literacy are social determinants of</w:t>
      </w:r>
      <w:r>
        <w:rPr>
          <w:color w:val="010202"/>
          <w:spacing w:val="1"/>
          <w:sz w:val="22"/>
        </w:rPr>
        <w:t> </w:t>
      </w:r>
      <w:r>
        <w:rPr>
          <w:color w:val="010202"/>
          <w:sz w:val="22"/>
        </w:rPr>
        <w:t>health to be included in treatment plans. In</w:t>
      </w:r>
      <w:r>
        <w:rPr>
          <w:color w:val="010202"/>
          <w:spacing w:val="1"/>
          <w:sz w:val="22"/>
        </w:rPr>
        <w:t> </w:t>
      </w:r>
      <w:r>
        <w:rPr>
          <w:color w:val="010202"/>
          <w:sz w:val="22"/>
        </w:rPr>
        <w:t>addition, prioritizing this issue will not only</w:t>
      </w:r>
      <w:r>
        <w:rPr>
          <w:color w:val="010202"/>
          <w:spacing w:val="1"/>
          <w:sz w:val="22"/>
        </w:rPr>
        <w:t> </w:t>
      </w:r>
      <w:r>
        <w:rPr>
          <w:color w:val="010202"/>
          <w:sz w:val="22"/>
        </w:rPr>
        <w:t>improve health but also social supports and</w:t>
      </w:r>
      <w:r>
        <w:rPr>
          <w:color w:val="010202"/>
          <w:spacing w:val="1"/>
          <w:sz w:val="22"/>
        </w:rPr>
        <w:t> </w:t>
      </w:r>
      <w:r>
        <w:rPr>
          <w:color w:val="010202"/>
          <w:sz w:val="22"/>
        </w:rPr>
        <w:t>conditions. Comfort and ability to participate</w:t>
      </w:r>
    </w:p>
    <w:p>
      <w:pPr>
        <w:pStyle w:val="BodyText"/>
        <w:spacing w:line="266" w:lineRule="auto"/>
        <w:ind w:left="479" w:right="1006"/>
      </w:pPr>
      <w:r>
        <w:rPr>
          <w:color w:val="010202"/>
        </w:rPr>
        <w:t>in technology is fundamental to maintaining</w:t>
      </w:r>
      <w:r>
        <w:rPr>
          <w:color w:val="010202"/>
          <w:spacing w:val="1"/>
        </w:rPr>
        <w:t> </w:t>
      </w:r>
      <w:r>
        <w:rPr>
          <w:color w:val="010202"/>
        </w:rPr>
        <w:t>connections, obtaining and maintaining a job,</w:t>
      </w:r>
      <w:r>
        <w:rPr>
          <w:color w:val="010202"/>
          <w:spacing w:val="-52"/>
        </w:rPr>
        <w:t> </w:t>
      </w:r>
      <w:r>
        <w:rPr>
          <w:color w:val="010202"/>
        </w:rPr>
        <w:t>and accessing basic needs. These broaden its</w:t>
      </w:r>
      <w:r>
        <w:rPr>
          <w:color w:val="010202"/>
          <w:spacing w:val="1"/>
        </w:rPr>
        <w:t> </w:t>
      </w:r>
      <w:r>
        <w:rPr>
          <w:color w:val="010202"/>
        </w:rPr>
        <w:t>benefits</w:t>
      </w:r>
      <w:r>
        <w:rPr>
          <w:color w:val="010202"/>
          <w:spacing w:val="-1"/>
        </w:rPr>
        <w:t> </w:t>
      </w:r>
      <w:r>
        <w:rPr>
          <w:color w:val="010202"/>
        </w:rPr>
        <w:t>for the client.</w:t>
      </w:r>
    </w:p>
    <w:p>
      <w:pPr>
        <w:spacing w:after="0" w:line="266" w:lineRule="auto"/>
        <w:sectPr>
          <w:type w:val="continuous"/>
          <w:pgSz w:w="12240" w:h="15840"/>
          <w:pgMar w:header="0" w:footer="666" w:top="1500" w:bottom="0" w:left="600" w:right="0"/>
          <w:cols w:num="2" w:equalWidth="0">
            <w:col w:w="5150" w:space="970"/>
            <w:col w:w="5520"/>
          </w:cols>
        </w:sectPr>
      </w:pPr>
    </w:p>
    <w:p>
      <w:pPr>
        <w:pStyle w:val="BodyText"/>
        <w:rPr>
          <w:sz w:val="20"/>
        </w:rPr>
      </w:pPr>
    </w:p>
    <w:p>
      <w:pPr>
        <w:pStyle w:val="BodyText"/>
        <w:spacing w:before="7"/>
        <w:rPr>
          <w:sz w:val="17"/>
        </w:rPr>
      </w:pPr>
    </w:p>
    <w:p>
      <w:pPr>
        <w:pStyle w:val="Heading1"/>
      </w:pPr>
      <w:bookmarkStart w:name="THE REACH PROJECT, INC. Ithaca, NY" w:id="34"/>
      <w:bookmarkEnd w:id="34"/>
      <w:r>
        <w:rPr/>
      </w:r>
      <w:r>
        <w:rPr>
          <w:color w:val="1C384B"/>
          <w:spacing w:val="-4"/>
        </w:rPr>
        <w:t>THE</w:t>
      </w:r>
      <w:r>
        <w:rPr>
          <w:color w:val="1C384B"/>
          <w:spacing w:val="-28"/>
        </w:rPr>
        <w:t> </w:t>
      </w:r>
      <w:r>
        <w:rPr>
          <w:color w:val="1C384B"/>
          <w:spacing w:val="-4"/>
        </w:rPr>
        <w:t>REACH</w:t>
      </w:r>
      <w:r>
        <w:rPr>
          <w:color w:val="1C384B"/>
          <w:spacing w:val="-28"/>
        </w:rPr>
        <w:t> </w:t>
      </w:r>
      <w:r>
        <w:rPr>
          <w:color w:val="1C384B"/>
          <w:spacing w:val="-4"/>
        </w:rPr>
        <w:t>PROJECT,</w:t>
      </w:r>
      <w:r>
        <w:rPr>
          <w:color w:val="1C384B"/>
          <w:spacing w:val="-28"/>
        </w:rPr>
        <w:t> </w:t>
      </w:r>
      <w:r>
        <w:rPr>
          <w:color w:val="1C384B"/>
          <w:spacing w:val="-3"/>
        </w:rPr>
        <w:t>INC.</w:t>
      </w:r>
    </w:p>
    <w:p>
      <w:pPr>
        <w:pStyle w:val="BodyText"/>
        <w:spacing w:before="40"/>
        <w:ind w:left="120"/>
        <w:rPr>
          <w:rFonts w:ascii="Arial"/>
        </w:rPr>
      </w:pPr>
      <w:r>
        <w:rPr>
          <w:rFonts w:ascii="Arial"/>
          <w:color w:val="CE372E"/>
        </w:rPr>
        <w:t>Ithaca, NY</w:t>
      </w: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pgSz w:w="12240" w:h="15840"/>
          <w:pgMar w:header="0" w:footer="666" w:top="380" w:bottom="860" w:left="600" w:right="0"/>
        </w:sectPr>
      </w:pPr>
    </w:p>
    <w:p>
      <w:pPr>
        <w:pStyle w:val="BodyText"/>
        <w:rPr>
          <w:rFonts w:ascii="Arial"/>
          <w:sz w:val="21"/>
        </w:rPr>
      </w:pPr>
      <w:r>
        <w:rPr/>
        <w:pict>
          <v:rect style="position:absolute;margin-left:0pt;margin-top:116.330101pt;width:612pt;height:1pt;mso-position-horizontal-relative:page;mso-position-vertical-relative:page;z-index:-17864192" id="docshape170" filled="true" fillcolor="#1c384b" stroked="false">
            <v:fill type="solid"/>
            <w10:wrap type="none"/>
          </v:rect>
        </w:pict>
      </w:r>
    </w:p>
    <w:p>
      <w:pPr>
        <w:pStyle w:val="BodyText"/>
        <w:spacing w:line="266" w:lineRule="auto"/>
        <w:ind w:left="120" w:right="272"/>
      </w:pPr>
      <w:r>
        <w:rPr>
          <w:color w:val="231F20"/>
          <w:spacing w:val="-2"/>
        </w:rPr>
        <w:t>The REACH (Respectful, Equitable </w:t>
      </w:r>
      <w:r>
        <w:rPr>
          <w:color w:val="231F20"/>
          <w:spacing w:val="-1"/>
        </w:rPr>
        <w:t>Access to</w:t>
      </w:r>
      <w:r>
        <w:rPr>
          <w:color w:val="231F20"/>
        </w:rPr>
        <w:t> Compassionate Healthcare) Project, Inc., is a harm</w:t>
      </w:r>
      <w:r>
        <w:rPr>
          <w:color w:val="231F20"/>
          <w:spacing w:val="1"/>
        </w:rPr>
        <w:t> </w:t>
      </w:r>
      <w:r>
        <w:rPr>
          <w:color w:val="231F20"/>
          <w:spacing w:val="-2"/>
        </w:rPr>
        <w:t>reduction </w:t>
      </w:r>
      <w:r>
        <w:rPr>
          <w:color w:val="231F20"/>
          <w:spacing w:val="-1"/>
        </w:rPr>
        <w:t>focused clinic in Ithaca, NY that provides</w:t>
      </w:r>
      <w:r>
        <w:rPr>
          <w:color w:val="231F20"/>
        </w:rPr>
        <w:t> </w:t>
      </w:r>
      <w:r>
        <w:rPr>
          <w:color w:val="231F20"/>
          <w:spacing w:val="-1"/>
        </w:rPr>
        <w:t>low-threshold</w:t>
      </w:r>
      <w:r>
        <w:rPr>
          <w:color w:val="231F20"/>
          <w:spacing w:val="-13"/>
        </w:rPr>
        <w:t> </w:t>
      </w:r>
      <w:r>
        <w:rPr>
          <w:color w:val="231F20"/>
          <w:spacing w:val="-1"/>
        </w:rPr>
        <w:t>access</w:t>
      </w:r>
      <w:r>
        <w:rPr>
          <w:color w:val="231F20"/>
          <w:spacing w:val="-12"/>
        </w:rPr>
        <w:t> </w:t>
      </w:r>
      <w:r>
        <w:rPr>
          <w:color w:val="231F20"/>
        </w:rPr>
        <w:t>to</w:t>
      </w:r>
      <w:r>
        <w:rPr>
          <w:color w:val="231F20"/>
          <w:spacing w:val="-13"/>
        </w:rPr>
        <w:t> </w:t>
      </w:r>
      <w:r>
        <w:rPr>
          <w:color w:val="231F20"/>
        </w:rPr>
        <w:t>care,</w:t>
      </w:r>
      <w:r>
        <w:rPr>
          <w:color w:val="231F20"/>
          <w:spacing w:val="-12"/>
        </w:rPr>
        <w:t> </w:t>
      </w:r>
      <w:r>
        <w:rPr>
          <w:color w:val="231F20"/>
        </w:rPr>
        <w:t>including</w:t>
      </w:r>
      <w:r>
        <w:rPr>
          <w:color w:val="231F20"/>
          <w:spacing w:val="-13"/>
        </w:rPr>
        <w:t> </w:t>
      </w:r>
      <w:r>
        <w:rPr>
          <w:color w:val="231F20"/>
        </w:rPr>
        <w:t>SUD</w:t>
      </w:r>
      <w:r>
        <w:rPr>
          <w:color w:val="231F20"/>
          <w:spacing w:val="-12"/>
        </w:rPr>
        <w:t> </w:t>
      </w:r>
      <w:r>
        <w:rPr>
          <w:color w:val="231F20"/>
        </w:rPr>
        <w:t>treatment.</w:t>
      </w:r>
    </w:p>
    <w:p>
      <w:pPr>
        <w:pStyle w:val="BodyText"/>
        <w:spacing w:line="266" w:lineRule="auto"/>
        <w:ind w:left="120" w:right="35"/>
      </w:pPr>
      <w:r>
        <w:rPr>
          <w:color w:val="231F20"/>
        </w:rPr>
        <w:t>Started</w:t>
      </w:r>
      <w:r>
        <w:rPr>
          <w:color w:val="231F20"/>
          <w:spacing w:val="-12"/>
        </w:rPr>
        <w:t> </w:t>
      </w:r>
      <w:r>
        <w:rPr>
          <w:color w:val="231F20"/>
        </w:rPr>
        <w:t>in</w:t>
      </w:r>
      <w:r>
        <w:rPr>
          <w:color w:val="231F20"/>
          <w:spacing w:val="-11"/>
        </w:rPr>
        <w:t> </w:t>
      </w:r>
      <w:r>
        <w:rPr>
          <w:color w:val="231F20"/>
        </w:rPr>
        <w:t>2018,</w:t>
      </w:r>
      <w:r>
        <w:rPr>
          <w:color w:val="231F20"/>
          <w:spacing w:val="-11"/>
        </w:rPr>
        <w:t> </w:t>
      </w:r>
      <w:r>
        <w:rPr>
          <w:color w:val="231F20"/>
        </w:rPr>
        <w:t>the</w:t>
      </w:r>
      <w:r>
        <w:rPr>
          <w:color w:val="231F20"/>
          <w:spacing w:val="-11"/>
        </w:rPr>
        <w:t> </w:t>
      </w:r>
      <w:r>
        <w:rPr>
          <w:color w:val="231F20"/>
        </w:rPr>
        <w:t>clinic</w:t>
      </w:r>
      <w:r>
        <w:rPr>
          <w:color w:val="231F20"/>
          <w:spacing w:val="-11"/>
        </w:rPr>
        <w:t> </w:t>
      </w:r>
      <w:r>
        <w:rPr>
          <w:color w:val="231F20"/>
        </w:rPr>
        <w:t>uses</w:t>
      </w:r>
      <w:r>
        <w:rPr>
          <w:color w:val="231F20"/>
          <w:spacing w:val="-11"/>
        </w:rPr>
        <w:t> </w:t>
      </w:r>
      <w:r>
        <w:rPr>
          <w:color w:val="231F20"/>
        </w:rPr>
        <w:t>a</w:t>
      </w:r>
      <w:r>
        <w:rPr>
          <w:color w:val="231F20"/>
          <w:spacing w:val="-11"/>
        </w:rPr>
        <w:t> </w:t>
      </w:r>
      <w:r>
        <w:rPr>
          <w:color w:val="231F20"/>
        </w:rPr>
        <w:t>health</w:t>
      </w:r>
      <w:r>
        <w:rPr>
          <w:color w:val="231F20"/>
          <w:spacing w:val="-11"/>
        </w:rPr>
        <w:t> </w:t>
      </w:r>
      <w:r>
        <w:rPr>
          <w:color w:val="231F20"/>
        </w:rPr>
        <w:t>equity</w:t>
      </w:r>
      <w:r>
        <w:rPr>
          <w:color w:val="231F20"/>
          <w:spacing w:val="-11"/>
        </w:rPr>
        <w:t> </w:t>
      </w:r>
      <w:r>
        <w:rPr>
          <w:color w:val="231F20"/>
        </w:rPr>
        <w:t>framework</w:t>
      </w:r>
      <w:r>
        <w:rPr>
          <w:color w:val="231F20"/>
          <w:spacing w:val="-52"/>
        </w:rPr>
        <w:t> </w:t>
      </w:r>
      <w:r>
        <w:rPr>
          <w:color w:val="231F20"/>
        </w:rPr>
        <w:t>to</w:t>
      </w:r>
      <w:r>
        <w:rPr>
          <w:color w:val="231F20"/>
          <w:spacing w:val="-7"/>
        </w:rPr>
        <w:t> </w:t>
      </w:r>
      <w:r>
        <w:rPr>
          <w:color w:val="231F20"/>
        </w:rPr>
        <w:t>guide</w:t>
      </w:r>
      <w:r>
        <w:rPr>
          <w:color w:val="231F20"/>
          <w:spacing w:val="-7"/>
        </w:rPr>
        <w:t> </w:t>
      </w:r>
      <w:r>
        <w:rPr>
          <w:color w:val="231F20"/>
        </w:rPr>
        <w:t>service</w:t>
      </w:r>
      <w:r>
        <w:rPr>
          <w:color w:val="231F20"/>
          <w:spacing w:val="-7"/>
        </w:rPr>
        <w:t> </w:t>
      </w:r>
      <w:r>
        <w:rPr>
          <w:color w:val="231F20"/>
        </w:rPr>
        <w:t>access,</w:t>
      </w:r>
      <w:r>
        <w:rPr>
          <w:color w:val="231F20"/>
          <w:spacing w:val="-7"/>
        </w:rPr>
        <w:t> </w:t>
      </w:r>
      <w:r>
        <w:rPr>
          <w:color w:val="231F20"/>
        </w:rPr>
        <w:t>delivery,</w:t>
      </w:r>
      <w:r>
        <w:rPr>
          <w:color w:val="231F20"/>
          <w:spacing w:val="-6"/>
        </w:rPr>
        <w:t> </w:t>
      </w:r>
      <w:r>
        <w:rPr>
          <w:color w:val="231F20"/>
        </w:rPr>
        <w:t>and</w:t>
      </w:r>
      <w:r>
        <w:rPr>
          <w:color w:val="231F20"/>
          <w:spacing w:val="-7"/>
        </w:rPr>
        <w:t> </w:t>
      </w:r>
      <w:r>
        <w:rPr>
          <w:color w:val="231F20"/>
        </w:rPr>
        <w:t>treatment.</w:t>
      </w:r>
    </w:p>
    <w:p>
      <w:pPr>
        <w:pStyle w:val="BodyText"/>
        <w:spacing w:line="266" w:lineRule="auto"/>
        <w:ind w:left="120" w:right="185"/>
      </w:pPr>
      <w:r>
        <w:rPr>
          <w:color w:val="231F20"/>
        </w:rPr>
        <w:t>Medication-assisted treatment (MAT) is the core SUD</w:t>
      </w:r>
      <w:r>
        <w:rPr>
          <w:color w:val="231F20"/>
          <w:spacing w:val="1"/>
        </w:rPr>
        <w:t> </w:t>
      </w:r>
      <w:r>
        <w:rPr>
          <w:color w:val="231F20"/>
          <w:w w:val="95"/>
        </w:rPr>
        <w:t>treatment.</w:t>
      </w:r>
      <w:r>
        <w:rPr>
          <w:color w:val="231F20"/>
          <w:spacing w:val="10"/>
          <w:w w:val="95"/>
        </w:rPr>
        <w:t> </w:t>
      </w:r>
      <w:r>
        <w:rPr>
          <w:color w:val="231F20"/>
          <w:w w:val="95"/>
        </w:rPr>
        <w:t>In</w:t>
      </w:r>
      <w:r>
        <w:rPr>
          <w:color w:val="231F20"/>
          <w:spacing w:val="11"/>
          <w:w w:val="95"/>
        </w:rPr>
        <w:t> </w:t>
      </w:r>
      <w:r>
        <w:rPr>
          <w:color w:val="231F20"/>
          <w:w w:val="95"/>
        </w:rPr>
        <w:t>addition</w:t>
      </w:r>
      <w:r>
        <w:rPr>
          <w:color w:val="231F20"/>
          <w:spacing w:val="10"/>
          <w:w w:val="95"/>
        </w:rPr>
        <w:t> </w:t>
      </w:r>
      <w:r>
        <w:rPr>
          <w:color w:val="231F20"/>
          <w:w w:val="95"/>
        </w:rPr>
        <w:t>to</w:t>
      </w:r>
      <w:r>
        <w:rPr>
          <w:color w:val="231F20"/>
          <w:spacing w:val="11"/>
          <w:w w:val="95"/>
        </w:rPr>
        <w:t> </w:t>
      </w:r>
      <w:r>
        <w:rPr>
          <w:color w:val="231F20"/>
          <w:w w:val="95"/>
        </w:rPr>
        <w:t>MAT,</w:t>
      </w:r>
      <w:r>
        <w:rPr>
          <w:color w:val="231F20"/>
          <w:spacing w:val="11"/>
          <w:w w:val="95"/>
        </w:rPr>
        <w:t> </w:t>
      </w:r>
      <w:r>
        <w:rPr>
          <w:color w:val="231F20"/>
          <w:w w:val="95"/>
        </w:rPr>
        <w:t>REACH</w:t>
      </w:r>
      <w:r>
        <w:rPr>
          <w:color w:val="231F20"/>
          <w:spacing w:val="10"/>
          <w:w w:val="95"/>
        </w:rPr>
        <w:t> </w:t>
      </w:r>
      <w:r>
        <w:rPr>
          <w:color w:val="231F20"/>
          <w:w w:val="95"/>
        </w:rPr>
        <w:t>offers</w:t>
      </w:r>
      <w:r>
        <w:rPr>
          <w:color w:val="231F20"/>
          <w:spacing w:val="11"/>
          <w:w w:val="95"/>
        </w:rPr>
        <w:t> </w:t>
      </w:r>
      <w:r>
        <w:rPr>
          <w:color w:val="231F20"/>
          <w:w w:val="95"/>
        </w:rPr>
        <w:t>a</w:t>
      </w:r>
      <w:r>
        <w:rPr>
          <w:color w:val="231F20"/>
          <w:spacing w:val="11"/>
          <w:w w:val="95"/>
        </w:rPr>
        <w:t> </w:t>
      </w:r>
      <w:r>
        <w:rPr>
          <w:color w:val="231F20"/>
          <w:w w:val="95"/>
        </w:rPr>
        <w:t>holistic,</w:t>
      </w:r>
      <w:r>
        <w:rPr>
          <w:color w:val="231F20"/>
          <w:spacing w:val="1"/>
          <w:w w:val="95"/>
        </w:rPr>
        <w:t> </w:t>
      </w:r>
      <w:r>
        <w:rPr>
          <w:color w:val="231F20"/>
          <w:spacing w:val="-1"/>
        </w:rPr>
        <w:t>integrated</w:t>
      </w:r>
      <w:r>
        <w:rPr>
          <w:color w:val="231F20"/>
          <w:spacing w:val="-10"/>
        </w:rPr>
        <w:t> </w:t>
      </w:r>
      <w:r>
        <w:rPr>
          <w:color w:val="231F20"/>
          <w:spacing w:val="-1"/>
        </w:rPr>
        <w:t>primary</w:t>
      </w:r>
      <w:r>
        <w:rPr>
          <w:color w:val="231F20"/>
          <w:spacing w:val="-10"/>
        </w:rPr>
        <w:t> </w:t>
      </w:r>
      <w:r>
        <w:rPr>
          <w:color w:val="231F20"/>
          <w:spacing w:val="-1"/>
        </w:rPr>
        <w:t>care</w:t>
      </w:r>
      <w:r>
        <w:rPr>
          <w:color w:val="231F20"/>
          <w:spacing w:val="-10"/>
        </w:rPr>
        <w:t> </w:t>
      </w:r>
      <w:r>
        <w:rPr>
          <w:color w:val="231F20"/>
          <w:spacing w:val="-1"/>
        </w:rPr>
        <w:t>model,</w:t>
      </w:r>
      <w:r>
        <w:rPr>
          <w:color w:val="231F20"/>
          <w:spacing w:val="-10"/>
        </w:rPr>
        <w:t> </w:t>
      </w:r>
      <w:r>
        <w:rPr>
          <w:color w:val="231F20"/>
          <w:spacing w:val="-1"/>
        </w:rPr>
        <w:t>including</w:t>
      </w:r>
      <w:r>
        <w:rPr>
          <w:color w:val="231F20"/>
          <w:spacing w:val="-10"/>
        </w:rPr>
        <w:t> </w:t>
      </w:r>
      <w:r>
        <w:rPr>
          <w:color w:val="231F20"/>
        </w:rPr>
        <w:t>HIV</w:t>
      </w:r>
      <w:r>
        <w:rPr>
          <w:color w:val="231F20"/>
          <w:spacing w:val="-13"/>
        </w:rPr>
        <w:t> </w:t>
      </w:r>
      <w:r>
        <w:rPr>
          <w:color w:val="231F20"/>
        </w:rPr>
        <w:t>screening</w:t>
      </w:r>
      <w:r>
        <w:rPr>
          <w:color w:val="231F20"/>
          <w:spacing w:val="-52"/>
        </w:rPr>
        <w:t> </w:t>
      </w:r>
      <w:r>
        <w:rPr>
          <w:color w:val="231F20"/>
        </w:rPr>
        <w:t>and treatment, Pre-Exposure Prophylaxis (</w:t>
      </w:r>
      <w:r>
        <w:rPr>
          <w:rFonts w:ascii="Arial Narrow"/>
          <w:color w:val="231F20"/>
        </w:rPr>
        <w:t>PrEP) </w:t>
      </w:r>
      <w:r>
        <w:rPr>
          <w:color w:val="231F20"/>
        </w:rPr>
        <w:t>and</w:t>
      </w:r>
      <w:r>
        <w:rPr>
          <w:color w:val="231F20"/>
          <w:spacing w:val="1"/>
        </w:rPr>
        <w:t> </w:t>
      </w:r>
      <w:r>
        <w:rPr>
          <w:color w:val="231F20"/>
          <w:spacing w:val="-1"/>
        </w:rPr>
        <w:t>Post-Exposure</w:t>
      </w:r>
      <w:r>
        <w:rPr>
          <w:color w:val="231F20"/>
          <w:spacing w:val="-13"/>
        </w:rPr>
        <w:t> </w:t>
      </w:r>
      <w:r>
        <w:rPr>
          <w:color w:val="231F20"/>
          <w:spacing w:val="-1"/>
        </w:rPr>
        <w:t>Prophylaxis</w:t>
      </w:r>
      <w:r>
        <w:rPr>
          <w:color w:val="231F20"/>
          <w:spacing w:val="-13"/>
        </w:rPr>
        <w:t> </w:t>
      </w:r>
      <w:r>
        <w:rPr>
          <w:color w:val="231F20"/>
          <w:spacing w:val="-1"/>
        </w:rPr>
        <w:t>(PEP),</w:t>
      </w:r>
      <w:r>
        <w:rPr>
          <w:color w:val="231F20"/>
          <w:spacing w:val="-12"/>
        </w:rPr>
        <w:t> </w:t>
      </w:r>
      <w:r>
        <w:rPr>
          <w:color w:val="231F20"/>
        </w:rPr>
        <w:t>viral</w:t>
      </w:r>
      <w:r>
        <w:rPr>
          <w:color w:val="231F20"/>
          <w:spacing w:val="-13"/>
        </w:rPr>
        <w:t> </w:t>
      </w:r>
      <w:r>
        <w:rPr>
          <w:color w:val="231F20"/>
        </w:rPr>
        <w:t>hepatitis</w:t>
      </w:r>
      <w:r>
        <w:rPr>
          <w:color w:val="231F20"/>
          <w:spacing w:val="-13"/>
        </w:rPr>
        <w:t> </w:t>
      </w:r>
      <w:r>
        <w:rPr>
          <w:color w:val="231F20"/>
        </w:rPr>
        <w:t>testing</w:t>
      </w:r>
      <w:r>
        <w:rPr>
          <w:color w:val="231F20"/>
          <w:spacing w:val="1"/>
        </w:rPr>
        <w:t> </w:t>
      </w:r>
      <w:r>
        <w:rPr>
          <w:color w:val="231F20"/>
        </w:rPr>
        <w:t>and</w:t>
      </w:r>
      <w:r>
        <w:rPr>
          <w:color w:val="231F20"/>
          <w:spacing w:val="-6"/>
        </w:rPr>
        <w:t> </w:t>
      </w:r>
      <w:r>
        <w:rPr>
          <w:color w:val="231F20"/>
        </w:rPr>
        <w:t>treatment,</w:t>
      </w:r>
      <w:r>
        <w:rPr>
          <w:color w:val="231F20"/>
          <w:spacing w:val="-5"/>
        </w:rPr>
        <w:t> </w:t>
      </w:r>
      <w:r>
        <w:rPr>
          <w:color w:val="231F20"/>
        </w:rPr>
        <w:t>and</w:t>
      </w:r>
      <w:r>
        <w:rPr>
          <w:color w:val="231F20"/>
          <w:spacing w:val="-6"/>
        </w:rPr>
        <w:t> </w:t>
      </w:r>
      <w:r>
        <w:rPr>
          <w:color w:val="231F20"/>
        </w:rPr>
        <w:t>mental</w:t>
      </w:r>
      <w:r>
        <w:rPr>
          <w:color w:val="231F20"/>
          <w:spacing w:val="-5"/>
        </w:rPr>
        <w:t> </w:t>
      </w:r>
      <w:r>
        <w:rPr>
          <w:color w:val="231F20"/>
        </w:rPr>
        <w:t>health</w:t>
      </w:r>
      <w:r>
        <w:rPr>
          <w:color w:val="231F20"/>
          <w:spacing w:val="-6"/>
        </w:rPr>
        <w:t> </w:t>
      </w:r>
      <w:r>
        <w:rPr>
          <w:color w:val="231F20"/>
        </w:rPr>
        <w:t>treatment.</w:t>
      </w:r>
    </w:p>
    <w:p>
      <w:pPr>
        <w:pStyle w:val="BodyText"/>
        <w:spacing w:line="266" w:lineRule="auto" w:before="171"/>
        <w:ind w:left="120" w:right="35"/>
      </w:pPr>
      <w:r>
        <w:rPr>
          <w:color w:val="231F20"/>
        </w:rPr>
        <w:t>The clinic uses a chronic disease management model of</w:t>
      </w:r>
      <w:r>
        <w:rPr>
          <w:color w:val="231F20"/>
          <w:spacing w:val="1"/>
        </w:rPr>
        <w:t> </w:t>
      </w:r>
      <w:r>
        <w:rPr>
          <w:color w:val="231F20"/>
          <w:spacing w:val="-1"/>
        </w:rPr>
        <w:t>care, </w:t>
      </w:r>
      <w:r>
        <w:rPr>
          <w:color w:val="231F20"/>
        </w:rPr>
        <w:t>in which a medical provider prescribes MAT and</w:t>
      </w:r>
      <w:r>
        <w:rPr>
          <w:color w:val="231F20"/>
          <w:spacing w:val="1"/>
        </w:rPr>
        <w:t> </w:t>
      </w:r>
      <w:r>
        <w:rPr>
          <w:color w:val="231F20"/>
          <w:spacing w:val="-1"/>
        </w:rPr>
        <w:t>conducts</w:t>
      </w:r>
      <w:r>
        <w:rPr>
          <w:color w:val="231F20"/>
          <w:spacing w:val="-13"/>
        </w:rPr>
        <w:t> </w:t>
      </w:r>
      <w:r>
        <w:rPr>
          <w:color w:val="231F20"/>
          <w:spacing w:val="-1"/>
        </w:rPr>
        <w:t>follow-up,</w:t>
      </w:r>
      <w:r>
        <w:rPr>
          <w:color w:val="231F20"/>
          <w:spacing w:val="-13"/>
        </w:rPr>
        <w:t> </w:t>
      </w:r>
      <w:r>
        <w:rPr>
          <w:color w:val="231F20"/>
          <w:spacing w:val="-1"/>
        </w:rPr>
        <w:t>while</w:t>
      </w:r>
      <w:r>
        <w:rPr>
          <w:color w:val="231F20"/>
          <w:spacing w:val="-12"/>
        </w:rPr>
        <w:t> </w:t>
      </w:r>
      <w:r>
        <w:rPr>
          <w:color w:val="231F20"/>
          <w:spacing w:val="-1"/>
        </w:rPr>
        <w:t>a</w:t>
      </w:r>
      <w:r>
        <w:rPr>
          <w:color w:val="231F20"/>
          <w:spacing w:val="-13"/>
        </w:rPr>
        <w:t> </w:t>
      </w:r>
      <w:r>
        <w:rPr>
          <w:color w:val="231F20"/>
          <w:spacing w:val="-1"/>
        </w:rPr>
        <w:t>community</w:t>
      </w:r>
      <w:r>
        <w:rPr>
          <w:color w:val="231F20"/>
          <w:spacing w:val="-12"/>
        </w:rPr>
        <w:t> </w:t>
      </w:r>
      <w:r>
        <w:rPr>
          <w:color w:val="231F20"/>
          <w:spacing w:val="-1"/>
        </w:rPr>
        <w:t>health</w:t>
      </w:r>
      <w:r>
        <w:rPr>
          <w:color w:val="231F20"/>
          <w:spacing w:val="-13"/>
        </w:rPr>
        <w:t> </w:t>
      </w:r>
      <w:r>
        <w:rPr>
          <w:color w:val="231F20"/>
          <w:spacing w:val="-1"/>
        </w:rPr>
        <w:t>worker</w:t>
      </w:r>
      <w:r>
        <w:rPr>
          <w:color w:val="231F20"/>
          <w:spacing w:val="-12"/>
        </w:rPr>
        <w:t> </w:t>
      </w:r>
      <w:r>
        <w:rPr>
          <w:color w:val="231F20"/>
        </w:rPr>
        <w:t>and</w:t>
      </w:r>
      <w:r>
        <w:rPr>
          <w:color w:val="231F20"/>
          <w:spacing w:val="-52"/>
        </w:rPr>
        <w:t> </w:t>
      </w:r>
      <w:r>
        <w:rPr>
          <w:color w:val="231F20"/>
        </w:rPr>
        <w:t>social workers provide additional case management and</w:t>
      </w:r>
      <w:r>
        <w:rPr>
          <w:color w:val="231F20"/>
          <w:spacing w:val="1"/>
        </w:rPr>
        <w:t> </w:t>
      </w:r>
      <w:r>
        <w:rPr>
          <w:color w:val="231F20"/>
          <w:spacing w:val="-2"/>
        </w:rPr>
        <w:t>referral services. The clinic </w:t>
      </w:r>
      <w:r>
        <w:rPr>
          <w:color w:val="231F20"/>
          <w:spacing w:val="-1"/>
        </w:rPr>
        <w:t>also offers case management</w:t>
      </w:r>
      <w:r>
        <w:rPr>
          <w:color w:val="231F20"/>
        </w:rPr>
        <w:t> </w:t>
      </w:r>
      <w:r>
        <w:rPr>
          <w:color w:val="231F20"/>
          <w:spacing w:val="-1"/>
        </w:rPr>
        <w:t>services through partnerships </w:t>
      </w:r>
      <w:r>
        <w:rPr>
          <w:color w:val="231F20"/>
        </w:rPr>
        <w:t>with two community-based</w:t>
      </w:r>
      <w:r>
        <w:rPr>
          <w:color w:val="231F20"/>
          <w:spacing w:val="-52"/>
        </w:rPr>
        <w:t> </w:t>
      </w:r>
      <w:r>
        <w:rPr>
          <w:color w:val="231F20"/>
          <w:spacing w:val="-1"/>
        </w:rPr>
        <w:t>organizations</w:t>
      </w:r>
      <w:r>
        <w:rPr>
          <w:color w:val="231F20"/>
          <w:spacing w:val="-13"/>
        </w:rPr>
        <w:t> </w:t>
      </w:r>
      <w:r>
        <w:rPr>
          <w:color w:val="010202"/>
          <w:spacing w:val="-1"/>
        </w:rPr>
        <w:t>who</w:t>
      </w:r>
      <w:r>
        <w:rPr>
          <w:color w:val="010202"/>
          <w:spacing w:val="-13"/>
        </w:rPr>
        <w:t> </w:t>
      </w:r>
      <w:r>
        <w:rPr>
          <w:color w:val="010202"/>
          <w:spacing w:val="-1"/>
        </w:rPr>
        <w:t>conduct</w:t>
      </w:r>
      <w:r>
        <w:rPr>
          <w:color w:val="010202"/>
          <w:spacing w:val="-12"/>
        </w:rPr>
        <w:t> </w:t>
      </w:r>
      <w:r>
        <w:rPr>
          <w:color w:val="010202"/>
          <w:spacing w:val="-1"/>
        </w:rPr>
        <w:t>outreach</w:t>
      </w:r>
      <w:r>
        <w:rPr>
          <w:color w:val="010202"/>
          <w:spacing w:val="-13"/>
        </w:rPr>
        <w:t> </w:t>
      </w:r>
      <w:r>
        <w:rPr>
          <w:color w:val="010202"/>
        </w:rPr>
        <w:t>and</w:t>
      </w:r>
      <w:r>
        <w:rPr>
          <w:color w:val="010202"/>
          <w:spacing w:val="-12"/>
        </w:rPr>
        <w:t> </w:t>
      </w:r>
      <w:r>
        <w:rPr>
          <w:color w:val="010202"/>
        </w:rPr>
        <w:t>engagement</w:t>
      </w:r>
      <w:r>
        <w:rPr>
          <w:color w:val="010202"/>
          <w:spacing w:val="-13"/>
        </w:rPr>
        <w:t> </w:t>
      </w:r>
      <w:r>
        <w:rPr>
          <w:color w:val="010202"/>
        </w:rPr>
        <w:t>with</w:t>
      </w:r>
      <w:r>
        <w:rPr>
          <w:color w:val="010202"/>
          <w:spacing w:val="-52"/>
        </w:rPr>
        <w:t> </w:t>
      </w:r>
      <w:r>
        <w:rPr>
          <w:color w:val="010202"/>
        </w:rPr>
        <w:t>individuals experiencing homelessness and other needs</w:t>
      </w:r>
      <w:r>
        <w:rPr>
          <w:color w:val="010202"/>
          <w:spacing w:val="1"/>
        </w:rPr>
        <w:t> </w:t>
      </w:r>
      <w:r>
        <w:rPr>
          <w:color w:val="010202"/>
        </w:rPr>
        <w:t>related</w:t>
      </w:r>
      <w:r>
        <w:rPr>
          <w:color w:val="010202"/>
          <w:spacing w:val="-6"/>
        </w:rPr>
        <w:t> </w:t>
      </w:r>
      <w:r>
        <w:rPr>
          <w:color w:val="010202"/>
        </w:rPr>
        <w:t>to</w:t>
      </w:r>
      <w:r>
        <w:rPr>
          <w:color w:val="010202"/>
          <w:spacing w:val="-6"/>
        </w:rPr>
        <w:t> </w:t>
      </w:r>
      <w:r>
        <w:rPr>
          <w:color w:val="010202"/>
        </w:rPr>
        <w:t>social</w:t>
      </w:r>
      <w:r>
        <w:rPr>
          <w:color w:val="010202"/>
          <w:spacing w:val="-5"/>
        </w:rPr>
        <w:t> </w:t>
      </w:r>
      <w:r>
        <w:rPr>
          <w:color w:val="010202"/>
        </w:rPr>
        <w:t>determinants</w:t>
      </w:r>
      <w:r>
        <w:rPr>
          <w:color w:val="010202"/>
          <w:spacing w:val="-6"/>
        </w:rPr>
        <w:t> </w:t>
      </w:r>
      <w:r>
        <w:rPr>
          <w:color w:val="010202"/>
        </w:rPr>
        <w:t>of</w:t>
      </w:r>
      <w:r>
        <w:rPr>
          <w:color w:val="010202"/>
          <w:spacing w:val="-6"/>
        </w:rPr>
        <w:t> </w:t>
      </w:r>
      <w:r>
        <w:rPr>
          <w:color w:val="010202"/>
        </w:rPr>
        <w:t>health</w:t>
      </w:r>
      <w:r>
        <w:rPr>
          <w:color w:val="231F20"/>
        </w:rPr>
        <w:t>.</w:t>
      </w:r>
    </w:p>
    <w:p>
      <w:pPr>
        <w:pStyle w:val="BodyText"/>
        <w:spacing w:line="266" w:lineRule="auto" w:before="173"/>
        <w:ind w:left="120" w:right="42"/>
        <w:jc w:val="both"/>
      </w:pPr>
      <w:r>
        <w:rPr>
          <w:color w:val="231F20"/>
        </w:rPr>
        <w:t>REACH uses a team-based, non-hierarchal model, which</w:t>
      </w:r>
      <w:r>
        <w:rPr>
          <w:color w:val="231F20"/>
          <w:spacing w:val="-53"/>
        </w:rPr>
        <w:t> </w:t>
      </w:r>
      <w:r>
        <w:rPr>
          <w:color w:val="231F20"/>
        </w:rPr>
        <w:t>involves collaborative teams of medical providers, social</w:t>
      </w:r>
      <w:r>
        <w:rPr>
          <w:color w:val="231F20"/>
          <w:spacing w:val="-52"/>
        </w:rPr>
        <w:t> </w:t>
      </w:r>
      <w:r>
        <w:rPr>
          <w:color w:val="231F20"/>
        </w:rPr>
        <w:t>workers,</w:t>
      </w:r>
      <w:r>
        <w:rPr>
          <w:color w:val="231F20"/>
          <w:spacing w:val="-5"/>
        </w:rPr>
        <w:t> </w:t>
      </w:r>
      <w:r>
        <w:rPr>
          <w:color w:val="231F20"/>
        </w:rPr>
        <w:t>and</w:t>
      </w:r>
      <w:r>
        <w:rPr>
          <w:color w:val="231F20"/>
          <w:spacing w:val="-3"/>
        </w:rPr>
        <w:t> </w:t>
      </w:r>
      <w:r>
        <w:rPr>
          <w:color w:val="231F20"/>
        </w:rPr>
        <w:t>administrative</w:t>
      </w:r>
      <w:r>
        <w:rPr>
          <w:color w:val="231F20"/>
          <w:spacing w:val="-3"/>
        </w:rPr>
        <w:t> </w:t>
      </w:r>
      <w:r>
        <w:rPr>
          <w:color w:val="231F20"/>
        </w:rPr>
        <w:t>staff</w:t>
      </w:r>
      <w:r>
        <w:rPr>
          <w:color w:val="231F20"/>
          <w:spacing w:val="-4"/>
        </w:rPr>
        <w:t> </w:t>
      </w:r>
      <w:r>
        <w:rPr>
          <w:color w:val="231F20"/>
        </w:rPr>
        <w:t>to</w:t>
      </w:r>
      <w:r>
        <w:rPr>
          <w:color w:val="231F20"/>
          <w:spacing w:val="-4"/>
        </w:rPr>
        <w:t> </w:t>
      </w:r>
      <w:r>
        <w:rPr>
          <w:color w:val="231F20"/>
        </w:rPr>
        <w:t>engage</w:t>
      </w:r>
      <w:r>
        <w:rPr>
          <w:color w:val="231F20"/>
          <w:spacing w:val="-3"/>
        </w:rPr>
        <w:t> </w:t>
      </w:r>
      <w:r>
        <w:rPr>
          <w:color w:val="231F20"/>
        </w:rPr>
        <w:t>with</w:t>
      </w:r>
      <w:r>
        <w:rPr>
          <w:color w:val="231F20"/>
          <w:spacing w:val="-4"/>
        </w:rPr>
        <w:t> </w:t>
      </w:r>
      <w:r>
        <w:rPr>
          <w:color w:val="231F20"/>
        </w:rPr>
        <w:t>and</w:t>
      </w:r>
      <w:r>
        <w:rPr>
          <w:color w:val="231F20"/>
          <w:spacing w:val="-3"/>
        </w:rPr>
        <w:t> </w:t>
      </w:r>
      <w:r>
        <w:rPr>
          <w:color w:val="231F20"/>
        </w:rPr>
        <w:t>care</w:t>
      </w:r>
      <w:r>
        <w:rPr>
          <w:color w:val="231F20"/>
          <w:spacing w:val="-53"/>
        </w:rPr>
        <w:t> </w:t>
      </w:r>
      <w:r>
        <w:rPr>
          <w:color w:val="231F20"/>
        </w:rPr>
        <w:t>for clients.</w:t>
      </w:r>
    </w:p>
    <w:p>
      <w:pPr>
        <w:pStyle w:val="BodyText"/>
        <w:spacing w:line="266" w:lineRule="auto" w:before="177"/>
        <w:ind w:left="120" w:right="48"/>
      </w:pPr>
      <w:r>
        <w:rPr>
          <w:color w:val="231F20"/>
        </w:rPr>
        <w:t>In March 2020, in response to the COVID-19 pandemic,</w:t>
      </w:r>
      <w:r>
        <w:rPr>
          <w:color w:val="231F20"/>
          <w:spacing w:val="-52"/>
        </w:rPr>
        <w:t> </w:t>
      </w:r>
      <w:r>
        <w:rPr>
          <w:color w:val="231F20"/>
        </w:rPr>
        <w:t>REACH shifted its programming entirely from in-person</w:t>
      </w:r>
      <w:r>
        <w:rPr>
          <w:color w:val="231F20"/>
          <w:spacing w:val="-53"/>
        </w:rPr>
        <w:t> </w:t>
      </w:r>
      <w:r>
        <w:rPr>
          <w:color w:val="231F20"/>
        </w:rPr>
        <w:t>services to telehealth-delivered treatment. Regulatory</w:t>
      </w:r>
      <w:r>
        <w:rPr>
          <w:color w:val="231F20"/>
          <w:spacing w:val="1"/>
        </w:rPr>
        <w:t> </w:t>
      </w:r>
      <w:r>
        <w:rPr>
          <w:color w:val="231F20"/>
        </w:rPr>
        <w:t>changes, such as the ability to initiate buprenorphine</w:t>
      </w:r>
      <w:r>
        <w:rPr>
          <w:color w:val="231F20"/>
          <w:spacing w:val="1"/>
        </w:rPr>
        <w:t> </w:t>
      </w:r>
      <w:r>
        <w:rPr>
          <w:color w:val="231F20"/>
        </w:rPr>
        <w:t>without an in-person visit, allowed REACH to use</w:t>
      </w:r>
      <w:r>
        <w:rPr>
          <w:color w:val="231F20"/>
          <w:spacing w:val="1"/>
        </w:rPr>
        <w:t> </w:t>
      </w:r>
      <w:r>
        <w:rPr>
          <w:color w:val="231F20"/>
        </w:rPr>
        <w:t>telehealth</w:t>
      </w:r>
      <w:r>
        <w:rPr>
          <w:color w:val="231F20"/>
          <w:spacing w:val="-1"/>
        </w:rPr>
        <w:t> </w:t>
      </w:r>
      <w:r>
        <w:rPr>
          <w:color w:val="231F20"/>
        </w:rPr>
        <w:t>to</w:t>
      </w:r>
      <w:r>
        <w:rPr>
          <w:color w:val="231F20"/>
          <w:spacing w:val="-1"/>
        </w:rPr>
        <w:t> </w:t>
      </w:r>
      <w:r>
        <w:rPr>
          <w:color w:val="231F20"/>
        </w:rPr>
        <w:t>provide</w:t>
      </w:r>
      <w:r>
        <w:rPr>
          <w:color w:val="231F20"/>
          <w:spacing w:val="-1"/>
        </w:rPr>
        <w:t> </w:t>
      </w:r>
      <w:r>
        <w:rPr>
          <w:color w:val="231F20"/>
        </w:rPr>
        <w:t>MAT</w:t>
      </w:r>
      <w:r>
        <w:rPr>
          <w:color w:val="231F20"/>
          <w:spacing w:val="-5"/>
        </w:rPr>
        <w:t> </w:t>
      </w:r>
      <w:r>
        <w:rPr>
          <w:color w:val="231F20"/>
        </w:rPr>
        <w:t>to</w:t>
      </w:r>
      <w:r>
        <w:rPr>
          <w:color w:val="231F20"/>
          <w:spacing w:val="-1"/>
        </w:rPr>
        <w:t> </w:t>
      </w:r>
      <w:r>
        <w:rPr>
          <w:color w:val="231F20"/>
        </w:rPr>
        <w:t>their clients.</w:t>
      </w:r>
    </w:p>
    <w:p>
      <w:pPr>
        <w:pStyle w:val="BodyText"/>
        <w:spacing w:line="266" w:lineRule="auto" w:before="175"/>
        <w:ind w:left="120" w:right="255"/>
      </w:pPr>
      <w:r>
        <w:rPr>
          <w:color w:val="231F20"/>
        </w:rPr>
        <w:t>Providers</w:t>
      </w:r>
      <w:r>
        <w:rPr>
          <w:color w:val="231F20"/>
          <w:spacing w:val="-5"/>
        </w:rPr>
        <w:t> </w:t>
      </w:r>
      <w:r>
        <w:rPr>
          <w:color w:val="231F20"/>
        </w:rPr>
        <w:t>now</w:t>
      </w:r>
      <w:r>
        <w:rPr>
          <w:color w:val="231F20"/>
          <w:spacing w:val="-5"/>
        </w:rPr>
        <w:t> </w:t>
      </w:r>
      <w:r>
        <w:rPr>
          <w:color w:val="231F20"/>
        </w:rPr>
        <w:t>conduct</w:t>
      </w:r>
      <w:r>
        <w:rPr>
          <w:color w:val="231F20"/>
          <w:spacing w:val="-5"/>
        </w:rPr>
        <w:t> </w:t>
      </w:r>
      <w:r>
        <w:rPr>
          <w:color w:val="231F20"/>
        </w:rPr>
        <w:t>visits</w:t>
      </w:r>
      <w:r>
        <w:rPr>
          <w:color w:val="231F20"/>
          <w:spacing w:val="-5"/>
        </w:rPr>
        <w:t> </w:t>
      </w:r>
      <w:r>
        <w:rPr>
          <w:color w:val="231F20"/>
        </w:rPr>
        <w:t>virtually,</w:t>
      </w:r>
      <w:r>
        <w:rPr>
          <w:color w:val="231F20"/>
          <w:spacing w:val="-5"/>
        </w:rPr>
        <w:t> </w:t>
      </w:r>
      <w:r>
        <w:rPr>
          <w:color w:val="231F20"/>
        </w:rPr>
        <w:t>via</w:t>
      </w:r>
      <w:r>
        <w:rPr>
          <w:color w:val="231F20"/>
          <w:spacing w:val="-5"/>
        </w:rPr>
        <w:t> </w:t>
      </w:r>
      <w:r>
        <w:rPr>
          <w:color w:val="231F20"/>
        </w:rPr>
        <w:t>audio-video</w:t>
      </w:r>
      <w:r>
        <w:rPr>
          <w:color w:val="231F20"/>
          <w:spacing w:val="-52"/>
        </w:rPr>
        <w:t> </w:t>
      </w:r>
      <w:r>
        <w:rPr>
          <w:color w:val="231F20"/>
        </w:rPr>
        <w:t>technology</w:t>
      </w:r>
      <w:r>
        <w:rPr>
          <w:color w:val="231F20"/>
          <w:spacing w:val="-1"/>
        </w:rPr>
        <w:t> </w:t>
      </w:r>
      <w:r>
        <w:rPr>
          <w:color w:val="231F20"/>
        </w:rPr>
        <w:t>on tablets, computers, and smartphones.</w:t>
      </w:r>
    </w:p>
    <w:p>
      <w:pPr>
        <w:pStyle w:val="BodyText"/>
        <w:spacing w:line="266" w:lineRule="auto"/>
        <w:ind w:left="120" w:right="32"/>
      </w:pPr>
      <w:r>
        <w:rPr>
          <w:color w:val="231F20"/>
        </w:rPr>
        <w:t>Some of REACH’s clients are rural and do not have</w:t>
      </w:r>
      <w:r>
        <w:rPr>
          <w:color w:val="231F20"/>
          <w:spacing w:val="1"/>
        </w:rPr>
        <w:t> </w:t>
      </w:r>
      <w:r>
        <w:rPr>
          <w:color w:val="231F20"/>
        </w:rPr>
        <w:t>access to broadband, so the clinic also conducts</w:t>
      </w:r>
      <w:r>
        <w:rPr>
          <w:color w:val="231F20"/>
          <w:spacing w:val="1"/>
        </w:rPr>
        <w:t> </w:t>
      </w:r>
      <w:r>
        <w:rPr>
          <w:color w:val="231F20"/>
        </w:rPr>
        <w:t>telehealth visits via landline phone. Besides computer</w:t>
      </w:r>
      <w:r>
        <w:rPr>
          <w:color w:val="231F20"/>
          <w:spacing w:val="1"/>
        </w:rPr>
        <w:t> </w:t>
      </w:r>
      <w:r>
        <w:rPr>
          <w:color w:val="231F20"/>
        </w:rPr>
        <w:t>and landline phone, REACH is also able to communicate</w:t>
      </w:r>
      <w:r>
        <w:rPr>
          <w:color w:val="231F20"/>
          <w:spacing w:val="-52"/>
        </w:rPr>
        <w:t> </w:t>
      </w:r>
      <w:r>
        <w:rPr>
          <w:color w:val="231F20"/>
        </w:rPr>
        <w:t>with clients via text, using a HIPAA-compliant platform</w:t>
      </w:r>
      <w:r>
        <w:rPr>
          <w:color w:val="231F20"/>
          <w:spacing w:val="1"/>
        </w:rPr>
        <w:t> </w:t>
      </w:r>
      <w:r>
        <w:rPr>
          <w:color w:val="231F20"/>
        </w:rPr>
        <w:t>with a text messaging component. </w:t>
      </w:r>
      <w:r>
        <w:rPr>
          <w:color w:val="010202"/>
        </w:rPr>
        <w:t>As COVID-19</w:t>
      </w:r>
      <w:r>
        <w:rPr>
          <w:color w:val="010202"/>
          <w:spacing w:val="1"/>
        </w:rPr>
        <w:t> </w:t>
      </w:r>
      <w:r>
        <w:rPr>
          <w:color w:val="010202"/>
        </w:rPr>
        <w:t>restrictions</w:t>
      </w:r>
      <w:r>
        <w:rPr>
          <w:color w:val="010202"/>
          <w:spacing w:val="-3"/>
        </w:rPr>
        <w:t> </w:t>
      </w:r>
      <w:r>
        <w:rPr>
          <w:color w:val="010202"/>
        </w:rPr>
        <w:t>have</w:t>
      </w:r>
      <w:r>
        <w:rPr>
          <w:color w:val="010202"/>
          <w:spacing w:val="-3"/>
        </w:rPr>
        <w:t> </w:t>
      </w:r>
      <w:r>
        <w:rPr>
          <w:color w:val="010202"/>
        </w:rPr>
        <w:t>lifted,</w:t>
      </w:r>
      <w:r>
        <w:rPr>
          <w:color w:val="010202"/>
          <w:spacing w:val="-3"/>
        </w:rPr>
        <w:t> </w:t>
      </w:r>
      <w:r>
        <w:rPr>
          <w:color w:val="010202"/>
        </w:rPr>
        <w:t>some</w:t>
      </w:r>
      <w:r>
        <w:rPr>
          <w:color w:val="010202"/>
          <w:spacing w:val="-4"/>
        </w:rPr>
        <w:t> </w:t>
      </w:r>
      <w:r>
        <w:rPr>
          <w:color w:val="010202"/>
        </w:rPr>
        <w:t>in-office</w:t>
      </w:r>
      <w:r>
        <w:rPr>
          <w:color w:val="010202"/>
          <w:spacing w:val="-3"/>
        </w:rPr>
        <w:t> </w:t>
      </w:r>
      <w:r>
        <w:rPr>
          <w:color w:val="010202"/>
        </w:rPr>
        <w:t>care</w:t>
      </w:r>
      <w:r>
        <w:rPr>
          <w:color w:val="010202"/>
          <w:spacing w:val="-3"/>
        </w:rPr>
        <w:t> </w:t>
      </w:r>
      <w:r>
        <w:rPr>
          <w:color w:val="010202"/>
        </w:rPr>
        <w:t>has</w:t>
      </w:r>
      <w:r>
        <w:rPr>
          <w:color w:val="010202"/>
          <w:spacing w:val="-3"/>
        </w:rPr>
        <w:t> </w:t>
      </w:r>
      <w:r>
        <w:rPr>
          <w:color w:val="010202"/>
        </w:rPr>
        <w:t>resumed.</w:t>
      </w:r>
    </w:p>
    <w:p>
      <w:pPr>
        <w:spacing w:line="240" w:lineRule="auto" w:before="6" w:after="24"/>
        <w:rPr>
          <w:sz w:val="23"/>
        </w:rPr>
      </w:pPr>
      <w:r>
        <w:rPr/>
        <w:br w:type="column"/>
      </w:r>
      <w:r>
        <w:rPr>
          <w:sz w:val="23"/>
        </w:rPr>
      </w:r>
    </w:p>
    <w:p>
      <w:pPr>
        <w:pStyle w:val="BodyText"/>
        <w:ind w:left="90"/>
        <w:rPr>
          <w:sz w:val="20"/>
        </w:rPr>
      </w:pPr>
      <w:r>
        <w:rPr>
          <w:sz w:val="20"/>
        </w:rPr>
        <w:pict>
          <v:group style="width:252.05pt;height:327.45pt;mso-position-horizontal-relative:char;mso-position-vertical-relative:line" id="docshapegroup171" coordorigin="0,0" coordsize="5041,6549">
            <v:shape style="position:absolute;left:0;top:0;width:5041;height:6549" id="docshape172" coordorigin="0,0" coordsize="5041,6549" path="m4951,0l90,0,55,7,26,26,7,55,0,90,0,6459,7,6494,26,6522,55,6542,90,6549,4951,6549,4986,6542,5015,6522,5034,6494,5041,6459,5041,90,5034,55,5015,26,4986,7,4951,0xe" filled="true" fillcolor="#f7e0e0" stroked="false">
              <v:path arrowok="t"/>
              <v:fill type="solid"/>
            </v:shape>
            <v:shape style="position:absolute;left:180;top:162;width:4479;height:3636" type="#_x0000_t202" id="docshape173" filled="false" stroked="false">
              <v:textbox inset="0,0,0,0">
                <w:txbxContent>
                  <w:p>
                    <w:pPr>
                      <w:spacing w:line="259" w:lineRule="auto" w:before="0"/>
                      <w:ind w:left="0" w:right="0" w:firstLine="0"/>
                      <w:jc w:val="left"/>
                      <w:rPr>
                        <w:rFonts w:ascii="Arial"/>
                        <w:sz w:val="21"/>
                      </w:rPr>
                    </w:pPr>
                    <w:r>
                      <w:rPr>
                        <w:rFonts w:ascii="Arial"/>
                        <w:color w:val="010202"/>
                        <w:sz w:val="21"/>
                      </w:rPr>
                      <w:t>Harm-reduction healthcare clinic in rural upstate</w:t>
                    </w:r>
                    <w:r>
                      <w:rPr>
                        <w:rFonts w:ascii="Arial"/>
                        <w:color w:val="010202"/>
                        <w:spacing w:val="-57"/>
                        <w:sz w:val="21"/>
                      </w:rPr>
                      <w:t> </w:t>
                    </w:r>
                    <w:r>
                      <w:rPr>
                        <w:rFonts w:ascii="Arial"/>
                        <w:color w:val="010202"/>
                        <w:sz w:val="21"/>
                      </w:rPr>
                      <w:t>New York that provides medication-assisted</w:t>
                    </w:r>
                    <w:r>
                      <w:rPr>
                        <w:rFonts w:ascii="Arial"/>
                        <w:color w:val="010202"/>
                        <w:spacing w:val="1"/>
                        <w:sz w:val="21"/>
                      </w:rPr>
                      <w:t> </w:t>
                    </w:r>
                    <w:r>
                      <w:rPr>
                        <w:rFonts w:ascii="Arial"/>
                        <w:color w:val="010202"/>
                        <w:sz w:val="21"/>
                      </w:rPr>
                      <w:t>treatment (MAT) to people with substance use</w:t>
                    </w:r>
                    <w:r>
                      <w:rPr>
                        <w:rFonts w:ascii="Arial"/>
                        <w:color w:val="010202"/>
                        <w:spacing w:val="1"/>
                        <w:sz w:val="21"/>
                      </w:rPr>
                      <w:t> </w:t>
                    </w:r>
                    <w:r>
                      <w:rPr>
                        <w:rFonts w:ascii="Arial"/>
                        <w:color w:val="010202"/>
                        <w:sz w:val="21"/>
                      </w:rPr>
                      <w:t>disorder (SUD).</w:t>
                    </w:r>
                  </w:p>
                  <w:p>
                    <w:pPr>
                      <w:spacing w:before="135"/>
                      <w:ind w:left="0" w:right="0" w:firstLine="0"/>
                      <w:jc w:val="left"/>
                      <w:rPr>
                        <w:rFonts w:ascii="Arial Black"/>
                        <w:sz w:val="21"/>
                      </w:rPr>
                    </w:pPr>
                    <w:r>
                      <w:rPr>
                        <w:rFonts w:ascii="Arial Black"/>
                        <w:color w:val="CE384B"/>
                        <w:sz w:val="21"/>
                      </w:rPr>
                      <w:t>Treatment</w:t>
                    </w:r>
                    <w:r>
                      <w:rPr>
                        <w:rFonts w:ascii="Arial Black"/>
                        <w:color w:val="CE384B"/>
                        <w:spacing w:val="-5"/>
                        <w:sz w:val="21"/>
                      </w:rPr>
                      <w:t> </w:t>
                    </w:r>
                    <w:r>
                      <w:rPr>
                        <w:rFonts w:ascii="Arial Black"/>
                        <w:color w:val="CE384B"/>
                        <w:sz w:val="21"/>
                      </w:rPr>
                      <w:t>Offered</w:t>
                    </w:r>
                  </w:p>
                  <w:p>
                    <w:pPr>
                      <w:spacing w:line="259" w:lineRule="auto" w:before="118"/>
                      <w:ind w:left="0" w:right="125" w:firstLine="0"/>
                      <w:jc w:val="left"/>
                      <w:rPr>
                        <w:rFonts w:ascii="Arial"/>
                        <w:sz w:val="21"/>
                      </w:rPr>
                    </w:pPr>
                    <w:r>
                      <w:rPr>
                        <w:rFonts w:ascii="Arial"/>
                        <w:color w:val="010202"/>
                        <w:spacing w:val="-1"/>
                        <w:sz w:val="21"/>
                      </w:rPr>
                      <w:t>Medication-Assisted</w:t>
                    </w:r>
                    <w:r>
                      <w:rPr>
                        <w:rFonts w:ascii="Arial"/>
                        <w:color w:val="010202"/>
                        <w:spacing w:val="-10"/>
                        <w:sz w:val="21"/>
                      </w:rPr>
                      <w:t> </w:t>
                    </w:r>
                    <w:r>
                      <w:rPr>
                        <w:rFonts w:ascii="Arial"/>
                        <w:color w:val="010202"/>
                        <w:sz w:val="21"/>
                      </w:rPr>
                      <w:t>Treatment</w:t>
                    </w:r>
                    <w:r>
                      <w:rPr>
                        <w:rFonts w:ascii="Arial"/>
                        <w:color w:val="010202"/>
                        <w:spacing w:val="-7"/>
                        <w:sz w:val="21"/>
                      </w:rPr>
                      <w:t> </w:t>
                    </w:r>
                    <w:r>
                      <w:rPr>
                        <w:rFonts w:ascii="Arial"/>
                        <w:color w:val="010202"/>
                        <w:sz w:val="21"/>
                      </w:rPr>
                      <w:t>(MAT),</w:t>
                    </w:r>
                    <w:r>
                      <w:rPr>
                        <w:rFonts w:ascii="Arial"/>
                        <w:color w:val="010202"/>
                        <w:spacing w:val="-6"/>
                        <w:sz w:val="21"/>
                      </w:rPr>
                      <w:t> </w:t>
                    </w:r>
                    <w:r>
                      <w:rPr>
                        <w:rFonts w:ascii="Arial"/>
                        <w:color w:val="010202"/>
                        <w:sz w:val="21"/>
                      </w:rPr>
                      <w:t>Primary</w:t>
                    </w:r>
                    <w:r>
                      <w:rPr>
                        <w:rFonts w:ascii="Arial"/>
                        <w:color w:val="010202"/>
                        <w:spacing w:val="-56"/>
                        <w:sz w:val="21"/>
                      </w:rPr>
                      <w:t> </w:t>
                    </w:r>
                    <w:r>
                      <w:rPr>
                        <w:rFonts w:ascii="Arial"/>
                        <w:color w:val="010202"/>
                        <w:sz w:val="21"/>
                      </w:rPr>
                      <w:t>Care,</w:t>
                    </w:r>
                    <w:r>
                      <w:rPr>
                        <w:rFonts w:ascii="Arial"/>
                        <w:color w:val="010202"/>
                        <w:spacing w:val="-2"/>
                        <w:sz w:val="21"/>
                      </w:rPr>
                      <w:t> </w:t>
                    </w:r>
                    <w:r>
                      <w:rPr>
                        <w:rFonts w:ascii="Arial"/>
                        <w:color w:val="010202"/>
                        <w:sz w:val="21"/>
                      </w:rPr>
                      <w:t>and</w:t>
                    </w:r>
                    <w:r>
                      <w:rPr>
                        <w:rFonts w:ascii="Arial"/>
                        <w:color w:val="010202"/>
                        <w:spacing w:val="-1"/>
                        <w:sz w:val="21"/>
                      </w:rPr>
                      <w:t> </w:t>
                    </w:r>
                    <w:r>
                      <w:rPr>
                        <w:rFonts w:ascii="Arial"/>
                        <w:color w:val="010202"/>
                        <w:sz w:val="21"/>
                      </w:rPr>
                      <w:t>Case</w:t>
                    </w:r>
                    <w:r>
                      <w:rPr>
                        <w:rFonts w:ascii="Arial"/>
                        <w:color w:val="010202"/>
                        <w:spacing w:val="-1"/>
                        <w:sz w:val="21"/>
                      </w:rPr>
                      <w:t> </w:t>
                    </w:r>
                    <w:r>
                      <w:rPr>
                        <w:rFonts w:ascii="Arial"/>
                        <w:color w:val="010202"/>
                        <w:sz w:val="21"/>
                      </w:rPr>
                      <w:t>Management</w:t>
                    </w:r>
                  </w:p>
                  <w:p>
                    <w:pPr>
                      <w:spacing w:before="145"/>
                      <w:ind w:left="0" w:right="0" w:firstLine="0"/>
                      <w:jc w:val="left"/>
                      <w:rPr>
                        <w:rFonts w:ascii="Arial Black"/>
                        <w:sz w:val="21"/>
                      </w:rPr>
                    </w:pPr>
                    <w:r>
                      <w:rPr>
                        <w:rFonts w:ascii="Arial Black"/>
                        <w:color w:val="CE384B"/>
                        <w:sz w:val="21"/>
                      </w:rPr>
                      <w:t>Population</w:t>
                    </w:r>
                    <w:r>
                      <w:rPr>
                        <w:rFonts w:ascii="Arial Black"/>
                        <w:color w:val="CE384B"/>
                        <w:spacing w:val="-10"/>
                        <w:sz w:val="21"/>
                      </w:rPr>
                      <w:t> </w:t>
                    </w:r>
                    <w:r>
                      <w:rPr>
                        <w:rFonts w:ascii="Arial Black"/>
                        <w:color w:val="CE384B"/>
                        <w:sz w:val="21"/>
                      </w:rPr>
                      <w:t>of</w:t>
                    </w:r>
                    <w:r>
                      <w:rPr>
                        <w:rFonts w:ascii="Arial Black"/>
                        <w:color w:val="CE384B"/>
                        <w:spacing w:val="2"/>
                        <w:sz w:val="21"/>
                      </w:rPr>
                      <w:t> </w:t>
                    </w:r>
                    <w:r>
                      <w:rPr>
                        <w:rFonts w:ascii="Arial Black"/>
                        <w:color w:val="CE384B"/>
                        <w:sz w:val="21"/>
                      </w:rPr>
                      <w:t>Focus</w:t>
                    </w:r>
                  </w:p>
                  <w:p>
                    <w:pPr>
                      <w:spacing w:line="259" w:lineRule="auto" w:before="118"/>
                      <w:ind w:left="0" w:right="0" w:firstLine="0"/>
                      <w:jc w:val="left"/>
                      <w:rPr>
                        <w:rFonts w:ascii="Arial"/>
                        <w:sz w:val="21"/>
                      </w:rPr>
                    </w:pPr>
                    <w:r>
                      <w:rPr>
                        <w:rFonts w:ascii="Arial"/>
                        <w:color w:val="010202"/>
                        <w:spacing w:val="-2"/>
                        <w:sz w:val="21"/>
                      </w:rPr>
                      <w:t>People</w:t>
                    </w:r>
                    <w:r>
                      <w:rPr>
                        <w:rFonts w:ascii="Arial"/>
                        <w:color w:val="010202"/>
                        <w:spacing w:val="-13"/>
                        <w:sz w:val="21"/>
                      </w:rPr>
                      <w:t> </w:t>
                    </w:r>
                    <w:r>
                      <w:rPr>
                        <w:rFonts w:ascii="Arial"/>
                        <w:color w:val="010202"/>
                        <w:spacing w:val="-2"/>
                        <w:sz w:val="21"/>
                      </w:rPr>
                      <w:t>with</w:t>
                    </w:r>
                    <w:r>
                      <w:rPr>
                        <w:rFonts w:ascii="Arial"/>
                        <w:color w:val="010202"/>
                        <w:spacing w:val="-13"/>
                        <w:sz w:val="21"/>
                      </w:rPr>
                      <w:t> </w:t>
                    </w:r>
                    <w:r>
                      <w:rPr>
                        <w:rFonts w:ascii="Arial"/>
                        <w:color w:val="010202"/>
                        <w:spacing w:val="-2"/>
                        <w:sz w:val="21"/>
                      </w:rPr>
                      <w:t>SUD,</w:t>
                    </w:r>
                    <w:r>
                      <w:rPr>
                        <w:rFonts w:ascii="Arial"/>
                        <w:color w:val="010202"/>
                        <w:spacing w:val="-12"/>
                        <w:sz w:val="21"/>
                      </w:rPr>
                      <w:t> </w:t>
                    </w:r>
                    <w:r>
                      <w:rPr>
                        <w:rFonts w:ascii="Arial"/>
                        <w:color w:val="010202"/>
                        <w:spacing w:val="-2"/>
                        <w:sz w:val="21"/>
                      </w:rPr>
                      <w:t>co-occurring</w:t>
                    </w:r>
                    <w:r>
                      <w:rPr>
                        <w:rFonts w:ascii="Arial"/>
                        <w:color w:val="010202"/>
                        <w:spacing w:val="-13"/>
                        <w:sz w:val="21"/>
                      </w:rPr>
                      <w:t> </w:t>
                    </w:r>
                    <w:r>
                      <w:rPr>
                        <w:rFonts w:ascii="Arial"/>
                        <w:color w:val="010202"/>
                        <w:spacing w:val="-1"/>
                        <w:sz w:val="21"/>
                      </w:rPr>
                      <w:t>mental</w:t>
                    </w:r>
                    <w:r>
                      <w:rPr>
                        <w:rFonts w:ascii="Arial"/>
                        <w:color w:val="010202"/>
                        <w:spacing w:val="-12"/>
                        <w:sz w:val="21"/>
                      </w:rPr>
                      <w:t> </w:t>
                    </w:r>
                    <w:r>
                      <w:rPr>
                        <w:rFonts w:ascii="Arial"/>
                        <w:color w:val="010202"/>
                        <w:spacing w:val="-1"/>
                        <w:sz w:val="21"/>
                      </w:rPr>
                      <w:t>disorders,</w:t>
                    </w:r>
                    <w:r>
                      <w:rPr>
                        <w:rFonts w:ascii="Arial"/>
                        <w:color w:val="010202"/>
                        <w:spacing w:val="-56"/>
                        <w:sz w:val="21"/>
                      </w:rPr>
                      <w:t> </w:t>
                    </w:r>
                    <w:r>
                      <w:rPr>
                        <w:rFonts w:ascii="Arial"/>
                        <w:color w:val="010202"/>
                        <w:sz w:val="21"/>
                      </w:rPr>
                      <w:t>and</w:t>
                    </w:r>
                    <w:r>
                      <w:rPr>
                        <w:rFonts w:ascii="Arial"/>
                        <w:color w:val="010202"/>
                        <w:spacing w:val="-7"/>
                        <w:sz w:val="21"/>
                      </w:rPr>
                      <w:t> </w:t>
                    </w:r>
                    <w:r>
                      <w:rPr>
                        <w:rFonts w:ascii="Arial"/>
                        <w:color w:val="010202"/>
                        <w:sz w:val="21"/>
                      </w:rPr>
                      <w:t>other</w:t>
                    </w:r>
                    <w:r>
                      <w:rPr>
                        <w:rFonts w:ascii="Arial"/>
                        <w:color w:val="010202"/>
                        <w:spacing w:val="-6"/>
                        <w:sz w:val="21"/>
                      </w:rPr>
                      <w:t> </w:t>
                    </w:r>
                    <w:r>
                      <w:rPr>
                        <w:rFonts w:ascii="Arial"/>
                        <w:color w:val="010202"/>
                        <w:sz w:val="21"/>
                      </w:rPr>
                      <w:t>complex</w:t>
                    </w:r>
                    <w:r>
                      <w:rPr>
                        <w:rFonts w:ascii="Arial"/>
                        <w:color w:val="010202"/>
                        <w:spacing w:val="-6"/>
                        <w:sz w:val="21"/>
                      </w:rPr>
                      <w:t> </w:t>
                    </w:r>
                    <w:r>
                      <w:rPr>
                        <w:rFonts w:ascii="Arial"/>
                        <w:color w:val="010202"/>
                        <w:sz w:val="21"/>
                      </w:rPr>
                      <w:t>needs</w:t>
                    </w:r>
                  </w:p>
                  <w:p>
                    <w:pPr>
                      <w:spacing w:before="144"/>
                      <w:ind w:left="0" w:right="0" w:firstLine="0"/>
                      <w:jc w:val="left"/>
                      <w:rPr>
                        <w:rFonts w:ascii="Arial Black"/>
                        <w:sz w:val="21"/>
                      </w:rPr>
                    </w:pPr>
                    <w:r>
                      <w:rPr>
                        <w:rFonts w:ascii="Arial Black"/>
                        <w:color w:val="CE384B"/>
                        <w:sz w:val="21"/>
                      </w:rPr>
                      <w:t>Related</w:t>
                    </w:r>
                    <w:r>
                      <w:rPr>
                        <w:rFonts w:ascii="Arial Black"/>
                        <w:color w:val="CE384B"/>
                        <w:spacing w:val="-8"/>
                        <w:sz w:val="21"/>
                      </w:rPr>
                      <w:t> </w:t>
                    </w:r>
                    <w:r>
                      <w:rPr>
                        <w:rFonts w:ascii="Arial Black"/>
                        <w:color w:val="CE384B"/>
                        <w:sz w:val="21"/>
                      </w:rPr>
                      <w:t>Resources</w:t>
                    </w:r>
                  </w:p>
                </w:txbxContent>
              </v:textbox>
              <w10:wrap type="none"/>
            </v:shape>
            <v:shape style="position:absolute;left:180;top:3906;width:125;height:696" type="#_x0000_t202" id="docshape174" filled="false" stroked="false">
              <v:textbox inset="0,0,0,0">
                <w:txbxContent>
                  <w:p>
                    <w:pPr>
                      <w:spacing w:line="253" w:lineRule="exact" w:before="0"/>
                      <w:ind w:left="0" w:right="0" w:firstLine="0"/>
                      <w:jc w:val="left"/>
                      <w:rPr>
                        <w:rFonts w:ascii="Century Gothic" w:hAnsi="Century Gothic"/>
                        <w:sz w:val="21"/>
                      </w:rPr>
                    </w:pPr>
                    <w:r>
                      <w:rPr>
                        <w:rFonts w:ascii="Century Gothic" w:hAnsi="Century Gothic"/>
                        <w:color w:val="010202"/>
                        <w:w w:val="82"/>
                        <w:sz w:val="21"/>
                      </w:rPr>
                      <w:t>•</w:t>
                    </w:r>
                  </w:p>
                  <w:p>
                    <w:pPr>
                      <w:spacing w:before="182"/>
                      <w:ind w:left="0" w:right="0" w:firstLine="0"/>
                      <w:jc w:val="left"/>
                      <w:rPr>
                        <w:rFonts w:ascii="Century Gothic" w:hAnsi="Century Gothic"/>
                        <w:sz w:val="21"/>
                      </w:rPr>
                    </w:pPr>
                    <w:r>
                      <w:rPr>
                        <w:rFonts w:ascii="Century Gothic" w:hAnsi="Century Gothic"/>
                        <w:color w:val="010202"/>
                        <w:w w:val="82"/>
                        <w:sz w:val="21"/>
                      </w:rPr>
                      <w:t>•</w:t>
                    </w:r>
                  </w:p>
                </w:txbxContent>
              </v:textbox>
              <w10:wrap type="none"/>
            </v:shape>
            <v:shape style="position:absolute;left:539;top:3922;width:1444;height:235" type="#_x0000_t202" id="docshape175" filled="false" stroked="false">
              <v:textbox inset="0,0,0,0">
                <w:txbxContent>
                  <w:p>
                    <w:pPr>
                      <w:spacing w:line="235" w:lineRule="exact" w:before="0"/>
                      <w:ind w:left="0" w:right="0" w:firstLine="0"/>
                      <w:jc w:val="left"/>
                      <w:rPr>
                        <w:rFonts w:ascii="Arial"/>
                        <w:sz w:val="21"/>
                      </w:rPr>
                    </w:pPr>
                    <w:hyperlink r:id="rId322">
                      <w:r>
                        <w:rPr>
                          <w:rFonts w:ascii="Arial"/>
                          <w:color w:val="3953A4"/>
                          <w:sz w:val="21"/>
                          <w:u w:val="single" w:color="3953A4"/>
                        </w:rPr>
                        <w:t>Project</w:t>
                      </w:r>
                      <w:r>
                        <w:rPr>
                          <w:rFonts w:ascii="Arial"/>
                          <w:color w:val="3953A4"/>
                          <w:spacing w:val="-1"/>
                          <w:sz w:val="21"/>
                          <w:u w:val="single" w:color="3953A4"/>
                        </w:rPr>
                        <w:t> </w:t>
                      </w:r>
                      <w:r>
                        <w:rPr>
                          <w:rFonts w:ascii="Arial"/>
                          <w:color w:val="3953A4"/>
                          <w:sz w:val="21"/>
                          <w:u w:val="single" w:color="3953A4"/>
                        </w:rPr>
                        <w:t>website</w:t>
                      </w:r>
                    </w:hyperlink>
                  </w:p>
                </w:txbxContent>
              </v:textbox>
              <w10:wrap type="none"/>
            </v:shape>
            <v:shape style="position:absolute;left:539;top:4362;width:3954;height:755" type="#_x0000_t202" id="docshape176" filled="false" stroked="false">
              <v:textbox inset="0,0,0,0">
                <w:txbxContent>
                  <w:p>
                    <w:pPr>
                      <w:spacing w:line="259" w:lineRule="auto" w:before="0"/>
                      <w:ind w:left="0" w:right="0" w:firstLine="0"/>
                      <w:jc w:val="left"/>
                      <w:rPr>
                        <w:rFonts w:ascii="Arial"/>
                        <w:sz w:val="21"/>
                      </w:rPr>
                    </w:pPr>
                    <w:hyperlink r:id="rId323">
                      <w:r>
                        <w:rPr>
                          <w:rFonts w:ascii="Arial"/>
                          <w:color w:val="3953A4"/>
                          <w:sz w:val="21"/>
                          <w:u w:val="single" w:color="3953A4"/>
                        </w:rPr>
                        <w:t>A Harm Reduction Approach to Treating</w:t>
                      </w:r>
                    </w:hyperlink>
                    <w:r>
                      <w:rPr>
                        <w:rFonts w:ascii="Arial"/>
                        <w:color w:val="3953A4"/>
                        <w:spacing w:val="1"/>
                        <w:sz w:val="21"/>
                      </w:rPr>
                      <w:t> </w:t>
                    </w:r>
                    <w:hyperlink r:id="rId323">
                      <w:r>
                        <w:rPr>
                          <w:rFonts w:ascii="Arial"/>
                          <w:color w:val="3953A4"/>
                          <w:sz w:val="21"/>
                          <w:u w:val="single" w:color="3953A4"/>
                        </w:rPr>
                        <w:t>Opioid Use Disorder in an Independent</w:t>
                      </w:r>
                    </w:hyperlink>
                    <w:r>
                      <w:rPr>
                        <w:rFonts w:ascii="Arial"/>
                        <w:color w:val="3953A4"/>
                        <w:spacing w:val="1"/>
                        <w:sz w:val="21"/>
                      </w:rPr>
                      <w:t> </w:t>
                    </w:r>
                    <w:hyperlink r:id="rId323">
                      <w:r>
                        <w:rPr>
                          <w:rFonts w:ascii="Arial"/>
                          <w:color w:val="3953A4"/>
                          <w:spacing w:val="-1"/>
                          <w:sz w:val="21"/>
                          <w:u w:val="single" w:color="3953A4"/>
                        </w:rPr>
                        <w:t>Primary</w:t>
                      </w:r>
                      <w:r>
                        <w:rPr>
                          <w:rFonts w:ascii="Arial"/>
                          <w:color w:val="3953A4"/>
                          <w:spacing w:val="-3"/>
                          <w:sz w:val="21"/>
                          <w:u w:val="single" w:color="3953A4"/>
                        </w:rPr>
                        <w:t> </w:t>
                      </w:r>
                      <w:r>
                        <w:rPr>
                          <w:rFonts w:ascii="Arial"/>
                          <w:color w:val="3953A4"/>
                          <w:sz w:val="21"/>
                          <w:u w:val="single" w:color="3953A4"/>
                        </w:rPr>
                        <w:t>Care</w:t>
                      </w:r>
                      <w:r>
                        <w:rPr>
                          <w:rFonts w:ascii="Arial"/>
                          <w:color w:val="3953A4"/>
                          <w:spacing w:val="-2"/>
                          <w:sz w:val="21"/>
                          <w:u w:val="single" w:color="3953A4"/>
                        </w:rPr>
                        <w:t> </w:t>
                      </w:r>
                      <w:r>
                        <w:rPr>
                          <w:rFonts w:ascii="Arial"/>
                          <w:color w:val="3953A4"/>
                          <w:sz w:val="21"/>
                          <w:u w:val="single" w:color="3953A4"/>
                        </w:rPr>
                        <w:t>Practice:</w:t>
                      </w:r>
                      <w:r>
                        <w:rPr>
                          <w:rFonts w:ascii="Arial"/>
                          <w:color w:val="3953A4"/>
                          <w:spacing w:val="-13"/>
                          <w:sz w:val="21"/>
                          <w:u w:val="single" w:color="3953A4"/>
                        </w:rPr>
                        <w:t> </w:t>
                      </w:r>
                      <w:r>
                        <w:rPr>
                          <w:rFonts w:ascii="Arial"/>
                          <w:color w:val="3953A4"/>
                          <w:sz w:val="21"/>
                          <w:u w:val="single" w:color="3953A4"/>
                        </w:rPr>
                        <w:t>A</w:t>
                      </w:r>
                      <w:r>
                        <w:rPr>
                          <w:rFonts w:ascii="Arial"/>
                          <w:color w:val="3953A4"/>
                          <w:spacing w:val="-14"/>
                          <w:sz w:val="21"/>
                          <w:u w:val="single" w:color="3953A4"/>
                        </w:rPr>
                        <w:t> </w:t>
                      </w:r>
                      <w:r>
                        <w:rPr>
                          <w:rFonts w:ascii="Arial"/>
                          <w:color w:val="3953A4"/>
                          <w:sz w:val="21"/>
                          <w:u w:val="single" w:color="3953A4"/>
                        </w:rPr>
                        <w:t>Qualitative</w:t>
                      </w:r>
                      <w:r>
                        <w:rPr>
                          <w:rFonts w:ascii="Arial"/>
                          <w:color w:val="3953A4"/>
                          <w:spacing w:val="-2"/>
                          <w:sz w:val="21"/>
                          <w:u w:val="single" w:color="3953A4"/>
                        </w:rPr>
                        <w:t> </w:t>
                      </w:r>
                      <w:r>
                        <w:rPr>
                          <w:rFonts w:ascii="Arial"/>
                          <w:color w:val="3953A4"/>
                          <w:sz w:val="21"/>
                          <w:u w:val="single" w:color="3953A4"/>
                        </w:rPr>
                        <w:t>Study</w:t>
                      </w:r>
                    </w:hyperlink>
                  </w:p>
                </w:txbxContent>
              </v:textbox>
              <w10:wrap type="none"/>
            </v:shape>
            <v:shape style="position:absolute;left:180;top:5306;width:4652;height:771" type="#_x0000_t202" id="docshape177" filled="false" stroked="false">
              <v:textbox inset="0,0,0,0">
                <w:txbxContent>
                  <w:p>
                    <w:pPr>
                      <w:numPr>
                        <w:ilvl w:val="0"/>
                        <w:numId w:val="65"/>
                      </w:numPr>
                      <w:tabs>
                        <w:tab w:pos="359" w:val="left" w:leader="none"/>
                        <w:tab w:pos="360" w:val="left" w:leader="none"/>
                      </w:tabs>
                      <w:spacing w:line="256" w:lineRule="auto" w:before="0"/>
                      <w:ind w:left="359" w:right="18" w:hanging="360"/>
                      <w:jc w:val="left"/>
                      <w:rPr>
                        <w:rFonts w:ascii="Arial"/>
                        <w:sz w:val="21"/>
                      </w:rPr>
                    </w:pPr>
                    <w:hyperlink r:id="rId324">
                      <w:r>
                        <w:rPr>
                          <w:rFonts w:ascii="Arial"/>
                          <w:color w:val="3953A4"/>
                          <w:sz w:val="21"/>
                          <w:u w:val="single" w:color="3953A4"/>
                        </w:rPr>
                        <w:t>Telemedicine Increases Access to</w:t>
                      </w:r>
                    </w:hyperlink>
                    <w:r>
                      <w:rPr>
                        <w:rFonts w:ascii="Arial"/>
                        <w:color w:val="3953A4"/>
                        <w:spacing w:val="1"/>
                        <w:sz w:val="21"/>
                      </w:rPr>
                      <w:t> </w:t>
                    </w:r>
                    <w:hyperlink r:id="rId324">
                      <w:r>
                        <w:rPr>
                          <w:rFonts w:ascii="Arial"/>
                          <w:color w:val="3953A4"/>
                          <w:sz w:val="21"/>
                          <w:u w:val="single" w:color="3953A4"/>
                        </w:rPr>
                        <w:t>Buprenorphine Initiation During the COVID-19</w:t>
                      </w:r>
                    </w:hyperlink>
                    <w:r>
                      <w:rPr>
                        <w:rFonts w:ascii="Arial"/>
                        <w:color w:val="3953A4"/>
                        <w:spacing w:val="-57"/>
                        <w:sz w:val="21"/>
                      </w:rPr>
                      <w:t> </w:t>
                    </w:r>
                    <w:hyperlink r:id="rId324">
                      <w:r>
                        <w:rPr>
                          <w:rFonts w:ascii="Arial"/>
                          <w:color w:val="3953A4"/>
                          <w:sz w:val="21"/>
                          <w:u w:val="single" w:color="3953A4"/>
                        </w:rPr>
                        <w:t>Pandemic</w:t>
                      </w:r>
                    </w:hyperlink>
                  </w:p>
                </w:txbxContent>
              </v:textbox>
              <w10:wrap type="none"/>
            </v:shape>
          </v:group>
        </w:pict>
      </w:r>
      <w:r>
        <w:rPr>
          <w:sz w:val="20"/>
        </w:rPr>
      </w:r>
    </w:p>
    <w:p>
      <w:pPr>
        <w:pStyle w:val="BodyText"/>
        <w:spacing w:before="5"/>
        <w:rPr>
          <w:sz w:val="24"/>
        </w:rPr>
      </w:pPr>
    </w:p>
    <w:p>
      <w:pPr>
        <w:pStyle w:val="Heading5"/>
        <w:spacing w:before="0"/>
      </w:pPr>
      <w:r>
        <w:rPr>
          <w:color w:val="CE384B"/>
        </w:rPr>
        <w:t>Client Population</w:t>
      </w:r>
    </w:p>
    <w:p>
      <w:pPr>
        <w:pStyle w:val="BodyText"/>
        <w:spacing w:line="266" w:lineRule="auto" w:before="118"/>
        <w:ind w:left="120" w:right="1131"/>
      </w:pPr>
      <w:r>
        <w:rPr>
          <w:color w:val="231F20"/>
        </w:rPr>
        <w:t>REACH</w:t>
      </w:r>
      <w:r>
        <w:rPr>
          <w:color w:val="231F20"/>
          <w:spacing w:val="-13"/>
        </w:rPr>
        <w:t> </w:t>
      </w:r>
      <w:r>
        <w:rPr>
          <w:color w:val="231F20"/>
        </w:rPr>
        <w:t>serves</w:t>
      </w:r>
      <w:r>
        <w:rPr>
          <w:color w:val="231F20"/>
          <w:spacing w:val="-13"/>
        </w:rPr>
        <w:t> </w:t>
      </w:r>
      <w:r>
        <w:rPr>
          <w:color w:val="231F20"/>
        </w:rPr>
        <w:t>several</w:t>
      </w:r>
      <w:r>
        <w:rPr>
          <w:color w:val="231F20"/>
          <w:spacing w:val="-13"/>
        </w:rPr>
        <w:t> </w:t>
      </w:r>
      <w:r>
        <w:rPr>
          <w:color w:val="231F20"/>
        </w:rPr>
        <w:t>rural</w:t>
      </w:r>
      <w:r>
        <w:rPr>
          <w:color w:val="231F20"/>
          <w:spacing w:val="-13"/>
        </w:rPr>
        <w:t> </w:t>
      </w:r>
      <w:r>
        <w:rPr>
          <w:color w:val="231F20"/>
        </w:rPr>
        <w:t>and</w:t>
      </w:r>
      <w:r>
        <w:rPr>
          <w:color w:val="231F20"/>
          <w:spacing w:val="-13"/>
        </w:rPr>
        <w:t> </w:t>
      </w:r>
      <w:r>
        <w:rPr>
          <w:color w:val="231F20"/>
        </w:rPr>
        <w:t>urban</w:t>
      </w:r>
      <w:r>
        <w:rPr>
          <w:color w:val="231F20"/>
          <w:spacing w:val="-13"/>
        </w:rPr>
        <w:t> </w:t>
      </w:r>
      <w:r>
        <w:rPr>
          <w:color w:val="231F20"/>
        </w:rPr>
        <w:t>communities</w:t>
      </w:r>
      <w:r>
        <w:rPr>
          <w:color w:val="231F20"/>
          <w:spacing w:val="-52"/>
        </w:rPr>
        <w:t> </w:t>
      </w:r>
      <w:r>
        <w:rPr>
          <w:color w:val="231F20"/>
          <w:spacing w:val="-2"/>
        </w:rPr>
        <w:t>across 32 counties </w:t>
      </w:r>
      <w:r>
        <w:rPr>
          <w:color w:val="231F20"/>
          <w:spacing w:val="-1"/>
        </w:rPr>
        <w:t>in upstate New York. Over 90</w:t>
      </w:r>
      <w:r>
        <w:rPr>
          <w:color w:val="231F20"/>
        </w:rPr>
        <w:t> </w:t>
      </w:r>
      <w:r>
        <w:rPr>
          <w:color w:val="231F20"/>
          <w:spacing w:val="-2"/>
        </w:rPr>
        <w:t>percent of clients experience SUD. About </w:t>
      </w:r>
      <w:r>
        <w:rPr>
          <w:color w:val="231F20"/>
          <w:spacing w:val="-1"/>
        </w:rPr>
        <w:t>75 percent</w:t>
      </w:r>
      <w:r>
        <w:rPr>
          <w:color w:val="231F20"/>
          <w:spacing w:val="-52"/>
        </w:rPr>
        <w:t> </w:t>
      </w:r>
      <w:r>
        <w:rPr>
          <w:color w:val="231F20"/>
          <w:spacing w:val="-1"/>
        </w:rPr>
        <w:t>of</w:t>
      </w:r>
      <w:r>
        <w:rPr>
          <w:color w:val="231F20"/>
          <w:spacing w:val="-9"/>
        </w:rPr>
        <w:t> </w:t>
      </w:r>
      <w:r>
        <w:rPr>
          <w:color w:val="231F20"/>
          <w:spacing w:val="-1"/>
        </w:rPr>
        <w:t>REACH’s</w:t>
      </w:r>
      <w:r>
        <w:rPr>
          <w:color w:val="231F20"/>
          <w:spacing w:val="-9"/>
        </w:rPr>
        <w:t> </w:t>
      </w:r>
      <w:r>
        <w:rPr>
          <w:color w:val="231F20"/>
          <w:spacing w:val="-1"/>
        </w:rPr>
        <w:t>clients</w:t>
      </w:r>
      <w:r>
        <w:rPr>
          <w:color w:val="231F20"/>
          <w:spacing w:val="-8"/>
        </w:rPr>
        <w:t> </w:t>
      </w:r>
      <w:r>
        <w:rPr>
          <w:color w:val="231F20"/>
          <w:spacing w:val="-1"/>
        </w:rPr>
        <w:t>are</w:t>
      </w:r>
      <w:r>
        <w:rPr>
          <w:color w:val="231F20"/>
          <w:spacing w:val="-13"/>
        </w:rPr>
        <w:t> </w:t>
      </w:r>
      <w:r>
        <w:rPr>
          <w:color w:val="231F20"/>
          <w:spacing w:val="-1"/>
        </w:rPr>
        <w:t>White,</w:t>
      </w:r>
      <w:r>
        <w:rPr>
          <w:color w:val="231F20"/>
          <w:spacing w:val="-8"/>
        </w:rPr>
        <w:t> </w:t>
      </w:r>
      <w:r>
        <w:rPr>
          <w:color w:val="231F20"/>
          <w:spacing w:val="-1"/>
        </w:rPr>
        <w:t>though</w:t>
      </w:r>
      <w:r>
        <w:rPr>
          <w:color w:val="231F20"/>
          <w:spacing w:val="-9"/>
        </w:rPr>
        <w:t> </w:t>
      </w:r>
      <w:r>
        <w:rPr>
          <w:color w:val="231F20"/>
        </w:rPr>
        <w:t>a</w:t>
      </w:r>
      <w:r>
        <w:rPr>
          <w:color w:val="231F20"/>
          <w:spacing w:val="-9"/>
        </w:rPr>
        <w:t> </w:t>
      </w:r>
      <w:r>
        <w:rPr>
          <w:color w:val="231F20"/>
        </w:rPr>
        <w:t>major</w:t>
      </w:r>
      <w:r>
        <w:rPr>
          <w:color w:val="231F20"/>
          <w:spacing w:val="-8"/>
        </w:rPr>
        <w:t> </w:t>
      </w:r>
      <w:r>
        <w:rPr>
          <w:color w:val="231F20"/>
        </w:rPr>
        <w:t>focus</w:t>
      </w:r>
      <w:r>
        <w:rPr>
          <w:color w:val="231F20"/>
          <w:spacing w:val="-52"/>
        </w:rPr>
        <w:t> </w:t>
      </w:r>
      <w:r>
        <w:rPr>
          <w:color w:val="231F20"/>
        </w:rPr>
        <w:t>of REACH has been engaging BIPOC populations</w:t>
      </w:r>
      <w:r>
        <w:rPr>
          <w:color w:val="231F20"/>
          <w:spacing w:val="1"/>
        </w:rPr>
        <w:t> </w:t>
      </w:r>
      <w:r>
        <w:rPr>
          <w:color w:val="231F20"/>
        </w:rPr>
        <w:t>in care. The clinic estimates its BIPOC clients are</w:t>
      </w:r>
      <w:r>
        <w:rPr>
          <w:color w:val="231F20"/>
          <w:spacing w:val="1"/>
        </w:rPr>
        <w:t> </w:t>
      </w:r>
      <w:r>
        <w:rPr>
          <w:color w:val="231F20"/>
        </w:rPr>
        <w:t>overrepresented</w:t>
      </w:r>
      <w:r>
        <w:rPr>
          <w:color w:val="231F20"/>
          <w:spacing w:val="-8"/>
        </w:rPr>
        <w:t> </w:t>
      </w:r>
      <w:r>
        <w:rPr>
          <w:color w:val="231F20"/>
        </w:rPr>
        <w:t>at</w:t>
      </w:r>
      <w:r>
        <w:rPr>
          <w:color w:val="231F20"/>
          <w:spacing w:val="-8"/>
        </w:rPr>
        <w:t> </w:t>
      </w:r>
      <w:r>
        <w:rPr>
          <w:color w:val="231F20"/>
        </w:rPr>
        <w:t>the</w:t>
      </w:r>
      <w:r>
        <w:rPr>
          <w:color w:val="231F20"/>
          <w:spacing w:val="-8"/>
        </w:rPr>
        <w:t> </w:t>
      </w:r>
      <w:r>
        <w:rPr>
          <w:color w:val="231F20"/>
        </w:rPr>
        <w:t>clinic</w:t>
      </w:r>
      <w:r>
        <w:rPr>
          <w:color w:val="231F20"/>
          <w:spacing w:val="-7"/>
        </w:rPr>
        <w:t> </w:t>
      </w:r>
      <w:r>
        <w:rPr>
          <w:color w:val="231F20"/>
        </w:rPr>
        <w:t>relative</w:t>
      </w:r>
      <w:r>
        <w:rPr>
          <w:color w:val="231F20"/>
          <w:spacing w:val="-8"/>
        </w:rPr>
        <w:t> </w:t>
      </w:r>
      <w:r>
        <w:rPr>
          <w:color w:val="231F20"/>
        </w:rPr>
        <w:t>to</w:t>
      </w:r>
      <w:r>
        <w:rPr>
          <w:color w:val="231F20"/>
          <w:spacing w:val="-8"/>
        </w:rPr>
        <w:t> </w:t>
      </w:r>
      <w:r>
        <w:rPr>
          <w:color w:val="231F20"/>
        </w:rPr>
        <w:t>the</w:t>
      </w:r>
      <w:r>
        <w:rPr>
          <w:color w:val="231F20"/>
          <w:spacing w:val="-7"/>
        </w:rPr>
        <w:t> </w:t>
      </w:r>
      <w:r>
        <w:rPr>
          <w:color w:val="231F20"/>
        </w:rPr>
        <w:t>local</w:t>
      </w:r>
    </w:p>
    <w:p>
      <w:pPr>
        <w:pStyle w:val="BodyText"/>
        <w:spacing w:line="266" w:lineRule="auto"/>
        <w:ind w:left="120" w:right="276"/>
      </w:pPr>
      <w:r>
        <w:rPr>
          <w:color w:val="231F20"/>
        </w:rPr>
        <w:t>population as a whole. Most REACH clients have low</w:t>
      </w:r>
      <w:r>
        <w:rPr>
          <w:color w:val="231F20"/>
          <w:spacing w:val="1"/>
        </w:rPr>
        <w:t> </w:t>
      </w:r>
      <w:r>
        <w:rPr>
          <w:color w:val="231F20"/>
        </w:rPr>
        <w:t>income, with approximately 80 percent being Medicaid</w:t>
      </w:r>
      <w:r>
        <w:rPr>
          <w:color w:val="231F20"/>
          <w:spacing w:val="1"/>
        </w:rPr>
        <w:t> </w:t>
      </w:r>
      <w:r>
        <w:rPr>
          <w:color w:val="231F20"/>
        </w:rPr>
        <w:t>recipients. REACH also conducts outreach to homeless</w:t>
      </w:r>
      <w:r>
        <w:rPr>
          <w:color w:val="231F20"/>
          <w:spacing w:val="1"/>
        </w:rPr>
        <w:t> </w:t>
      </w:r>
      <w:r>
        <w:rPr>
          <w:color w:val="231F20"/>
          <w:spacing w:val="-1"/>
        </w:rPr>
        <w:t>encampments</w:t>
      </w:r>
      <w:r>
        <w:rPr>
          <w:color w:val="231F20"/>
          <w:spacing w:val="-13"/>
        </w:rPr>
        <w:t> </w:t>
      </w:r>
      <w:r>
        <w:rPr>
          <w:color w:val="231F20"/>
          <w:spacing w:val="-1"/>
        </w:rPr>
        <w:t>and</w:t>
      </w:r>
      <w:r>
        <w:rPr>
          <w:color w:val="231F20"/>
          <w:spacing w:val="-12"/>
        </w:rPr>
        <w:t> </w:t>
      </w:r>
      <w:r>
        <w:rPr>
          <w:color w:val="231F20"/>
          <w:spacing w:val="-1"/>
        </w:rPr>
        <w:t>homeless</w:t>
      </w:r>
      <w:r>
        <w:rPr>
          <w:color w:val="231F20"/>
          <w:spacing w:val="-12"/>
        </w:rPr>
        <w:t> </w:t>
      </w:r>
      <w:r>
        <w:rPr>
          <w:color w:val="231F20"/>
        </w:rPr>
        <w:t>shelters</w:t>
      </w:r>
      <w:r>
        <w:rPr>
          <w:color w:val="231F20"/>
          <w:spacing w:val="-13"/>
        </w:rPr>
        <w:t> </w:t>
      </w:r>
      <w:r>
        <w:rPr>
          <w:color w:val="231F20"/>
        </w:rPr>
        <w:t>to</w:t>
      </w:r>
      <w:r>
        <w:rPr>
          <w:color w:val="231F20"/>
          <w:spacing w:val="-12"/>
        </w:rPr>
        <w:t> </w:t>
      </w:r>
      <w:r>
        <w:rPr>
          <w:color w:val="231F20"/>
        </w:rPr>
        <w:t>provide</w:t>
      </w:r>
      <w:r>
        <w:rPr>
          <w:color w:val="231F20"/>
          <w:spacing w:val="-12"/>
        </w:rPr>
        <w:t> </w:t>
      </w:r>
      <w:r>
        <w:rPr>
          <w:color w:val="231F20"/>
        </w:rPr>
        <w:t>healthcare</w:t>
      </w:r>
      <w:r>
        <w:rPr>
          <w:color w:val="231F20"/>
          <w:spacing w:val="-52"/>
        </w:rPr>
        <w:t> </w:t>
      </w:r>
      <w:r>
        <w:rPr>
          <w:color w:val="231F20"/>
        </w:rPr>
        <w:t>services</w:t>
      </w:r>
      <w:r>
        <w:rPr>
          <w:color w:val="231F20"/>
          <w:spacing w:val="-14"/>
        </w:rPr>
        <w:t> </w:t>
      </w:r>
      <w:r>
        <w:rPr>
          <w:color w:val="231F20"/>
        </w:rPr>
        <w:t>to</w:t>
      </w:r>
      <w:r>
        <w:rPr>
          <w:color w:val="231F20"/>
          <w:spacing w:val="-14"/>
        </w:rPr>
        <w:t> </w:t>
      </w:r>
      <w:r>
        <w:rPr>
          <w:color w:val="231F20"/>
        </w:rPr>
        <w:t>individuals</w:t>
      </w:r>
      <w:r>
        <w:rPr>
          <w:color w:val="231F20"/>
          <w:spacing w:val="-13"/>
        </w:rPr>
        <w:t> </w:t>
      </w:r>
      <w:r>
        <w:rPr>
          <w:color w:val="231F20"/>
        </w:rPr>
        <w:t>experiencing</w:t>
      </w:r>
      <w:r>
        <w:rPr>
          <w:color w:val="231F20"/>
          <w:spacing w:val="-14"/>
        </w:rPr>
        <w:t> </w:t>
      </w:r>
      <w:r>
        <w:rPr>
          <w:color w:val="231F20"/>
        </w:rPr>
        <w:t>housing</w:t>
      </w:r>
      <w:r>
        <w:rPr>
          <w:color w:val="231F20"/>
          <w:spacing w:val="-14"/>
        </w:rPr>
        <w:t> </w:t>
      </w:r>
      <w:r>
        <w:rPr>
          <w:color w:val="231F20"/>
        </w:rPr>
        <w:t>instability.</w:t>
      </w:r>
    </w:p>
    <w:p>
      <w:pPr>
        <w:spacing w:after="0" w:line="266" w:lineRule="auto"/>
        <w:sectPr>
          <w:type w:val="continuous"/>
          <w:pgSz w:w="12240" w:h="15840"/>
          <w:pgMar w:header="0" w:footer="666" w:top="1500" w:bottom="0" w:left="600" w:right="0"/>
          <w:cols w:num="2" w:equalWidth="0">
            <w:col w:w="5199" w:space="590"/>
            <w:col w:w="5851"/>
          </w:cols>
        </w:sectPr>
      </w:pPr>
    </w:p>
    <w:p>
      <w:pPr>
        <w:pStyle w:val="BodyText"/>
        <w:rPr>
          <w:sz w:val="20"/>
        </w:rPr>
      </w:pPr>
    </w:p>
    <w:p>
      <w:pPr>
        <w:pStyle w:val="BodyText"/>
        <w:spacing w:before="3"/>
        <w:rPr>
          <w:sz w:val="27"/>
        </w:rPr>
      </w:pPr>
    </w:p>
    <w:p>
      <w:pPr>
        <w:spacing w:after="0"/>
        <w:rPr>
          <w:sz w:val="27"/>
        </w:rPr>
        <w:sectPr>
          <w:pgSz w:w="12240" w:h="15840"/>
          <w:pgMar w:header="0" w:footer="666" w:top="380" w:bottom="860" w:left="600" w:right="0"/>
        </w:sectPr>
      </w:pPr>
    </w:p>
    <w:p>
      <w:pPr>
        <w:pStyle w:val="Heading5"/>
        <w:spacing w:before="96"/>
      </w:pPr>
      <w:r>
        <w:rPr>
          <w:color w:val="CE384B"/>
        </w:rPr>
        <w:t>Form(s)</w:t>
      </w:r>
      <w:r>
        <w:rPr>
          <w:color w:val="CE384B"/>
          <w:spacing w:val="-6"/>
        </w:rPr>
        <w:t> </w:t>
      </w:r>
      <w:r>
        <w:rPr>
          <w:color w:val="CE384B"/>
        </w:rPr>
        <w:t>of</w:t>
      </w:r>
      <w:r>
        <w:rPr>
          <w:color w:val="CE384B"/>
          <w:spacing w:val="-5"/>
        </w:rPr>
        <w:t> </w:t>
      </w:r>
      <w:r>
        <w:rPr>
          <w:color w:val="CE384B"/>
        </w:rPr>
        <w:t>Telehealth</w:t>
      </w:r>
    </w:p>
    <w:p>
      <w:pPr>
        <w:pStyle w:val="BodyText"/>
        <w:spacing w:line="266" w:lineRule="auto" w:before="118"/>
        <w:ind w:left="120" w:right="20"/>
      </w:pPr>
      <w:r>
        <w:rPr>
          <w:color w:val="231F20"/>
        </w:rPr>
        <w:t>REACH uses synchronous forms of telehealth, including</w:t>
      </w:r>
      <w:r>
        <w:rPr>
          <w:color w:val="231F20"/>
          <w:spacing w:val="-53"/>
        </w:rPr>
        <w:t> </w:t>
      </w:r>
      <w:r>
        <w:rPr>
          <w:color w:val="231F20"/>
        </w:rPr>
        <w:t>phone (cellphone or landline) and video calls between</w:t>
      </w:r>
      <w:r>
        <w:rPr>
          <w:color w:val="231F20"/>
          <w:spacing w:val="1"/>
        </w:rPr>
        <w:t> </w:t>
      </w:r>
      <w:r>
        <w:rPr>
          <w:color w:val="231F20"/>
        </w:rPr>
        <w:t>clients and providers. REACH uses asynchronous secure</w:t>
      </w:r>
      <w:r>
        <w:rPr>
          <w:color w:val="231F20"/>
          <w:spacing w:val="-52"/>
        </w:rPr>
        <w:t> </w:t>
      </w:r>
      <w:r>
        <w:rPr>
          <w:color w:val="231F20"/>
        </w:rPr>
        <w:t>text messaging and messaging through the electronic</w:t>
      </w:r>
      <w:r>
        <w:rPr>
          <w:color w:val="231F20"/>
          <w:spacing w:val="1"/>
        </w:rPr>
        <w:t> </w:t>
      </w:r>
      <w:r>
        <w:rPr>
          <w:color w:val="231F20"/>
        </w:rPr>
        <w:t>medical record system to complement synchronous</w:t>
      </w:r>
      <w:r>
        <w:rPr>
          <w:color w:val="231F20"/>
          <w:spacing w:val="1"/>
        </w:rPr>
        <w:t> </w:t>
      </w:r>
      <w:r>
        <w:rPr>
          <w:color w:val="231F20"/>
        </w:rPr>
        <w:t>connections.</w:t>
      </w:r>
    </w:p>
    <w:p>
      <w:pPr>
        <w:pStyle w:val="BodyText"/>
        <w:spacing w:line="266" w:lineRule="auto" w:before="176"/>
        <w:ind w:left="120" w:right="87"/>
      </w:pPr>
      <w:r>
        <w:rPr>
          <w:color w:val="231F20"/>
        </w:rPr>
        <w:t>REACH uses a telehealth platform that does not require</w:t>
      </w:r>
      <w:r>
        <w:rPr>
          <w:color w:val="231F20"/>
          <w:spacing w:val="-52"/>
        </w:rPr>
        <w:t> </w:t>
      </w:r>
      <w:r>
        <w:rPr>
          <w:color w:val="231F20"/>
        </w:rPr>
        <w:t>clients to have an email address; instead, providers were</w:t>
      </w:r>
      <w:r>
        <w:rPr>
          <w:color w:val="231F20"/>
          <w:spacing w:val="-52"/>
        </w:rPr>
        <w:t> </w:t>
      </w:r>
      <w:r>
        <w:rPr>
          <w:color w:val="231F20"/>
        </w:rPr>
        <w:t>able to send clients invitations to the platform via text</w:t>
      </w:r>
      <w:r>
        <w:rPr>
          <w:color w:val="231F20"/>
          <w:spacing w:val="1"/>
        </w:rPr>
        <w:t> </w:t>
      </w:r>
      <w:r>
        <w:rPr>
          <w:color w:val="231F20"/>
        </w:rPr>
        <w:t>message. This ultimately reduces barriers for REACH’s</w:t>
      </w:r>
      <w:r>
        <w:rPr>
          <w:color w:val="231F20"/>
          <w:spacing w:val="-52"/>
        </w:rPr>
        <w:t> </w:t>
      </w:r>
      <w:r>
        <w:rPr>
          <w:color w:val="231F20"/>
        </w:rPr>
        <w:t>clients, who might lack email addresses or consistent</w:t>
      </w:r>
      <w:r>
        <w:rPr>
          <w:color w:val="231F20"/>
          <w:spacing w:val="1"/>
        </w:rPr>
        <w:t> </w:t>
      </w:r>
      <w:r>
        <w:rPr>
          <w:color w:val="231F20"/>
          <w:spacing w:val="-1"/>
        </w:rPr>
        <w:t>access to email. All staff are </w:t>
      </w:r>
      <w:r>
        <w:rPr>
          <w:color w:val="231F20"/>
        </w:rPr>
        <w:t>able to share their virtual</w:t>
      </w:r>
      <w:r>
        <w:rPr>
          <w:color w:val="231F20"/>
          <w:spacing w:val="1"/>
        </w:rPr>
        <w:t> </w:t>
      </w:r>
      <w:r>
        <w:rPr>
          <w:color w:val="231F20"/>
        </w:rPr>
        <w:t>“waiting rooms” with each other, so there is a seamless</w:t>
      </w:r>
      <w:r>
        <w:rPr>
          <w:color w:val="231F20"/>
          <w:spacing w:val="1"/>
        </w:rPr>
        <w:t> </w:t>
      </w:r>
      <w:r>
        <w:rPr>
          <w:color w:val="231F20"/>
        </w:rPr>
        <w:t>transition for the client if they are seeing multiple</w:t>
      </w:r>
      <w:r>
        <w:rPr>
          <w:color w:val="231F20"/>
          <w:spacing w:val="1"/>
        </w:rPr>
        <w:t> </w:t>
      </w:r>
      <w:r>
        <w:rPr>
          <w:color w:val="231F20"/>
        </w:rPr>
        <w:t>providers during one encounter. For example, a client</w:t>
      </w:r>
      <w:r>
        <w:rPr>
          <w:color w:val="231F20"/>
          <w:spacing w:val="1"/>
        </w:rPr>
        <w:t> </w:t>
      </w:r>
      <w:r>
        <w:rPr>
          <w:color w:val="231F20"/>
        </w:rPr>
        <w:t>meeting with a physician virtually for buprenorphine</w:t>
      </w:r>
      <w:r>
        <w:rPr>
          <w:color w:val="231F20"/>
          <w:spacing w:val="1"/>
        </w:rPr>
        <w:t> </w:t>
      </w:r>
      <w:r>
        <w:rPr>
          <w:color w:val="231F20"/>
        </w:rPr>
        <w:t>follow-up can remain on the line and be immediately</w:t>
      </w:r>
      <w:r>
        <w:rPr>
          <w:color w:val="231F20"/>
          <w:spacing w:val="1"/>
        </w:rPr>
        <w:t> </w:t>
      </w:r>
      <w:r>
        <w:rPr>
          <w:color w:val="231F20"/>
        </w:rPr>
        <w:t>connected to a social worker for further services.</w:t>
      </w:r>
    </w:p>
    <w:p>
      <w:pPr>
        <w:pStyle w:val="Heading5"/>
        <w:spacing w:before="170"/>
      </w:pPr>
      <w:r>
        <w:rPr>
          <w:color w:val="CE384B"/>
        </w:rPr>
        <w:t>Services</w:t>
      </w:r>
      <w:r>
        <w:rPr>
          <w:color w:val="CE384B"/>
          <w:spacing w:val="-6"/>
        </w:rPr>
        <w:t> </w:t>
      </w:r>
      <w:r>
        <w:rPr>
          <w:color w:val="CE384B"/>
        </w:rPr>
        <w:t>Offered</w:t>
      </w:r>
      <w:r>
        <w:rPr>
          <w:color w:val="CE384B"/>
          <w:spacing w:val="-6"/>
        </w:rPr>
        <w:t> </w:t>
      </w:r>
      <w:r>
        <w:rPr>
          <w:color w:val="CE384B"/>
        </w:rPr>
        <w:t>Through</w:t>
      </w:r>
      <w:r>
        <w:rPr>
          <w:color w:val="CE384B"/>
          <w:spacing w:val="-6"/>
        </w:rPr>
        <w:t> </w:t>
      </w:r>
      <w:r>
        <w:rPr>
          <w:color w:val="CE384B"/>
        </w:rPr>
        <w:t>Telehealth</w:t>
      </w:r>
      <w:r>
        <w:rPr>
          <w:color w:val="CE384B"/>
          <w:spacing w:val="-7"/>
        </w:rPr>
        <w:t> </w:t>
      </w:r>
      <w:r>
        <w:rPr>
          <w:color w:val="CE384B"/>
        </w:rPr>
        <w:t>Modalities</w:t>
      </w:r>
    </w:p>
    <w:p>
      <w:pPr>
        <w:pStyle w:val="BodyText"/>
        <w:spacing w:line="266" w:lineRule="auto" w:before="118"/>
        <w:ind w:left="120" w:right="22"/>
      </w:pPr>
      <w:r>
        <w:rPr>
          <w:color w:val="231F20"/>
        </w:rPr>
        <w:t>The COVID-19 pandemic was the catalyst for REACH</w:t>
      </w:r>
      <w:r>
        <w:rPr>
          <w:color w:val="231F20"/>
          <w:spacing w:val="1"/>
        </w:rPr>
        <w:t> </w:t>
      </w:r>
      <w:r>
        <w:rPr>
          <w:color w:val="231F20"/>
        </w:rPr>
        <w:t>to provide telehealth-delivered services, and telehealth is</w:t>
      </w:r>
      <w:r>
        <w:rPr>
          <w:color w:val="231F20"/>
          <w:spacing w:val="-52"/>
        </w:rPr>
        <w:t> </w:t>
      </w:r>
      <w:r>
        <w:rPr>
          <w:color w:val="231F20"/>
        </w:rPr>
        <w:t>used</w:t>
      </w:r>
      <w:r>
        <w:rPr>
          <w:color w:val="231F20"/>
          <w:spacing w:val="-1"/>
        </w:rPr>
        <w:t> </w:t>
      </w:r>
      <w:r>
        <w:rPr>
          <w:color w:val="231F20"/>
        </w:rPr>
        <w:t>across</w:t>
      </w:r>
      <w:r>
        <w:rPr>
          <w:color w:val="231F20"/>
          <w:spacing w:val="-1"/>
        </w:rPr>
        <w:t> </w:t>
      </w:r>
      <w:r>
        <w:rPr>
          <w:color w:val="231F20"/>
        </w:rPr>
        <w:t>the offered</w:t>
      </w:r>
      <w:r>
        <w:rPr>
          <w:color w:val="231F20"/>
          <w:spacing w:val="-1"/>
        </w:rPr>
        <w:t> </w:t>
      </w:r>
      <w:r>
        <w:rPr>
          <w:color w:val="231F20"/>
        </w:rPr>
        <w:t>services.</w:t>
      </w:r>
    </w:p>
    <w:p>
      <w:pPr>
        <w:pStyle w:val="Heading4"/>
        <w:rPr>
          <w:i/>
        </w:rPr>
      </w:pPr>
      <w:r>
        <w:rPr>
          <w:i w:val="0"/>
        </w:rPr>
        <w:br w:type="column"/>
      </w:r>
      <w:r>
        <w:rPr>
          <w:i/>
          <w:color w:val="1C384B"/>
        </w:rPr>
        <w:t>Preparing</w:t>
      </w:r>
      <w:r>
        <w:rPr>
          <w:i/>
          <w:color w:val="1C384B"/>
          <w:spacing w:val="-6"/>
        </w:rPr>
        <w:t> </w:t>
      </w:r>
      <w:r>
        <w:rPr>
          <w:i/>
          <w:color w:val="1C384B"/>
        </w:rPr>
        <w:t>to</w:t>
      </w:r>
      <w:r>
        <w:rPr>
          <w:i/>
          <w:color w:val="1C384B"/>
          <w:spacing w:val="-6"/>
        </w:rPr>
        <w:t> </w:t>
      </w:r>
      <w:r>
        <w:rPr>
          <w:i/>
          <w:color w:val="1C384B"/>
        </w:rPr>
        <w:t>Participate</w:t>
      </w:r>
      <w:r>
        <w:rPr>
          <w:i/>
          <w:color w:val="1C384B"/>
          <w:spacing w:val="-5"/>
        </w:rPr>
        <w:t> </w:t>
      </w:r>
      <w:r>
        <w:rPr>
          <w:i/>
          <w:color w:val="1C384B"/>
        </w:rPr>
        <w:t>in</w:t>
      </w:r>
      <w:r>
        <w:rPr>
          <w:i/>
          <w:color w:val="1C384B"/>
          <w:spacing w:val="-6"/>
        </w:rPr>
        <w:t> </w:t>
      </w:r>
      <w:r>
        <w:rPr>
          <w:i/>
          <w:color w:val="1C384B"/>
        </w:rPr>
        <w:t>Telehealth:</w:t>
      </w:r>
    </w:p>
    <w:p>
      <w:pPr>
        <w:pStyle w:val="BodyText"/>
        <w:spacing w:line="266" w:lineRule="auto" w:before="184"/>
        <w:ind w:left="120" w:right="877"/>
      </w:pPr>
      <w:r>
        <w:rPr>
          <w:color w:val="231F20"/>
        </w:rPr>
        <w:t>REACH has administrative staffers (mainly front desk</w:t>
      </w:r>
      <w:r>
        <w:rPr>
          <w:color w:val="231F20"/>
          <w:spacing w:val="1"/>
        </w:rPr>
        <w:t> </w:t>
      </w:r>
      <w:r>
        <w:rPr>
          <w:color w:val="231F20"/>
        </w:rPr>
        <w:t>staff), whom the clinic calls “guardians,” as key team</w:t>
      </w:r>
      <w:r>
        <w:rPr>
          <w:color w:val="231F20"/>
          <w:spacing w:val="1"/>
        </w:rPr>
        <w:t> </w:t>
      </w:r>
      <w:r>
        <w:rPr>
          <w:color w:val="231F20"/>
        </w:rPr>
        <w:t>members who often develop trusting relationships with</w:t>
      </w:r>
      <w:r>
        <w:rPr>
          <w:color w:val="231F20"/>
          <w:spacing w:val="-52"/>
        </w:rPr>
        <w:t> </w:t>
      </w:r>
      <w:r>
        <w:rPr>
          <w:color w:val="231F20"/>
        </w:rPr>
        <w:t>the clients. In addition to acting as a primary engager,</w:t>
      </w:r>
      <w:r>
        <w:rPr>
          <w:color w:val="231F20"/>
          <w:spacing w:val="1"/>
        </w:rPr>
        <w:t> </w:t>
      </w:r>
      <w:r>
        <w:rPr>
          <w:color w:val="231F20"/>
        </w:rPr>
        <w:t>the guardian is also able to provide technical assistance</w:t>
      </w:r>
      <w:r>
        <w:rPr>
          <w:color w:val="231F20"/>
          <w:spacing w:val="-52"/>
        </w:rPr>
        <w:t> </w:t>
      </w:r>
      <w:r>
        <w:rPr>
          <w:color w:val="231F20"/>
        </w:rPr>
        <w:t>to both clients and providers if there are problems with</w:t>
      </w:r>
      <w:r>
        <w:rPr>
          <w:color w:val="231F20"/>
          <w:spacing w:val="-52"/>
        </w:rPr>
        <w:t> </w:t>
      </w:r>
      <w:r>
        <w:rPr>
          <w:color w:val="231F20"/>
        </w:rPr>
        <w:t>the telehealth software or equipment.</w:t>
      </w:r>
    </w:p>
    <w:p>
      <w:pPr>
        <w:pStyle w:val="Heading4"/>
        <w:spacing w:line="249" w:lineRule="auto" w:before="163"/>
        <w:ind w:right="1205"/>
      </w:pPr>
      <w:r>
        <w:rPr>
          <w:i/>
          <w:color w:val="1C384B"/>
        </w:rPr>
        <w:t>MAT</w:t>
      </w:r>
      <w:r>
        <w:rPr>
          <w:i/>
          <w:color w:val="1C384B"/>
          <w:spacing w:val="-13"/>
        </w:rPr>
        <w:t> </w:t>
      </w:r>
      <w:r>
        <w:rPr>
          <w:i/>
          <w:color w:val="1C384B"/>
        </w:rPr>
        <w:t>Treatment</w:t>
      </w:r>
      <w:r>
        <w:rPr>
          <w:i/>
          <w:color w:val="1C384B"/>
          <w:spacing w:val="-13"/>
        </w:rPr>
        <w:t> </w:t>
      </w:r>
      <w:r>
        <w:rPr>
          <w:i/>
          <w:color w:val="1C384B"/>
        </w:rPr>
        <w:t>Initiation,</w:t>
      </w:r>
      <w:r>
        <w:rPr>
          <w:i/>
          <w:color w:val="1C384B"/>
          <w:spacing w:val="-12"/>
        </w:rPr>
        <w:t> </w:t>
      </w:r>
      <w:r>
        <w:rPr>
          <w:i/>
          <w:color w:val="1C384B"/>
        </w:rPr>
        <w:t>Stabilization,</w:t>
      </w:r>
      <w:r>
        <w:rPr>
          <w:i/>
          <w:color w:val="1C384B"/>
          <w:spacing w:val="-13"/>
        </w:rPr>
        <w:t> </w:t>
      </w:r>
      <w:r>
        <w:rPr>
          <w:i/>
          <w:color w:val="1C384B"/>
        </w:rPr>
        <w:t>and</w:t>
      </w:r>
      <w:r>
        <w:rPr>
          <w:i/>
          <w:color w:val="1C384B"/>
          <w:spacing w:val="-63"/>
        </w:rPr>
        <w:t> </w:t>
      </w:r>
      <w:r>
        <w:rPr>
          <w:color w:val="1C384B"/>
        </w:rPr>
        <w:t>Wrap-Around Services:</w:t>
      </w:r>
    </w:p>
    <w:p>
      <w:pPr>
        <w:pStyle w:val="BodyText"/>
        <w:spacing w:line="266" w:lineRule="auto" w:before="173"/>
        <w:ind w:left="120" w:right="889"/>
      </w:pPr>
      <w:r>
        <w:rPr>
          <w:color w:val="231F20"/>
        </w:rPr>
        <w:t>At the time of the appointment, the guardian will send</w:t>
      </w:r>
      <w:r>
        <w:rPr>
          <w:color w:val="231F20"/>
          <w:spacing w:val="1"/>
        </w:rPr>
        <w:t> </w:t>
      </w:r>
      <w:r>
        <w:rPr>
          <w:color w:val="231F20"/>
        </w:rPr>
        <w:t>the videoconferencing link to the client and provider to</w:t>
      </w:r>
      <w:r>
        <w:rPr>
          <w:color w:val="231F20"/>
          <w:spacing w:val="-52"/>
        </w:rPr>
        <w:t> </w:t>
      </w:r>
      <w:r>
        <w:rPr>
          <w:color w:val="231F20"/>
        </w:rPr>
        <w:t>join. If the clinician cannot get in touch with the client,</w:t>
      </w:r>
      <w:r>
        <w:rPr>
          <w:color w:val="231F20"/>
          <w:spacing w:val="-52"/>
        </w:rPr>
        <w:t> </w:t>
      </w:r>
      <w:r>
        <w:rPr>
          <w:color w:val="231F20"/>
        </w:rPr>
        <w:t>the guardian on the care team is notified. The guardian</w:t>
      </w:r>
      <w:r>
        <w:rPr>
          <w:color w:val="231F20"/>
          <w:spacing w:val="-52"/>
        </w:rPr>
        <w:t> </w:t>
      </w:r>
      <w:r>
        <w:rPr>
          <w:color w:val="231F20"/>
        </w:rPr>
        <w:t>provides outreach to reduce the likelihood the client is</w:t>
      </w:r>
      <w:r>
        <w:rPr>
          <w:color w:val="231F20"/>
          <w:spacing w:val="1"/>
        </w:rPr>
        <w:t> </w:t>
      </w:r>
      <w:r>
        <w:rPr>
          <w:color w:val="231F20"/>
        </w:rPr>
        <w:t>reengaged in services.</w:t>
      </w:r>
    </w:p>
    <w:p>
      <w:pPr>
        <w:pStyle w:val="BodyText"/>
        <w:spacing w:line="266" w:lineRule="auto" w:before="176"/>
        <w:ind w:left="120" w:right="712"/>
      </w:pPr>
      <w:r>
        <w:rPr>
          <w:color w:val="231F20"/>
        </w:rPr>
        <w:t>Treatment initiation and medication monitoring</w:t>
      </w:r>
      <w:r>
        <w:rPr>
          <w:color w:val="231F20"/>
          <w:spacing w:val="1"/>
        </w:rPr>
        <w:t> </w:t>
      </w:r>
      <w:r>
        <w:rPr>
          <w:color w:val="231F20"/>
        </w:rPr>
        <w:t>appointments</w:t>
      </w:r>
      <w:r>
        <w:rPr>
          <w:color w:val="231F20"/>
          <w:spacing w:val="-13"/>
        </w:rPr>
        <w:t> </w:t>
      </w:r>
      <w:r>
        <w:rPr>
          <w:color w:val="231F20"/>
        </w:rPr>
        <w:t>for</w:t>
      </w:r>
      <w:r>
        <w:rPr>
          <w:color w:val="231F20"/>
          <w:spacing w:val="-12"/>
        </w:rPr>
        <w:t> </w:t>
      </w:r>
      <w:r>
        <w:rPr>
          <w:color w:val="231F20"/>
        </w:rPr>
        <w:t>telehealth</w:t>
      </w:r>
      <w:r>
        <w:rPr>
          <w:color w:val="231F20"/>
          <w:spacing w:val="-13"/>
        </w:rPr>
        <w:t> </w:t>
      </w:r>
      <w:r>
        <w:rPr>
          <w:color w:val="231F20"/>
        </w:rPr>
        <w:t>follow</w:t>
      </w:r>
      <w:r>
        <w:rPr>
          <w:color w:val="231F20"/>
          <w:spacing w:val="-12"/>
        </w:rPr>
        <w:t> </w:t>
      </w:r>
      <w:r>
        <w:rPr>
          <w:color w:val="231F20"/>
        </w:rPr>
        <w:t>the</w:t>
      </w:r>
      <w:r>
        <w:rPr>
          <w:color w:val="231F20"/>
          <w:spacing w:val="-13"/>
        </w:rPr>
        <w:t> </w:t>
      </w:r>
      <w:r>
        <w:rPr>
          <w:color w:val="231F20"/>
        </w:rPr>
        <w:t>same</w:t>
      </w:r>
      <w:r>
        <w:rPr>
          <w:color w:val="231F20"/>
          <w:spacing w:val="-12"/>
        </w:rPr>
        <w:t> </w:t>
      </w:r>
      <w:r>
        <w:rPr>
          <w:color w:val="231F20"/>
        </w:rPr>
        <w:t>steps</w:t>
      </w:r>
      <w:r>
        <w:rPr>
          <w:color w:val="231F20"/>
          <w:spacing w:val="-13"/>
        </w:rPr>
        <w:t> </w:t>
      </w:r>
      <w:r>
        <w:rPr>
          <w:color w:val="231F20"/>
        </w:rPr>
        <w:t>that</w:t>
      </w:r>
      <w:r>
        <w:rPr>
          <w:color w:val="231F20"/>
          <w:spacing w:val="-12"/>
        </w:rPr>
        <w:t> </w:t>
      </w:r>
      <w:r>
        <w:rPr>
          <w:color w:val="231F20"/>
        </w:rPr>
        <w:t>are</w:t>
      </w:r>
      <w:r>
        <w:rPr>
          <w:color w:val="231F20"/>
          <w:spacing w:val="-52"/>
        </w:rPr>
        <w:t> </w:t>
      </w:r>
      <w:r>
        <w:rPr>
          <w:color w:val="231F20"/>
        </w:rPr>
        <w:t>taken for in-person visits (for example, nurses conduct</w:t>
      </w:r>
      <w:r>
        <w:rPr>
          <w:color w:val="231F20"/>
          <w:spacing w:val="1"/>
        </w:rPr>
        <w:t> </w:t>
      </w:r>
      <w:r>
        <w:rPr>
          <w:color w:val="231F20"/>
        </w:rPr>
        <w:t>initial screening and information gathering). Urine drug</w:t>
      </w:r>
      <w:r>
        <w:rPr>
          <w:color w:val="231F20"/>
          <w:spacing w:val="1"/>
        </w:rPr>
        <w:t> </w:t>
      </w:r>
      <w:r>
        <w:rPr>
          <w:color w:val="231F20"/>
        </w:rPr>
        <w:t>screens</w:t>
      </w:r>
      <w:r>
        <w:rPr>
          <w:color w:val="231F20"/>
          <w:spacing w:val="-12"/>
        </w:rPr>
        <w:t> </w:t>
      </w:r>
      <w:r>
        <w:rPr>
          <w:color w:val="231F20"/>
        </w:rPr>
        <w:t>are</w:t>
      </w:r>
      <w:r>
        <w:rPr>
          <w:color w:val="231F20"/>
          <w:spacing w:val="-11"/>
        </w:rPr>
        <w:t> </w:t>
      </w:r>
      <w:r>
        <w:rPr>
          <w:color w:val="231F20"/>
        </w:rPr>
        <w:t>not</w:t>
      </w:r>
      <w:r>
        <w:rPr>
          <w:color w:val="231F20"/>
          <w:spacing w:val="-11"/>
        </w:rPr>
        <w:t> </w:t>
      </w:r>
      <w:r>
        <w:rPr>
          <w:color w:val="231F20"/>
        </w:rPr>
        <w:t>routinely</w:t>
      </w:r>
      <w:r>
        <w:rPr>
          <w:color w:val="231F20"/>
          <w:spacing w:val="-11"/>
        </w:rPr>
        <w:t> </w:t>
      </w:r>
      <w:r>
        <w:rPr>
          <w:color w:val="231F20"/>
        </w:rPr>
        <w:t>done;</w:t>
      </w:r>
      <w:r>
        <w:rPr>
          <w:color w:val="231F20"/>
          <w:spacing w:val="-11"/>
        </w:rPr>
        <w:t> </w:t>
      </w:r>
      <w:r>
        <w:rPr>
          <w:color w:val="231F20"/>
        </w:rPr>
        <w:t>prior</w:t>
      </w:r>
      <w:r>
        <w:rPr>
          <w:color w:val="231F20"/>
          <w:spacing w:val="-11"/>
        </w:rPr>
        <w:t> </w:t>
      </w:r>
      <w:r>
        <w:rPr>
          <w:color w:val="231F20"/>
        </w:rPr>
        <w:t>to</w:t>
      </w:r>
      <w:r>
        <w:rPr>
          <w:color w:val="231F20"/>
          <w:spacing w:val="-11"/>
        </w:rPr>
        <w:t> </w:t>
      </w:r>
      <w:r>
        <w:rPr>
          <w:color w:val="231F20"/>
        </w:rPr>
        <w:t>COVID-19,</w:t>
      </w:r>
      <w:r>
        <w:rPr>
          <w:color w:val="231F20"/>
          <w:spacing w:val="-11"/>
        </w:rPr>
        <w:t> </w:t>
      </w:r>
      <w:r>
        <w:rPr>
          <w:color w:val="231F20"/>
        </w:rPr>
        <w:t>urine</w:t>
      </w:r>
      <w:r>
        <w:rPr>
          <w:color w:val="231F20"/>
          <w:spacing w:val="1"/>
        </w:rPr>
        <w:t> </w:t>
      </w:r>
      <w:r>
        <w:rPr>
          <w:color w:val="231F20"/>
        </w:rPr>
        <w:t>screens were done upon initiation to buprenorphine and</w:t>
      </w:r>
      <w:r>
        <w:rPr>
          <w:color w:val="231F20"/>
          <w:spacing w:val="1"/>
        </w:rPr>
        <w:t> </w:t>
      </w:r>
      <w:r>
        <w:rPr>
          <w:color w:val="231F20"/>
        </w:rPr>
        <w:t>afterwards</w:t>
      </w:r>
      <w:r>
        <w:rPr>
          <w:color w:val="231F20"/>
          <w:spacing w:val="-5"/>
        </w:rPr>
        <w:t> </w:t>
      </w:r>
      <w:r>
        <w:rPr>
          <w:color w:val="231F20"/>
        </w:rPr>
        <w:t>at</w:t>
      </w:r>
      <w:r>
        <w:rPr>
          <w:color w:val="231F20"/>
          <w:spacing w:val="-5"/>
        </w:rPr>
        <w:t> </w:t>
      </w:r>
      <w:r>
        <w:rPr>
          <w:color w:val="231F20"/>
        </w:rPr>
        <w:t>the</w:t>
      </w:r>
      <w:r>
        <w:rPr>
          <w:color w:val="231F20"/>
          <w:spacing w:val="-5"/>
        </w:rPr>
        <w:t> </w:t>
      </w:r>
      <w:r>
        <w:rPr>
          <w:color w:val="231F20"/>
        </w:rPr>
        <w:t>provider’s</w:t>
      </w:r>
      <w:r>
        <w:rPr>
          <w:color w:val="231F20"/>
          <w:spacing w:val="-5"/>
        </w:rPr>
        <w:t> </w:t>
      </w:r>
      <w:r>
        <w:rPr>
          <w:color w:val="231F20"/>
        </w:rPr>
        <w:t>discretion.</w:t>
      </w:r>
    </w:p>
    <w:p>
      <w:pPr>
        <w:spacing w:after="0" w:line="266" w:lineRule="auto"/>
        <w:sectPr>
          <w:type w:val="continuous"/>
          <w:pgSz w:w="12240" w:h="15840"/>
          <w:pgMar w:header="0" w:footer="666" w:top="1500" w:bottom="0" w:left="600" w:right="0"/>
          <w:cols w:num="2" w:equalWidth="0">
            <w:col w:w="5165" w:space="595"/>
            <w:col w:w="5880"/>
          </w:cols>
        </w:sectPr>
      </w:pPr>
    </w:p>
    <w:p>
      <w:pPr>
        <w:pStyle w:val="BodyText"/>
        <w:spacing w:before="8"/>
        <w:rPr>
          <w:sz w:val="27"/>
        </w:rPr>
      </w:pPr>
    </w:p>
    <w:p>
      <w:pPr>
        <w:pStyle w:val="BodyText"/>
        <w:ind w:left="120"/>
        <w:rPr>
          <w:sz w:val="20"/>
        </w:rPr>
      </w:pPr>
      <w:r>
        <w:rPr>
          <w:sz w:val="20"/>
        </w:rPr>
        <w:drawing>
          <wp:inline distT="0" distB="0" distL="0" distR="0">
            <wp:extent cx="6857326" cy="3876675"/>
            <wp:effectExtent l="0" t="0" r="0" b="0"/>
            <wp:docPr id="47" name="image24.png"/>
            <wp:cNvGraphicFramePr>
              <a:graphicFrameLocks noChangeAspect="1"/>
            </wp:cNvGraphicFramePr>
            <a:graphic>
              <a:graphicData uri="http://schemas.openxmlformats.org/drawingml/2006/picture">
                <pic:pic>
                  <pic:nvPicPr>
                    <pic:cNvPr id="48" name="image24.png"/>
                    <pic:cNvPicPr/>
                  </pic:nvPicPr>
                  <pic:blipFill>
                    <a:blip r:embed="rId325" cstate="print"/>
                    <a:stretch>
                      <a:fillRect/>
                    </a:stretch>
                  </pic:blipFill>
                  <pic:spPr>
                    <a:xfrm>
                      <a:off x="0" y="0"/>
                      <a:ext cx="6857326" cy="3876675"/>
                    </a:xfrm>
                    <a:prstGeom prst="rect">
                      <a:avLst/>
                    </a:prstGeom>
                  </pic:spPr>
                </pic:pic>
              </a:graphicData>
            </a:graphic>
          </wp:inline>
        </w:drawing>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1"/>
        <w:ind w:left="120" w:right="57"/>
      </w:pPr>
      <w:r>
        <w:rPr>
          <w:color w:val="231F20"/>
        </w:rPr>
        <w:t>Treatment stabilization (i.e., follow-up appointments</w:t>
      </w:r>
      <w:r>
        <w:rPr>
          <w:color w:val="231F20"/>
          <w:spacing w:val="1"/>
        </w:rPr>
        <w:t> </w:t>
      </w:r>
      <w:r>
        <w:rPr>
          <w:color w:val="231F20"/>
        </w:rPr>
        <w:t>with providers once a client has initiated MAT) is done</w:t>
      </w:r>
      <w:r>
        <w:rPr>
          <w:color w:val="231F20"/>
          <w:spacing w:val="1"/>
        </w:rPr>
        <w:t> </w:t>
      </w:r>
      <w:r>
        <w:rPr>
          <w:color w:val="231F20"/>
        </w:rPr>
        <w:t>by medical providers, and the timing of these visits</w:t>
      </w:r>
      <w:r>
        <w:rPr>
          <w:color w:val="231F20"/>
          <w:spacing w:val="1"/>
        </w:rPr>
        <w:t> </w:t>
      </w:r>
      <w:r>
        <w:rPr>
          <w:color w:val="231F20"/>
          <w:spacing w:val="-1"/>
        </w:rPr>
        <w:t>varies by clients’ individual needs. </w:t>
      </w:r>
      <w:r>
        <w:rPr>
          <w:color w:val="231F20"/>
        </w:rPr>
        <w:t>Typically, newer</w:t>
      </w:r>
      <w:r>
        <w:rPr>
          <w:color w:val="231F20"/>
          <w:spacing w:val="1"/>
        </w:rPr>
        <w:t> </w:t>
      </w:r>
      <w:r>
        <w:rPr>
          <w:color w:val="231F20"/>
        </w:rPr>
        <w:t>clients check-in with a medical provider via a real-time,</w:t>
      </w:r>
      <w:r>
        <w:rPr>
          <w:color w:val="231F20"/>
          <w:spacing w:val="1"/>
        </w:rPr>
        <w:t> </w:t>
      </w:r>
      <w:r>
        <w:rPr>
          <w:color w:val="231F20"/>
        </w:rPr>
        <w:t>synchronous video connection every one to two weeks,</w:t>
      </w:r>
      <w:r>
        <w:rPr>
          <w:color w:val="231F20"/>
          <w:spacing w:val="1"/>
        </w:rPr>
        <w:t> </w:t>
      </w:r>
      <w:r>
        <w:rPr>
          <w:color w:val="231F20"/>
        </w:rPr>
        <w:t>while a client who is further stabilized on the medication</w:t>
      </w:r>
      <w:r>
        <w:rPr>
          <w:color w:val="231F20"/>
          <w:spacing w:val="-52"/>
        </w:rPr>
        <w:t> </w:t>
      </w:r>
      <w:r>
        <w:rPr>
          <w:color w:val="231F20"/>
        </w:rPr>
        <w:t>will check in every</w:t>
      </w:r>
      <w:r>
        <w:rPr>
          <w:color w:val="231F20"/>
          <w:spacing w:val="-1"/>
        </w:rPr>
        <w:t> </w:t>
      </w:r>
      <w:r>
        <w:rPr>
          <w:color w:val="231F20"/>
        </w:rPr>
        <w:t>4 to 12 weeks.</w:t>
      </w:r>
    </w:p>
    <w:p>
      <w:pPr>
        <w:pStyle w:val="BodyText"/>
        <w:spacing w:line="266" w:lineRule="auto" w:before="174"/>
        <w:ind w:left="120" w:right="288"/>
      </w:pPr>
      <w:r>
        <w:rPr>
          <w:color w:val="231F20"/>
        </w:rPr>
        <w:t>Additional services, including case management,</w:t>
      </w:r>
      <w:r>
        <w:rPr>
          <w:color w:val="231F20"/>
          <w:spacing w:val="1"/>
        </w:rPr>
        <w:t> </w:t>
      </w:r>
      <w:r>
        <w:rPr>
          <w:color w:val="231F20"/>
        </w:rPr>
        <w:t>recovery coaching, and support groups, are voluntary,</w:t>
      </w:r>
      <w:r>
        <w:rPr>
          <w:color w:val="231F20"/>
          <w:spacing w:val="-52"/>
        </w:rPr>
        <w:t> </w:t>
      </w:r>
      <w:r>
        <w:rPr>
          <w:color w:val="231F20"/>
        </w:rPr>
        <w:t>and a client’s access to MAT is not linked to their</w:t>
      </w:r>
      <w:r>
        <w:rPr>
          <w:color w:val="231F20"/>
          <w:spacing w:val="1"/>
        </w:rPr>
        <w:t> </w:t>
      </w:r>
      <w:r>
        <w:rPr>
          <w:color w:val="231F20"/>
        </w:rPr>
        <w:t>willingness to receive additional services. If a client</w:t>
      </w:r>
      <w:r>
        <w:rPr>
          <w:color w:val="231F20"/>
          <w:spacing w:val="1"/>
        </w:rPr>
        <w:t> </w:t>
      </w:r>
      <w:r>
        <w:rPr>
          <w:color w:val="231F20"/>
        </w:rPr>
        <w:t>has needs related to mental health treatment or social</w:t>
      </w:r>
      <w:r>
        <w:rPr>
          <w:color w:val="231F20"/>
          <w:spacing w:val="1"/>
        </w:rPr>
        <w:t> </w:t>
      </w:r>
      <w:r>
        <w:rPr>
          <w:color w:val="231F20"/>
        </w:rPr>
        <w:t>determinants of health (e.g., income or housing</w:t>
      </w:r>
      <w:r>
        <w:rPr>
          <w:color w:val="231F20"/>
          <w:spacing w:val="1"/>
        </w:rPr>
        <w:t> </w:t>
      </w:r>
      <w:r>
        <w:rPr>
          <w:color w:val="231F20"/>
        </w:rPr>
        <w:t>supports), REACH tries to engage them and link them</w:t>
      </w:r>
      <w:r>
        <w:rPr>
          <w:color w:val="231F20"/>
          <w:spacing w:val="-52"/>
        </w:rPr>
        <w:t> </w:t>
      </w:r>
      <w:r>
        <w:rPr>
          <w:color w:val="231F20"/>
        </w:rPr>
        <w:t>to the needed services.</w:t>
      </w:r>
      <w:r>
        <w:rPr>
          <w:color w:val="231F20"/>
          <w:spacing w:val="-14"/>
        </w:rPr>
        <w:t> </w:t>
      </w:r>
      <w:r>
        <w:rPr>
          <w:color w:val="231F20"/>
        </w:rPr>
        <w:t>A</w:t>
      </w:r>
      <w:r>
        <w:rPr>
          <w:color w:val="231F20"/>
          <w:spacing w:val="-13"/>
        </w:rPr>
        <w:t> </w:t>
      </w:r>
      <w:r>
        <w:rPr>
          <w:color w:val="231F20"/>
        </w:rPr>
        <w:t>visit with a social worker or</w:t>
      </w:r>
    </w:p>
    <w:p>
      <w:pPr>
        <w:pStyle w:val="BodyText"/>
        <w:spacing w:line="266" w:lineRule="auto"/>
        <w:ind w:left="120" w:right="114"/>
      </w:pPr>
      <w:r>
        <w:rPr>
          <w:color w:val="231F20"/>
        </w:rPr>
        <w:t>community health worker can be made at the same time</w:t>
      </w:r>
      <w:r>
        <w:rPr>
          <w:color w:val="231F20"/>
          <w:spacing w:val="-52"/>
        </w:rPr>
        <w:t> </w:t>
      </w:r>
      <w:r>
        <w:rPr>
          <w:color w:val="231F20"/>
        </w:rPr>
        <w:t>as a check-in with a medical provider, thus providing a</w:t>
      </w:r>
      <w:r>
        <w:rPr>
          <w:color w:val="231F20"/>
          <w:spacing w:val="1"/>
        </w:rPr>
        <w:t> </w:t>
      </w:r>
      <w:r>
        <w:rPr>
          <w:color w:val="231F20"/>
        </w:rPr>
        <w:t>handoff</w:t>
      </w:r>
      <w:r>
        <w:rPr>
          <w:color w:val="231F20"/>
          <w:spacing w:val="-4"/>
        </w:rPr>
        <w:t> </w:t>
      </w:r>
      <w:r>
        <w:rPr>
          <w:color w:val="231F20"/>
        </w:rPr>
        <w:t>to</w:t>
      </w:r>
      <w:r>
        <w:rPr>
          <w:color w:val="231F20"/>
          <w:spacing w:val="-3"/>
        </w:rPr>
        <w:t> </w:t>
      </w:r>
      <w:r>
        <w:rPr>
          <w:color w:val="231F20"/>
        </w:rPr>
        <w:t>non-medical</w:t>
      </w:r>
      <w:r>
        <w:rPr>
          <w:color w:val="231F20"/>
          <w:spacing w:val="-3"/>
        </w:rPr>
        <w:t> </w:t>
      </w:r>
      <w:r>
        <w:rPr>
          <w:color w:val="231F20"/>
        </w:rPr>
        <w:t>services</w:t>
      </w:r>
      <w:r>
        <w:rPr>
          <w:color w:val="231F20"/>
          <w:spacing w:val="-5"/>
        </w:rPr>
        <w:t> </w:t>
      </w:r>
      <w:r>
        <w:rPr>
          <w:color w:val="231F20"/>
        </w:rPr>
        <w:t>for</w:t>
      </w:r>
      <w:r>
        <w:rPr>
          <w:color w:val="231F20"/>
          <w:spacing w:val="-3"/>
        </w:rPr>
        <w:t> </w:t>
      </w:r>
      <w:r>
        <w:rPr>
          <w:color w:val="231F20"/>
        </w:rPr>
        <w:t>further</w:t>
      </w:r>
      <w:r>
        <w:rPr>
          <w:color w:val="231F20"/>
          <w:spacing w:val="-3"/>
        </w:rPr>
        <w:t> </w:t>
      </w:r>
      <w:r>
        <w:rPr>
          <w:color w:val="231F20"/>
        </w:rPr>
        <w:t>engagement.</w:t>
      </w:r>
    </w:p>
    <w:p>
      <w:pPr>
        <w:pStyle w:val="Heading5"/>
        <w:spacing w:before="171"/>
      </w:pPr>
      <w:r>
        <w:rPr>
          <w:color w:val="CE384B"/>
        </w:rPr>
        <w:t>Findings and Outcomes</w:t>
      </w:r>
    </w:p>
    <w:p>
      <w:pPr>
        <w:pStyle w:val="BodyText"/>
        <w:spacing w:line="266" w:lineRule="auto" w:before="118"/>
        <w:ind w:left="120" w:right="211"/>
      </w:pPr>
      <w:r>
        <w:rPr/>
        <w:drawing>
          <wp:anchor distT="0" distB="0" distL="0" distR="0" allowOverlap="1" layoutInCell="1" locked="0" behindDoc="0" simplePos="0" relativeHeight="15757312">
            <wp:simplePos x="0" y="0"/>
            <wp:positionH relativeFrom="page">
              <wp:posOffset>457200</wp:posOffset>
            </wp:positionH>
            <wp:positionV relativeFrom="paragraph">
              <wp:posOffset>2462117</wp:posOffset>
            </wp:positionV>
            <wp:extent cx="496061" cy="496061"/>
            <wp:effectExtent l="0" t="0" r="0" b="0"/>
            <wp:wrapNone/>
            <wp:docPr id="49" name="image22.jpeg"/>
            <wp:cNvGraphicFramePr>
              <a:graphicFrameLocks noChangeAspect="1"/>
            </wp:cNvGraphicFramePr>
            <a:graphic>
              <a:graphicData uri="http://schemas.openxmlformats.org/drawingml/2006/picture">
                <pic:pic>
                  <pic:nvPicPr>
                    <pic:cNvPr id="50" name="image22.jpeg"/>
                    <pic:cNvPicPr/>
                  </pic:nvPicPr>
                  <pic:blipFill>
                    <a:blip r:embed="rId317" cstate="print"/>
                    <a:stretch>
                      <a:fillRect/>
                    </a:stretch>
                  </pic:blipFill>
                  <pic:spPr>
                    <a:xfrm>
                      <a:off x="0" y="0"/>
                      <a:ext cx="496061" cy="496061"/>
                    </a:xfrm>
                    <a:prstGeom prst="rect">
                      <a:avLst/>
                    </a:prstGeom>
                  </pic:spPr>
                </pic:pic>
              </a:graphicData>
            </a:graphic>
          </wp:anchor>
        </w:drawing>
      </w:r>
      <w:r>
        <w:rPr>
          <w:color w:val="231F20"/>
        </w:rPr>
        <w:t>Client engagement in care decreased at the start of the</w:t>
      </w:r>
      <w:r>
        <w:rPr>
          <w:color w:val="231F20"/>
          <w:spacing w:val="1"/>
        </w:rPr>
        <w:t> </w:t>
      </w:r>
      <w:r>
        <w:rPr>
          <w:color w:val="231F20"/>
        </w:rPr>
        <w:t>COVID-19 pandemic, signaling the need to expand</w:t>
      </w:r>
      <w:r>
        <w:rPr>
          <w:color w:val="231F20"/>
          <w:spacing w:val="1"/>
        </w:rPr>
        <w:t> </w:t>
      </w:r>
      <w:r>
        <w:rPr>
          <w:color w:val="231F20"/>
        </w:rPr>
        <w:t>methods for service delivery. When REACH expanded</w:t>
      </w:r>
      <w:r>
        <w:rPr>
          <w:color w:val="231F20"/>
          <w:spacing w:val="-52"/>
        </w:rPr>
        <w:t> </w:t>
      </w:r>
      <w:r>
        <w:rPr>
          <w:color w:val="231F20"/>
        </w:rPr>
        <w:t>its offerings via telehealth modalities in March 2020,</w:t>
      </w:r>
      <w:r>
        <w:rPr>
          <w:color w:val="231F20"/>
          <w:spacing w:val="1"/>
        </w:rPr>
        <w:t> </w:t>
      </w:r>
      <w:r>
        <w:rPr>
          <w:color w:val="231F20"/>
        </w:rPr>
        <w:t>client engagement in telehealth appointments steadily</w:t>
      </w:r>
      <w:r>
        <w:rPr>
          <w:color w:val="231F20"/>
          <w:spacing w:val="1"/>
        </w:rPr>
        <w:t> </w:t>
      </w:r>
      <w:r>
        <w:rPr>
          <w:color w:val="231F20"/>
        </w:rPr>
        <w:t>increased. By shifting to telehealth, REACH initiated</w:t>
      </w:r>
      <w:r>
        <w:rPr>
          <w:color w:val="231F20"/>
          <w:spacing w:val="1"/>
        </w:rPr>
        <w:t> </w:t>
      </w:r>
      <w:r>
        <w:rPr>
          <w:color w:val="231F20"/>
        </w:rPr>
        <w:t>407 new clients on MAT and has continued to provide</w:t>
      </w:r>
      <w:r>
        <w:rPr>
          <w:color w:val="231F20"/>
          <w:spacing w:val="1"/>
        </w:rPr>
        <w:t> </w:t>
      </w:r>
      <w:r>
        <w:rPr>
          <w:color w:val="231F20"/>
        </w:rPr>
        <w:t>necessary healthcare services to people with SUD. The</w:t>
      </w:r>
      <w:r>
        <w:rPr>
          <w:color w:val="231F20"/>
          <w:spacing w:val="-52"/>
        </w:rPr>
        <w:t> </w:t>
      </w:r>
      <w:r>
        <w:rPr>
          <w:color w:val="231F20"/>
        </w:rPr>
        <w:t>clinic reports high client satisfaction with telehealth, as</w:t>
      </w:r>
      <w:r>
        <w:rPr>
          <w:color w:val="231F20"/>
          <w:spacing w:val="-52"/>
        </w:rPr>
        <w:t> </w:t>
      </w:r>
      <w:r>
        <w:rPr>
          <w:color w:val="231F20"/>
        </w:rPr>
        <w:t>it increases access to individuals who would otherwise</w:t>
      </w:r>
      <w:r>
        <w:rPr>
          <w:color w:val="231F20"/>
          <w:spacing w:val="1"/>
        </w:rPr>
        <w:t> </w:t>
      </w:r>
      <w:r>
        <w:rPr>
          <w:color w:val="231F20"/>
        </w:rPr>
        <w:t>be unable to attend the clinic in-person, whether due to</w:t>
      </w:r>
      <w:r>
        <w:rPr>
          <w:color w:val="231F20"/>
          <w:spacing w:val="-52"/>
        </w:rPr>
        <w:t> </w:t>
      </w:r>
      <w:r>
        <w:rPr>
          <w:color w:val="231F20"/>
        </w:rPr>
        <w:t>work</w:t>
      </w:r>
      <w:r>
        <w:rPr>
          <w:color w:val="231F20"/>
          <w:spacing w:val="-6"/>
        </w:rPr>
        <w:t> </w:t>
      </w:r>
      <w:r>
        <w:rPr>
          <w:color w:val="231F20"/>
        </w:rPr>
        <w:t>demands,</w:t>
      </w:r>
      <w:r>
        <w:rPr>
          <w:color w:val="231F20"/>
          <w:spacing w:val="-5"/>
        </w:rPr>
        <w:t> </w:t>
      </w:r>
      <w:r>
        <w:rPr>
          <w:color w:val="231F20"/>
        </w:rPr>
        <w:t>transportation</w:t>
      </w:r>
      <w:r>
        <w:rPr>
          <w:color w:val="231F20"/>
          <w:spacing w:val="-5"/>
        </w:rPr>
        <w:t> </w:t>
      </w:r>
      <w:r>
        <w:rPr>
          <w:color w:val="231F20"/>
        </w:rPr>
        <w:t>difficulties,</w:t>
      </w:r>
      <w:r>
        <w:rPr>
          <w:color w:val="231F20"/>
          <w:spacing w:val="-5"/>
        </w:rPr>
        <w:t> </w:t>
      </w:r>
      <w:r>
        <w:rPr>
          <w:color w:val="231F20"/>
        </w:rPr>
        <w:t>or</w:t>
      </w:r>
      <w:r>
        <w:rPr>
          <w:color w:val="231F20"/>
          <w:spacing w:val="-5"/>
        </w:rPr>
        <w:t> </w:t>
      </w:r>
      <w:r>
        <w:rPr>
          <w:color w:val="231F20"/>
        </w:rPr>
        <w:t>the</w:t>
      </w:r>
      <w:r>
        <w:rPr>
          <w:color w:val="231F20"/>
          <w:spacing w:val="-5"/>
        </w:rPr>
        <w:t> </w:t>
      </w:r>
      <w:r>
        <w:rPr>
          <w:color w:val="231F20"/>
        </w:rPr>
        <w:t>stigma</w:t>
      </w:r>
      <w:r>
        <w:rPr>
          <w:color w:val="231F20"/>
          <w:spacing w:val="-52"/>
        </w:rPr>
        <w:t> </w:t>
      </w:r>
      <w:r>
        <w:rPr>
          <w:color w:val="231F20"/>
        </w:rPr>
        <w:t>of seeking support for substance use.</w:t>
      </w:r>
    </w:p>
    <w:p>
      <w:pPr>
        <w:pStyle w:val="BodyText"/>
        <w:spacing w:before="4"/>
        <w:rPr>
          <w:sz w:val="30"/>
        </w:rPr>
      </w:pPr>
    </w:p>
    <w:p>
      <w:pPr>
        <w:pStyle w:val="Heading5"/>
        <w:spacing w:before="0"/>
        <w:ind w:left="1081"/>
      </w:pPr>
      <w:r>
        <w:rPr>
          <w:color w:val="CE384B"/>
        </w:rPr>
        <w:t>Lessons</w:t>
      </w:r>
      <w:r>
        <w:rPr>
          <w:color w:val="CE384B"/>
          <w:spacing w:val="-1"/>
        </w:rPr>
        <w:t> </w:t>
      </w:r>
      <w:r>
        <w:rPr>
          <w:color w:val="CE384B"/>
        </w:rPr>
        <w:t>Learned</w:t>
      </w:r>
    </w:p>
    <w:p>
      <w:pPr>
        <w:pStyle w:val="BodyText"/>
        <w:spacing w:before="4"/>
        <w:rPr>
          <w:rFonts w:ascii="Arial"/>
          <w:b/>
          <w:sz w:val="32"/>
        </w:rPr>
      </w:pPr>
    </w:p>
    <w:p>
      <w:pPr>
        <w:pStyle w:val="ListParagraph"/>
        <w:numPr>
          <w:ilvl w:val="1"/>
          <w:numId w:val="5"/>
        </w:numPr>
        <w:tabs>
          <w:tab w:pos="839" w:val="left" w:leader="none"/>
          <w:tab w:pos="840" w:val="left" w:leader="none"/>
        </w:tabs>
        <w:spacing w:line="264" w:lineRule="auto" w:before="0" w:after="0"/>
        <w:ind w:left="839" w:right="38" w:hanging="360"/>
        <w:jc w:val="left"/>
        <w:rPr>
          <w:rFonts w:ascii="Symbol" w:hAnsi="Symbol"/>
          <w:color w:val="010202"/>
          <w:sz w:val="22"/>
        </w:rPr>
      </w:pPr>
      <w:r>
        <w:rPr>
          <w:b/>
          <w:color w:val="010202"/>
          <w:spacing w:val="-1"/>
          <w:sz w:val="22"/>
        </w:rPr>
        <w:t>Telehealth</w:t>
      </w:r>
      <w:r>
        <w:rPr>
          <w:b/>
          <w:color w:val="010202"/>
          <w:spacing w:val="-13"/>
          <w:sz w:val="22"/>
        </w:rPr>
        <w:t> </w:t>
      </w:r>
      <w:r>
        <w:rPr>
          <w:b/>
          <w:color w:val="010202"/>
          <w:spacing w:val="-1"/>
          <w:sz w:val="22"/>
        </w:rPr>
        <w:t>responds</w:t>
      </w:r>
      <w:r>
        <w:rPr>
          <w:b/>
          <w:color w:val="010202"/>
          <w:spacing w:val="-13"/>
          <w:sz w:val="22"/>
        </w:rPr>
        <w:t> </w:t>
      </w:r>
      <w:r>
        <w:rPr>
          <w:b/>
          <w:color w:val="010202"/>
          <w:spacing w:val="-1"/>
          <w:sz w:val="22"/>
        </w:rPr>
        <w:t>to</w:t>
      </w:r>
      <w:r>
        <w:rPr>
          <w:b/>
          <w:color w:val="010202"/>
          <w:spacing w:val="-12"/>
          <w:sz w:val="22"/>
        </w:rPr>
        <w:t> </w:t>
      </w:r>
      <w:r>
        <w:rPr>
          <w:b/>
          <w:color w:val="010202"/>
          <w:spacing w:val="-1"/>
          <w:sz w:val="22"/>
        </w:rPr>
        <w:t>the</w:t>
      </w:r>
      <w:r>
        <w:rPr>
          <w:b/>
          <w:color w:val="010202"/>
          <w:spacing w:val="-13"/>
          <w:sz w:val="22"/>
        </w:rPr>
        <w:t> </w:t>
      </w:r>
      <w:r>
        <w:rPr>
          <w:b/>
          <w:color w:val="010202"/>
          <w:spacing w:val="-1"/>
          <w:sz w:val="22"/>
        </w:rPr>
        <w:t>changing</w:t>
      </w:r>
      <w:r>
        <w:rPr>
          <w:b/>
          <w:color w:val="010202"/>
          <w:spacing w:val="-12"/>
          <w:sz w:val="22"/>
        </w:rPr>
        <w:t> </w:t>
      </w:r>
      <w:r>
        <w:rPr>
          <w:b/>
          <w:color w:val="010202"/>
          <w:spacing w:val="-1"/>
          <w:sz w:val="22"/>
        </w:rPr>
        <w:t>landscape</w:t>
      </w:r>
      <w:r>
        <w:rPr>
          <w:b/>
          <w:color w:val="010202"/>
          <w:sz w:val="22"/>
        </w:rPr>
        <w:t> of care for mental illness and SUD. </w:t>
      </w:r>
      <w:r>
        <w:rPr>
          <w:color w:val="010202"/>
          <w:sz w:val="22"/>
        </w:rPr>
        <w:t>Prior to the</w:t>
      </w:r>
      <w:r>
        <w:rPr>
          <w:color w:val="010202"/>
          <w:spacing w:val="-52"/>
          <w:sz w:val="22"/>
        </w:rPr>
        <w:t> </w:t>
      </w:r>
      <w:r>
        <w:rPr>
          <w:color w:val="010202"/>
          <w:spacing w:val="-2"/>
          <w:sz w:val="22"/>
        </w:rPr>
        <w:t>pandemic, REACH adapted to clients’ </w:t>
      </w:r>
      <w:r>
        <w:rPr>
          <w:color w:val="010202"/>
          <w:spacing w:val="-1"/>
          <w:sz w:val="22"/>
        </w:rPr>
        <w:t>varied and</w:t>
      </w:r>
      <w:r>
        <w:rPr>
          <w:color w:val="010202"/>
          <w:spacing w:val="-52"/>
          <w:sz w:val="22"/>
        </w:rPr>
        <w:t> </w:t>
      </w:r>
      <w:r>
        <w:rPr>
          <w:color w:val="010202"/>
          <w:sz w:val="22"/>
        </w:rPr>
        <w:t>evolving needs; thus, flexibility is a large part of</w:t>
      </w:r>
      <w:r>
        <w:rPr>
          <w:color w:val="010202"/>
          <w:spacing w:val="-52"/>
          <w:sz w:val="22"/>
        </w:rPr>
        <w:t> </w:t>
      </w:r>
      <w:r>
        <w:rPr>
          <w:color w:val="010202"/>
          <w:spacing w:val="-1"/>
          <w:sz w:val="22"/>
        </w:rPr>
        <w:t>the</w:t>
      </w:r>
      <w:r>
        <w:rPr>
          <w:color w:val="010202"/>
          <w:spacing w:val="-13"/>
          <w:sz w:val="22"/>
        </w:rPr>
        <w:t> </w:t>
      </w:r>
      <w:r>
        <w:rPr>
          <w:color w:val="010202"/>
          <w:spacing w:val="-1"/>
          <w:sz w:val="22"/>
        </w:rPr>
        <w:t>clinic’s</w:t>
      </w:r>
      <w:r>
        <w:rPr>
          <w:color w:val="010202"/>
          <w:spacing w:val="-12"/>
          <w:sz w:val="22"/>
        </w:rPr>
        <w:t> </w:t>
      </w:r>
      <w:r>
        <w:rPr>
          <w:color w:val="010202"/>
          <w:spacing w:val="-1"/>
          <w:sz w:val="22"/>
        </w:rPr>
        <w:t>foundation.</w:t>
      </w:r>
      <w:r>
        <w:rPr>
          <w:color w:val="010202"/>
          <w:spacing w:val="-13"/>
          <w:sz w:val="22"/>
        </w:rPr>
        <w:t> </w:t>
      </w:r>
      <w:r>
        <w:rPr>
          <w:color w:val="010202"/>
          <w:spacing w:val="-1"/>
          <w:sz w:val="22"/>
        </w:rPr>
        <w:t>In</w:t>
      </w:r>
      <w:r>
        <w:rPr>
          <w:color w:val="010202"/>
          <w:spacing w:val="-12"/>
          <w:sz w:val="22"/>
        </w:rPr>
        <w:t> </w:t>
      </w:r>
      <w:r>
        <w:rPr>
          <w:color w:val="010202"/>
          <w:spacing w:val="-1"/>
          <w:sz w:val="22"/>
        </w:rPr>
        <w:t>the</w:t>
      </w:r>
      <w:r>
        <w:rPr>
          <w:color w:val="010202"/>
          <w:spacing w:val="-13"/>
          <w:sz w:val="22"/>
        </w:rPr>
        <w:t> </w:t>
      </w:r>
      <w:r>
        <w:rPr>
          <w:color w:val="010202"/>
          <w:sz w:val="22"/>
        </w:rPr>
        <w:t>switch</w:t>
      </w:r>
      <w:r>
        <w:rPr>
          <w:color w:val="010202"/>
          <w:spacing w:val="-12"/>
          <w:sz w:val="22"/>
        </w:rPr>
        <w:t> </w:t>
      </w:r>
      <w:r>
        <w:rPr>
          <w:color w:val="010202"/>
          <w:sz w:val="22"/>
        </w:rPr>
        <w:t>to</w:t>
      </w:r>
      <w:r>
        <w:rPr>
          <w:color w:val="010202"/>
          <w:spacing w:val="-13"/>
          <w:sz w:val="22"/>
        </w:rPr>
        <w:t> </w:t>
      </w:r>
      <w:r>
        <w:rPr>
          <w:color w:val="010202"/>
          <w:sz w:val="22"/>
        </w:rPr>
        <w:t>telehealth,</w:t>
      </w:r>
    </w:p>
    <w:p>
      <w:pPr>
        <w:pStyle w:val="BodyText"/>
        <w:spacing w:line="266" w:lineRule="auto" w:before="7"/>
        <w:ind w:left="839" w:right="598"/>
      </w:pPr>
      <w:r>
        <w:rPr>
          <w:color w:val="010202"/>
        </w:rPr>
        <w:t>REACH relied on its strong commitment</w:t>
      </w:r>
      <w:r>
        <w:rPr>
          <w:color w:val="010202"/>
          <w:spacing w:val="1"/>
        </w:rPr>
        <w:t> </w:t>
      </w:r>
      <w:r>
        <w:rPr>
          <w:color w:val="010202"/>
        </w:rPr>
        <w:t>to</w:t>
      </w:r>
      <w:r>
        <w:rPr>
          <w:color w:val="010202"/>
          <w:spacing w:val="-13"/>
        </w:rPr>
        <w:t> </w:t>
      </w:r>
      <w:r>
        <w:rPr>
          <w:color w:val="010202"/>
        </w:rPr>
        <w:t>avoiding</w:t>
      </w:r>
      <w:r>
        <w:rPr>
          <w:color w:val="010202"/>
          <w:spacing w:val="-12"/>
        </w:rPr>
        <w:t> </w:t>
      </w:r>
      <w:r>
        <w:rPr>
          <w:color w:val="010202"/>
        </w:rPr>
        <w:t>any</w:t>
      </w:r>
      <w:r>
        <w:rPr>
          <w:color w:val="010202"/>
          <w:spacing w:val="-12"/>
        </w:rPr>
        <w:t> </w:t>
      </w:r>
      <w:r>
        <w:rPr>
          <w:color w:val="010202"/>
        </w:rPr>
        <w:t>interruption</w:t>
      </w:r>
      <w:r>
        <w:rPr>
          <w:color w:val="010202"/>
          <w:spacing w:val="-13"/>
        </w:rPr>
        <w:t> </w:t>
      </w:r>
      <w:r>
        <w:rPr>
          <w:color w:val="010202"/>
        </w:rPr>
        <w:t>of</w:t>
      </w:r>
      <w:r>
        <w:rPr>
          <w:color w:val="010202"/>
          <w:spacing w:val="-12"/>
        </w:rPr>
        <w:t> </w:t>
      </w:r>
      <w:r>
        <w:rPr>
          <w:color w:val="010202"/>
        </w:rPr>
        <w:t>care</w:t>
      </w:r>
      <w:r>
        <w:rPr>
          <w:color w:val="010202"/>
          <w:spacing w:val="-12"/>
        </w:rPr>
        <w:t> </w:t>
      </w:r>
      <w:r>
        <w:rPr>
          <w:color w:val="010202"/>
        </w:rPr>
        <w:t>to</w:t>
      </w:r>
      <w:r>
        <w:rPr>
          <w:color w:val="010202"/>
          <w:spacing w:val="-12"/>
        </w:rPr>
        <w:t> </w:t>
      </w:r>
      <w:r>
        <w:rPr>
          <w:color w:val="010202"/>
        </w:rPr>
        <w:t>their</w:t>
      </w:r>
    </w:p>
    <w:p>
      <w:pPr>
        <w:pStyle w:val="BodyText"/>
        <w:spacing w:line="266" w:lineRule="auto"/>
        <w:ind w:left="839"/>
      </w:pPr>
      <w:r>
        <w:rPr>
          <w:color w:val="010202"/>
        </w:rPr>
        <w:t>clients, who depend on access to care. Sudden</w:t>
      </w:r>
      <w:r>
        <w:rPr>
          <w:color w:val="010202"/>
          <w:spacing w:val="-52"/>
        </w:rPr>
        <w:t> </w:t>
      </w:r>
      <w:r>
        <w:rPr>
          <w:color w:val="010202"/>
          <w:spacing w:val="-1"/>
        </w:rPr>
        <w:t>shutdowns</w:t>
      </w:r>
      <w:r>
        <w:rPr>
          <w:color w:val="010202"/>
          <w:spacing w:val="-13"/>
        </w:rPr>
        <w:t> </w:t>
      </w:r>
      <w:r>
        <w:rPr>
          <w:color w:val="010202"/>
          <w:spacing w:val="-1"/>
        </w:rPr>
        <w:t>of</w:t>
      </w:r>
      <w:r>
        <w:rPr>
          <w:color w:val="010202"/>
          <w:spacing w:val="-12"/>
        </w:rPr>
        <w:t> </w:t>
      </w:r>
      <w:r>
        <w:rPr>
          <w:color w:val="010202"/>
          <w:spacing w:val="-1"/>
        </w:rPr>
        <w:t>in-person</w:t>
      </w:r>
      <w:r>
        <w:rPr>
          <w:color w:val="010202"/>
          <w:spacing w:val="-12"/>
        </w:rPr>
        <w:t> </w:t>
      </w:r>
      <w:r>
        <w:rPr>
          <w:color w:val="010202"/>
        </w:rPr>
        <w:t>care</w:t>
      </w:r>
      <w:r>
        <w:rPr>
          <w:color w:val="010202"/>
          <w:spacing w:val="-12"/>
        </w:rPr>
        <w:t> </w:t>
      </w:r>
      <w:r>
        <w:rPr>
          <w:color w:val="010202"/>
        </w:rPr>
        <w:t>during</w:t>
      </w:r>
      <w:r>
        <w:rPr>
          <w:color w:val="010202"/>
          <w:spacing w:val="-13"/>
        </w:rPr>
        <w:t> </w:t>
      </w:r>
      <w:r>
        <w:rPr>
          <w:color w:val="010202"/>
        </w:rPr>
        <w:t>COVID-19</w:t>
      </w:r>
      <w:r>
        <w:rPr>
          <w:color w:val="010202"/>
          <w:spacing w:val="-52"/>
        </w:rPr>
        <w:t> </w:t>
      </w:r>
      <w:r>
        <w:rPr>
          <w:color w:val="010202"/>
        </w:rPr>
        <w:t>required the program to transition quickly to</w:t>
      </w:r>
      <w:r>
        <w:rPr>
          <w:color w:val="010202"/>
          <w:spacing w:val="1"/>
        </w:rPr>
        <w:t> </w:t>
      </w:r>
      <w:r>
        <w:rPr>
          <w:color w:val="010202"/>
        </w:rPr>
        <w:t>providing</w:t>
      </w:r>
      <w:r>
        <w:rPr>
          <w:color w:val="010202"/>
          <w:spacing w:val="-14"/>
        </w:rPr>
        <w:t> </w:t>
      </w:r>
      <w:r>
        <w:rPr>
          <w:color w:val="010202"/>
        </w:rPr>
        <w:t>telehealth;</w:t>
      </w:r>
      <w:r>
        <w:rPr>
          <w:color w:val="010202"/>
          <w:spacing w:val="-13"/>
        </w:rPr>
        <w:t> </w:t>
      </w:r>
      <w:r>
        <w:rPr>
          <w:color w:val="010202"/>
        </w:rPr>
        <w:t>therefore,</w:t>
      </w:r>
      <w:r>
        <w:rPr>
          <w:color w:val="010202"/>
          <w:spacing w:val="-13"/>
        </w:rPr>
        <w:t> </w:t>
      </w:r>
      <w:r>
        <w:rPr>
          <w:color w:val="010202"/>
        </w:rPr>
        <w:t>services</w:t>
      </w:r>
      <w:r>
        <w:rPr>
          <w:color w:val="010202"/>
          <w:spacing w:val="-14"/>
        </w:rPr>
        <w:t> </w:t>
      </w:r>
      <w:r>
        <w:rPr>
          <w:color w:val="010202"/>
        </w:rPr>
        <w:t>were</w:t>
      </w:r>
    </w:p>
    <w:p>
      <w:pPr>
        <w:pStyle w:val="BodyText"/>
        <w:spacing w:line="266" w:lineRule="auto" w:before="93"/>
        <w:ind w:left="480" w:right="708"/>
      </w:pPr>
      <w:r>
        <w:rPr/>
        <w:br w:type="column"/>
      </w:r>
      <w:r>
        <w:rPr>
          <w:color w:val="010202"/>
        </w:rPr>
        <w:t>not implemented in planned stages. Some</w:t>
      </w:r>
      <w:r>
        <w:rPr>
          <w:color w:val="010202"/>
          <w:spacing w:val="1"/>
        </w:rPr>
        <w:t> </w:t>
      </w:r>
      <w:r>
        <w:rPr>
          <w:color w:val="010202"/>
          <w:spacing w:val="-1"/>
        </w:rPr>
        <w:t>clinicians</w:t>
      </w:r>
      <w:r>
        <w:rPr>
          <w:color w:val="010202"/>
          <w:spacing w:val="-13"/>
        </w:rPr>
        <w:t> </w:t>
      </w:r>
      <w:r>
        <w:rPr>
          <w:color w:val="010202"/>
          <w:spacing w:val="-1"/>
        </w:rPr>
        <w:t>initially</w:t>
      </w:r>
      <w:r>
        <w:rPr>
          <w:color w:val="010202"/>
          <w:spacing w:val="-13"/>
        </w:rPr>
        <w:t> </w:t>
      </w:r>
      <w:r>
        <w:rPr>
          <w:color w:val="010202"/>
          <w:spacing w:val="-1"/>
        </w:rPr>
        <w:t>stopped</w:t>
      </w:r>
      <w:r>
        <w:rPr>
          <w:color w:val="010202"/>
          <w:spacing w:val="-12"/>
        </w:rPr>
        <w:t> </w:t>
      </w:r>
      <w:r>
        <w:rPr>
          <w:color w:val="010202"/>
          <w:spacing w:val="-1"/>
        </w:rPr>
        <w:t>providing</w:t>
      </w:r>
      <w:r>
        <w:rPr>
          <w:color w:val="010202"/>
          <w:spacing w:val="-13"/>
        </w:rPr>
        <w:t> </w:t>
      </w:r>
      <w:r>
        <w:rPr>
          <w:color w:val="010202"/>
        </w:rPr>
        <w:t>services</w:t>
      </w:r>
      <w:r>
        <w:rPr>
          <w:color w:val="010202"/>
          <w:spacing w:val="-12"/>
        </w:rPr>
        <w:t> </w:t>
      </w:r>
      <w:r>
        <w:rPr>
          <w:color w:val="010202"/>
        </w:rPr>
        <w:t>but</w:t>
      </w:r>
      <w:r>
        <w:rPr>
          <w:color w:val="010202"/>
          <w:spacing w:val="-52"/>
        </w:rPr>
        <w:t> </w:t>
      </w:r>
      <w:r>
        <w:rPr>
          <w:color w:val="010202"/>
        </w:rPr>
        <w:t>transitioned to telehealth as they were brought</w:t>
      </w:r>
      <w:r>
        <w:rPr>
          <w:color w:val="010202"/>
          <w:spacing w:val="1"/>
        </w:rPr>
        <w:t> </w:t>
      </w:r>
      <w:r>
        <w:rPr>
          <w:color w:val="010202"/>
        </w:rPr>
        <w:t>back on board to see patients. Eventually all</w:t>
      </w:r>
      <w:r>
        <w:rPr>
          <w:color w:val="010202"/>
          <w:spacing w:val="1"/>
        </w:rPr>
        <w:t> </w:t>
      </w:r>
      <w:r>
        <w:rPr>
          <w:color w:val="010202"/>
        </w:rPr>
        <w:t>providers</w:t>
      </w:r>
      <w:r>
        <w:rPr>
          <w:color w:val="010202"/>
          <w:spacing w:val="-8"/>
        </w:rPr>
        <w:t> </w:t>
      </w:r>
      <w:r>
        <w:rPr>
          <w:color w:val="010202"/>
        </w:rPr>
        <w:t>were</w:t>
      </w:r>
      <w:r>
        <w:rPr>
          <w:color w:val="010202"/>
          <w:spacing w:val="-8"/>
        </w:rPr>
        <w:t> </w:t>
      </w:r>
      <w:r>
        <w:rPr>
          <w:color w:val="010202"/>
        </w:rPr>
        <w:t>able</w:t>
      </w:r>
      <w:r>
        <w:rPr>
          <w:color w:val="010202"/>
          <w:spacing w:val="-8"/>
        </w:rPr>
        <w:t> </w:t>
      </w:r>
      <w:r>
        <w:rPr>
          <w:color w:val="010202"/>
        </w:rPr>
        <w:t>to</w:t>
      </w:r>
      <w:r>
        <w:rPr>
          <w:color w:val="010202"/>
          <w:spacing w:val="-8"/>
        </w:rPr>
        <w:t> </w:t>
      </w:r>
      <w:r>
        <w:rPr>
          <w:color w:val="010202"/>
        </w:rPr>
        <w:t>switch</w:t>
      </w:r>
      <w:r>
        <w:rPr>
          <w:color w:val="010202"/>
          <w:spacing w:val="-7"/>
        </w:rPr>
        <w:t> </w:t>
      </w:r>
      <w:r>
        <w:rPr>
          <w:color w:val="010202"/>
        </w:rPr>
        <w:t>to</w:t>
      </w:r>
      <w:r>
        <w:rPr>
          <w:color w:val="010202"/>
          <w:spacing w:val="-8"/>
        </w:rPr>
        <w:t> </w:t>
      </w:r>
      <w:r>
        <w:rPr>
          <w:color w:val="010202"/>
        </w:rPr>
        <w:t>telehealth.</w:t>
      </w:r>
    </w:p>
    <w:p>
      <w:pPr>
        <w:pStyle w:val="ListParagraph"/>
        <w:numPr>
          <w:ilvl w:val="0"/>
          <w:numId w:val="5"/>
        </w:numPr>
        <w:tabs>
          <w:tab w:pos="479" w:val="left" w:leader="none"/>
          <w:tab w:pos="480" w:val="left" w:leader="none"/>
        </w:tabs>
        <w:spacing w:line="266" w:lineRule="auto" w:before="27" w:after="0"/>
        <w:ind w:left="479" w:right="774" w:hanging="360"/>
        <w:jc w:val="left"/>
        <w:rPr>
          <w:sz w:val="22"/>
        </w:rPr>
      </w:pPr>
      <w:r>
        <w:rPr>
          <w:b/>
          <w:color w:val="010202"/>
          <w:spacing w:val="-2"/>
          <w:sz w:val="22"/>
        </w:rPr>
        <w:t>Telehealth responds to changing client </w:t>
      </w:r>
      <w:r>
        <w:rPr>
          <w:b/>
          <w:color w:val="010202"/>
          <w:spacing w:val="-1"/>
          <w:sz w:val="22"/>
        </w:rPr>
        <w:t>needs.</w:t>
      </w:r>
      <w:r>
        <w:rPr>
          <w:b/>
          <w:color w:val="010202"/>
          <w:sz w:val="22"/>
        </w:rPr>
        <w:t> </w:t>
      </w:r>
      <w:r>
        <w:rPr>
          <w:color w:val="010202"/>
          <w:spacing w:val="-3"/>
          <w:sz w:val="22"/>
        </w:rPr>
        <w:t>REACH’s model </w:t>
      </w:r>
      <w:r>
        <w:rPr>
          <w:color w:val="010202"/>
          <w:spacing w:val="-2"/>
          <w:sz w:val="22"/>
        </w:rPr>
        <w:t>emphasizes providing real-time</w:t>
      </w:r>
      <w:r>
        <w:rPr>
          <w:color w:val="010202"/>
          <w:spacing w:val="-52"/>
          <w:sz w:val="22"/>
        </w:rPr>
        <w:t> </w:t>
      </w:r>
      <w:r>
        <w:rPr>
          <w:color w:val="010202"/>
          <w:sz w:val="22"/>
        </w:rPr>
        <w:t>services for clients at the moment they express</w:t>
      </w:r>
      <w:r>
        <w:rPr>
          <w:color w:val="010202"/>
          <w:spacing w:val="1"/>
          <w:sz w:val="22"/>
        </w:rPr>
        <w:t> </w:t>
      </w:r>
      <w:r>
        <w:rPr>
          <w:color w:val="010202"/>
          <w:spacing w:val="-2"/>
          <w:sz w:val="22"/>
        </w:rPr>
        <w:t>need.</w:t>
      </w:r>
      <w:r>
        <w:rPr>
          <w:color w:val="010202"/>
          <w:spacing w:val="-11"/>
          <w:sz w:val="22"/>
        </w:rPr>
        <w:t> </w:t>
      </w:r>
      <w:r>
        <w:rPr>
          <w:color w:val="010202"/>
          <w:spacing w:val="-2"/>
          <w:sz w:val="22"/>
        </w:rPr>
        <w:t>Using</w:t>
      </w:r>
      <w:r>
        <w:rPr>
          <w:color w:val="010202"/>
          <w:spacing w:val="-11"/>
          <w:sz w:val="22"/>
        </w:rPr>
        <w:t> </w:t>
      </w:r>
      <w:r>
        <w:rPr>
          <w:color w:val="010202"/>
          <w:spacing w:val="-2"/>
          <w:sz w:val="22"/>
        </w:rPr>
        <w:t>telehealth</w:t>
      </w:r>
      <w:r>
        <w:rPr>
          <w:color w:val="010202"/>
          <w:spacing w:val="-11"/>
          <w:sz w:val="22"/>
        </w:rPr>
        <w:t> </w:t>
      </w:r>
      <w:r>
        <w:rPr>
          <w:color w:val="010202"/>
          <w:spacing w:val="-1"/>
          <w:sz w:val="22"/>
        </w:rPr>
        <w:t>to</w:t>
      </w:r>
      <w:r>
        <w:rPr>
          <w:color w:val="010202"/>
          <w:spacing w:val="-11"/>
          <w:sz w:val="22"/>
        </w:rPr>
        <w:t> </w:t>
      </w:r>
      <w:r>
        <w:rPr>
          <w:color w:val="010202"/>
          <w:spacing w:val="-1"/>
          <w:sz w:val="22"/>
        </w:rPr>
        <w:t>deliver</w:t>
      </w:r>
      <w:r>
        <w:rPr>
          <w:color w:val="010202"/>
          <w:spacing w:val="-11"/>
          <w:sz w:val="22"/>
        </w:rPr>
        <w:t> </w:t>
      </w:r>
      <w:r>
        <w:rPr>
          <w:color w:val="010202"/>
          <w:spacing w:val="-1"/>
          <w:sz w:val="22"/>
        </w:rPr>
        <w:t>care</w:t>
      </w:r>
      <w:r>
        <w:rPr>
          <w:color w:val="010202"/>
          <w:spacing w:val="-11"/>
          <w:sz w:val="22"/>
        </w:rPr>
        <w:t> </w:t>
      </w:r>
      <w:r>
        <w:rPr>
          <w:color w:val="010202"/>
          <w:spacing w:val="-1"/>
          <w:sz w:val="22"/>
        </w:rPr>
        <w:t>has</w:t>
      </w:r>
      <w:r>
        <w:rPr>
          <w:color w:val="010202"/>
          <w:spacing w:val="-10"/>
          <w:sz w:val="22"/>
        </w:rPr>
        <w:t> </w:t>
      </w:r>
      <w:r>
        <w:rPr>
          <w:color w:val="010202"/>
          <w:spacing w:val="-1"/>
          <w:sz w:val="22"/>
        </w:rPr>
        <w:t>allowed</w:t>
      </w:r>
      <w:r>
        <w:rPr>
          <w:color w:val="010202"/>
          <w:spacing w:val="-52"/>
          <w:sz w:val="22"/>
        </w:rPr>
        <w:t> </w:t>
      </w:r>
      <w:r>
        <w:rPr>
          <w:color w:val="010202"/>
          <w:sz w:val="22"/>
        </w:rPr>
        <w:t>REACH to continue to provide low-threshold,</w:t>
      </w:r>
      <w:r>
        <w:rPr>
          <w:color w:val="010202"/>
          <w:spacing w:val="1"/>
          <w:sz w:val="22"/>
        </w:rPr>
        <w:t> </w:t>
      </w:r>
      <w:r>
        <w:rPr>
          <w:color w:val="010202"/>
          <w:sz w:val="22"/>
        </w:rPr>
        <w:t>accessible services to clients throughout New</w:t>
      </w:r>
      <w:r>
        <w:rPr>
          <w:color w:val="010202"/>
          <w:spacing w:val="1"/>
          <w:sz w:val="22"/>
        </w:rPr>
        <w:t> </w:t>
      </w:r>
      <w:r>
        <w:rPr>
          <w:color w:val="010202"/>
          <w:sz w:val="22"/>
        </w:rPr>
        <w:t>York State despite COVID-19 pandemic</w:t>
      </w:r>
      <w:r>
        <w:rPr>
          <w:color w:val="010202"/>
          <w:spacing w:val="1"/>
          <w:sz w:val="22"/>
        </w:rPr>
        <w:t> </w:t>
      </w:r>
      <w:r>
        <w:rPr>
          <w:color w:val="010202"/>
          <w:sz w:val="22"/>
        </w:rPr>
        <w:t>restrictions.</w:t>
      </w:r>
    </w:p>
    <w:p>
      <w:pPr>
        <w:pStyle w:val="ListParagraph"/>
        <w:numPr>
          <w:ilvl w:val="0"/>
          <w:numId w:val="5"/>
        </w:numPr>
        <w:tabs>
          <w:tab w:pos="479" w:val="left" w:leader="none"/>
          <w:tab w:pos="480" w:val="left" w:leader="none"/>
        </w:tabs>
        <w:spacing w:line="266" w:lineRule="auto" w:before="23" w:after="0"/>
        <w:ind w:left="479" w:right="766" w:hanging="360"/>
        <w:jc w:val="left"/>
        <w:rPr>
          <w:sz w:val="22"/>
        </w:rPr>
      </w:pPr>
      <w:r>
        <w:rPr>
          <w:b/>
          <w:color w:val="010202"/>
          <w:sz w:val="22"/>
        </w:rPr>
        <w:t>Communication</w:t>
      </w:r>
      <w:r>
        <w:rPr>
          <w:b/>
          <w:color w:val="010202"/>
          <w:spacing w:val="7"/>
          <w:sz w:val="22"/>
        </w:rPr>
        <w:t> </w:t>
      </w:r>
      <w:r>
        <w:rPr>
          <w:b/>
          <w:color w:val="010202"/>
          <w:sz w:val="22"/>
        </w:rPr>
        <w:t>channels</w:t>
      </w:r>
      <w:r>
        <w:rPr>
          <w:b/>
          <w:color w:val="010202"/>
          <w:spacing w:val="8"/>
          <w:sz w:val="22"/>
        </w:rPr>
        <w:t> </w:t>
      </w:r>
      <w:r>
        <w:rPr>
          <w:b/>
          <w:color w:val="010202"/>
          <w:sz w:val="22"/>
        </w:rPr>
        <w:t>are</w:t>
      </w:r>
      <w:r>
        <w:rPr>
          <w:b/>
          <w:color w:val="010202"/>
          <w:spacing w:val="8"/>
          <w:sz w:val="22"/>
        </w:rPr>
        <w:t> </w:t>
      </w:r>
      <w:r>
        <w:rPr>
          <w:b/>
          <w:color w:val="010202"/>
          <w:sz w:val="22"/>
        </w:rPr>
        <w:t>key</w:t>
      </w:r>
      <w:r>
        <w:rPr>
          <w:b/>
          <w:color w:val="010202"/>
          <w:spacing w:val="7"/>
          <w:sz w:val="22"/>
        </w:rPr>
        <w:t> </w:t>
      </w:r>
      <w:r>
        <w:rPr>
          <w:b/>
          <w:color w:val="010202"/>
          <w:sz w:val="22"/>
        </w:rPr>
        <w:t>to</w:t>
      </w:r>
      <w:r>
        <w:rPr>
          <w:b/>
          <w:color w:val="010202"/>
          <w:spacing w:val="1"/>
          <w:sz w:val="22"/>
        </w:rPr>
        <w:t> </w:t>
      </w:r>
      <w:r>
        <w:rPr>
          <w:b/>
          <w:color w:val="010202"/>
          <w:w w:val="95"/>
          <w:sz w:val="22"/>
        </w:rPr>
        <w:t>providing</w:t>
      </w:r>
      <w:r>
        <w:rPr>
          <w:b/>
          <w:color w:val="010202"/>
          <w:spacing w:val="1"/>
          <w:w w:val="95"/>
          <w:sz w:val="22"/>
        </w:rPr>
        <w:t> </w:t>
      </w:r>
      <w:r>
        <w:rPr>
          <w:b/>
          <w:color w:val="010202"/>
          <w:w w:val="95"/>
          <w:sz w:val="22"/>
        </w:rPr>
        <w:t>effective</w:t>
      </w:r>
      <w:r>
        <w:rPr>
          <w:b/>
          <w:color w:val="010202"/>
          <w:spacing w:val="1"/>
          <w:w w:val="95"/>
          <w:sz w:val="22"/>
        </w:rPr>
        <w:t> </w:t>
      </w:r>
      <w:r>
        <w:rPr>
          <w:b/>
          <w:color w:val="010202"/>
          <w:w w:val="95"/>
          <w:sz w:val="22"/>
        </w:rPr>
        <w:t>care.</w:t>
      </w:r>
      <w:r>
        <w:rPr>
          <w:b/>
          <w:color w:val="010202"/>
          <w:spacing w:val="1"/>
          <w:w w:val="95"/>
          <w:sz w:val="22"/>
        </w:rPr>
        <w:t> </w:t>
      </w:r>
      <w:r>
        <w:rPr>
          <w:color w:val="010202"/>
          <w:w w:val="95"/>
          <w:sz w:val="22"/>
        </w:rPr>
        <w:t>A core</w:t>
      </w:r>
      <w:r>
        <w:rPr>
          <w:color w:val="010202"/>
          <w:spacing w:val="1"/>
          <w:w w:val="95"/>
          <w:sz w:val="22"/>
        </w:rPr>
        <w:t> </w:t>
      </w:r>
      <w:r>
        <w:rPr>
          <w:color w:val="010202"/>
          <w:w w:val="95"/>
          <w:sz w:val="22"/>
        </w:rPr>
        <w:t>component</w:t>
      </w:r>
      <w:r>
        <w:rPr>
          <w:color w:val="010202"/>
          <w:spacing w:val="1"/>
          <w:w w:val="95"/>
          <w:sz w:val="22"/>
        </w:rPr>
        <w:t> </w:t>
      </w:r>
      <w:r>
        <w:rPr>
          <w:color w:val="010202"/>
          <w:w w:val="95"/>
          <w:sz w:val="22"/>
        </w:rPr>
        <w:t>of</w:t>
      </w:r>
      <w:r>
        <w:rPr>
          <w:color w:val="010202"/>
          <w:spacing w:val="-50"/>
          <w:w w:val="95"/>
          <w:sz w:val="22"/>
        </w:rPr>
        <w:t> </w:t>
      </w:r>
      <w:r>
        <w:rPr>
          <w:color w:val="010202"/>
          <w:sz w:val="22"/>
        </w:rPr>
        <w:t>REACH’s care model is being easily reachable</w:t>
      </w:r>
      <w:r>
        <w:rPr>
          <w:color w:val="010202"/>
          <w:spacing w:val="1"/>
          <w:sz w:val="22"/>
        </w:rPr>
        <w:t> </w:t>
      </w:r>
      <w:r>
        <w:rPr>
          <w:color w:val="010202"/>
          <w:sz w:val="22"/>
        </w:rPr>
        <w:t>and accessible to clients by providing multiple</w:t>
      </w:r>
      <w:r>
        <w:rPr>
          <w:color w:val="010202"/>
          <w:spacing w:val="1"/>
          <w:sz w:val="22"/>
        </w:rPr>
        <w:t> </w:t>
      </w:r>
      <w:r>
        <w:rPr>
          <w:color w:val="010202"/>
          <w:sz w:val="22"/>
        </w:rPr>
        <w:t>modes of communication. Telehealth has been</w:t>
      </w:r>
      <w:r>
        <w:rPr>
          <w:color w:val="010202"/>
          <w:spacing w:val="1"/>
          <w:sz w:val="22"/>
        </w:rPr>
        <w:t> </w:t>
      </w:r>
      <w:r>
        <w:rPr>
          <w:color w:val="010202"/>
          <w:sz w:val="22"/>
        </w:rPr>
        <w:t>central to expanding mechanisms for continuous</w:t>
      </w:r>
      <w:r>
        <w:rPr>
          <w:color w:val="010202"/>
          <w:spacing w:val="-52"/>
          <w:sz w:val="22"/>
        </w:rPr>
        <w:t> </w:t>
      </w:r>
      <w:r>
        <w:rPr>
          <w:color w:val="010202"/>
          <w:sz w:val="22"/>
        </w:rPr>
        <w:t>communication</w:t>
      </w:r>
      <w:r>
        <w:rPr>
          <w:color w:val="010202"/>
          <w:spacing w:val="-2"/>
          <w:sz w:val="22"/>
        </w:rPr>
        <w:t> </w:t>
      </w:r>
      <w:r>
        <w:rPr>
          <w:color w:val="010202"/>
          <w:sz w:val="22"/>
        </w:rPr>
        <w:t>between</w:t>
      </w:r>
      <w:r>
        <w:rPr>
          <w:color w:val="010202"/>
          <w:spacing w:val="-1"/>
          <w:sz w:val="22"/>
        </w:rPr>
        <w:t> </w:t>
      </w:r>
      <w:r>
        <w:rPr>
          <w:color w:val="010202"/>
          <w:sz w:val="22"/>
        </w:rPr>
        <w:t>client</w:t>
      </w:r>
      <w:r>
        <w:rPr>
          <w:color w:val="010202"/>
          <w:spacing w:val="-1"/>
          <w:sz w:val="22"/>
        </w:rPr>
        <w:t> </w:t>
      </w:r>
      <w:r>
        <w:rPr>
          <w:color w:val="010202"/>
          <w:sz w:val="22"/>
        </w:rPr>
        <w:t>and</w:t>
      </w:r>
      <w:r>
        <w:rPr>
          <w:color w:val="010202"/>
          <w:spacing w:val="-1"/>
          <w:sz w:val="22"/>
        </w:rPr>
        <w:t> </w:t>
      </w:r>
      <w:r>
        <w:rPr>
          <w:color w:val="010202"/>
          <w:sz w:val="22"/>
        </w:rPr>
        <w:t>provider.</w:t>
      </w:r>
    </w:p>
    <w:p>
      <w:pPr>
        <w:pStyle w:val="ListParagraph"/>
        <w:numPr>
          <w:ilvl w:val="0"/>
          <w:numId w:val="5"/>
        </w:numPr>
        <w:tabs>
          <w:tab w:pos="479" w:val="left" w:leader="none"/>
          <w:tab w:pos="480" w:val="left" w:leader="none"/>
        </w:tabs>
        <w:spacing w:line="264" w:lineRule="auto" w:before="23" w:after="0"/>
        <w:ind w:left="479" w:right="833" w:hanging="360"/>
        <w:jc w:val="left"/>
        <w:rPr>
          <w:sz w:val="22"/>
        </w:rPr>
      </w:pPr>
      <w:r>
        <w:rPr>
          <w:b/>
          <w:color w:val="010202"/>
          <w:spacing w:val="-5"/>
          <w:sz w:val="22"/>
        </w:rPr>
        <w:t>Supporting providers </w:t>
      </w:r>
      <w:r>
        <w:rPr>
          <w:b/>
          <w:color w:val="010202"/>
          <w:spacing w:val="-4"/>
          <w:sz w:val="22"/>
        </w:rPr>
        <w:t>is key to successfully</w:t>
      </w:r>
      <w:r>
        <w:rPr>
          <w:b/>
          <w:color w:val="010202"/>
          <w:spacing w:val="-3"/>
          <w:sz w:val="22"/>
        </w:rPr>
        <w:t> </w:t>
      </w:r>
      <w:r>
        <w:rPr>
          <w:b/>
          <w:color w:val="010202"/>
          <w:w w:val="95"/>
          <w:sz w:val="22"/>
        </w:rPr>
        <w:t>implementing telehealth. </w:t>
      </w:r>
      <w:r>
        <w:rPr>
          <w:color w:val="010202"/>
          <w:w w:val="95"/>
          <w:sz w:val="22"/>
        </w:rPr>
        <w:t>REACH built off its</w:t>
      </w:r>
      <w:r>
        <w:rPr>
          <w:color w:val="010202"/>
          <w:spacing w:val="1"/>
          <w:w w:val="95"/>
          <w:sz w:val="22"/>
        </w:rPr>
        <w:t> </w:t>
      </w:r>
      <w:r>
        <w:rPr>
          <w:color w:val="010202"/>
          <w:spacing w:val="-5"/>
          <w:sz w:val="22"/>
        </w:rPr>
        <w:t>existing commitment to professional </w:t>
      </w:r>
      <w:r>
        <w:rPr>
          <w:color w:val="010202"/>
          <w:spacing w:val="-4"/>
          <w:sz w:val="22"/>
        </w:rPr>
        <w:t>development</w:t>
      </w:r>
      <w:r>
        <w:rPr>
          <w:color w:val="010202"/>
          <w:spacing w:val="-52"/>
          <w:sz w:val="22"/>
        </w:rPr>
        <w:t> </w:t>
      </w:r>
      <w:r>
        <w:rPr>
          <w:color w:val="010202"/>
          <w:spacing w:val="-5"/>
          <w:sz w:val="22"/>
        </w:rPr>
        <w:t>and team collaboration by providing </w:t>
      </w:r>
      <w:r>
        <w:rPr>
          <w:color w:val="010202"/>
          <w:spacing w:val="-4"/>
          <w:sz w:val="22"/>
        </w:rPr>
        <w:t>specific</w:t>
      </w:r>
      <w:r>
        <w:rPr>
          <w:color w:val="010202"/>
          <w:spacing w:val="-3"/>
          <w:sz w:val="22"/>
        </w:rPr>
        <w:t> </w:t>
      </w:r>
      <w:r>
        <w:rPr>
          <w:color w:val="010202"/>
          <w:spacing w:val="-5"/>
          <w:sz w:val="22"/>
        </w:rPr>
        <w:t>trainings</w:t>
      </w:r>
      <w:r>
        <w:rPr>
          <w:color w:val="010202"/>
          <w:spacing w:val="-9"/>
          <w:sz w:val="22"/>
        </w:rPr>
        <w:t> </w:t>
      </w:r>
      <w:r>
        <w:rPr>
          <w:color w:val="010202"/>
          <w:spacing w:val="-5"/>
          <w:sz w:val="22"/>
        </w:rPr>
        <w:t>on</w:t>
      </w:r>
      <w:r>
        <w:rPr>
          <w:color w:val="010202"/>
          <w:spacing w:val="-9"/>
          <w:sz w:val="22"/>
        </w:rPr>
        <w:t> </w:t>
      </w:r>
      <w:r>
        <w:rPr>
          <w:color w:val="010202"/>
          <w:spacing w:val="-5"/>
          <w:sz w:val="22"/>
        </w:rPr>
        <w:t>adapting</w:t>
      </w:r>
      <w:r>
        <w:rPr>
          <w:color w:val="010202"/>
          <w:spacing w:val="-8"/>
          <w:sz w:val="22"/>
        </w:rPr>
        <w:t> </w:t>
      </w:r>
      <w:r>
        <w:rPr>
          <w:color w:val="010202"/>
          <w:spacing w:val="-5"/>
          <w:sz w:val="22"/>
        </w:rPr>
        <w:t>to</w:t>
      </w:r>
      <w:r>
        <w:rPr>
          <w:color w:val="010202"/>
          <w:spacing w:val="-9"/>
          <w:sz w:val="22"/>
        </w:rPr>
        <w:t> </w:t>
      </w:r>
      <w:r>
        <w:rPr>
          <w:color w:val="010202"/>
          <w:spacing w:val="-5"/>
          <w:sz w:val="22"/>
        </w:rPr>
        <w:t>changing</w:t>
      </w:r>
      <w:r>
        <w:rPr>
          <w:color w:val="010202"/>
          <w:spacing w:val="-9"/>
          <w:sz w:val="22"/>
        </w:rPr>
        <w:t> </w:t>
      </w:r>
      <w:r>
        <w:rPr>
          <w:color w:val="010202"/>
          <w:spacing w:val="-4"/>
          <w:sz w:val="22"/>
        </w:rPr>
        <w:t>technology.</w:t>
      </w:r>
    </w:p>
    <w:p>
      <w:pPr>
        <w:pStyle w:val="BodyText"/>
        <w:spacing w:before="6"/>
        <w:ind w:left="479"/>
      </w:pPr>
      <w:r>
        <w:rPr>
          <w:color w:val="010202"/>
          <w:spacing w:val="-5"/>
        </w:rPr>
        <w:t>The</w:t>
      </w:r>
      <w:r>
        <w:rPr>
          <w:color w:val="010202"/>
          <w:spacing w:val="-9"/>
        </w:rPr>
        <w:t> </w:t>
      </w:r>
      <w:r>
        <w:rPr>
          <w:color w:val="010202"/>
          <w:spacing w:val="-5"/>
        </w:rPr>
        <w:t>trainings</w:t>
      </w:r>
      <w:r>
        <w:rPr>
          <w:color w:val="010202"/>
          <w:spacing w:val="-9"/>
        </w:rPr>
        <w:t> </w:t>
      </w:r>
      <w:r>
        <w:rPr>
          <w:color w:val="010202"/>
          <w:spacing w:val="-5"/>
        </w:rPr>
        <w:t>were</w:t>
      </w:r>
      <w:r>
        <w:rPr>
          <w:color w:val="010202"/>
          <w:spacing w:val="-9"/>
        </w:rPr>
        <w:t> </w:t>
      </w:r>
      <w:r>
        <w:rPr>
          <w:color w:val="010202"/>
          <w:spacing w:val="-5"/>
        </w:rPr>
        <w:t>led</w:t>
      </w:r>
      <w:r>
        <w:rPr>
          <w:color w:val="010202"/>
          <w:spacing w:val="-9"/>
        </w:rPr>
        <w:t> </w:t>
      </w:r>
      <w:r>
        <w:rPr>
          <w:color w:val="010202"/>
          <w:spacing w:val="-4"/>
        </w:rPr>
        <w:t>by</w:t>
      </w:r>
      <w:r>
        <w:rPr>
          <w:color w:val="010202"/>
          <w:spacing w:val="-9"/>
        </w:rPr>
        <w:t> </w:t>
      </w:r>
      <w:r>
        <w:rPr>
          <w:color w:val="010202"/>
          <w:spacing w:val="-4"/>
        </w:rPr>
        <w:t>REACH’s</w:t>
      </w:r>
      <w:r>
        <w:rPr>
          <w:color w:val="010202"/>
          <w:spacing w:val="-9"/>
        </w:rPr>
        <w:t> </w:t>
      </w:r>
      <w:r>
        <w:rPr>
          <w:color w:val="010202"/>
          <w:spacing w:val="-4"/>
        </w:rPr>
        <w:t>Director</w:t>
      </w:r>
    </w:p>
    <w:p>
      <w:pPr>
        <w:pStyle w:val="BodyText"/>
        <w:spacing w:line="266" w:lineRule="auto" w:before="27"/>
        <w:ind w:left="479" w:right="964"/>
      </w:pPr>
      <w:r>
        <w:rPr>
          <w:color w:val="010202"/>
          <w:spacing w:val="-5"/>
        </w:rPr>
        <w:t>of Operations, who </w:t>
      </w:r>
      <w:r>
        <w:rPr>
          <w:color w:val="010202"/>
          <w:spacing w:val="-4"/>
        </w:rPr>
        <w:t>serves as the clinic’s IT</w:t>
      </w:r>
      <w:r>
        <w:rPr>
          <w:color w:val="010202"/>
          <w:spacing w:val="-3"/>
        </w:rPr>
        <w:t> </w:t>
      </w:r>
      <w:r>
        <w:rPr>
          <w:color w:val="010202"/>
          <w:spacing w:val="-5"/>
        </w:rPr>
        <w:t>point-person and technical </w:t>
      </w:r>
      <w:r>
        <w:rPr>
          <w:color w:val="010202"/>
          <w:spacing w:val="-4"/>
        </w:rPr>
        <w:t>support. The Director</w:t>
      </w:r>
      <w:r>
        <w:rPr>
          <w:color w:val="010202"/>
          <w:spacing w:val="-52"/>
        </w:rPr>
        <w:t> </w:t>
      </w:r>
      <w:r>
        <w:rPr>
          <w:color w:val="010202"/>
          <w:spacing w:val="-4"/>
        </w:rPr>
        <w:t>of Operations was available </w:t>
      </w:r>
      <w:r>
        <w:rPr>
          <w:color w:val="010202"/>
          <w:spacing w:val="-3"/>
        </w:rPr>
        <w:t>in real time to</w:t>
      </w:r>
      <w:r>
        <w:rPr>
          <w:color w:val="010202"/>
          <w:spacing w:val="-2"/>
        </w:rPr>
        <w:t> </w:t>
      </w:r>
      <w:r>
        <w:rPr>
          <w:color w:val="010202"/>
          <w:spacing w:val="-5"/>
        </w:rPr>
        <w:t>troubleshoot</w:t>
      </w:r>
      <w:r>
        <w:rPr>
          <w:color w:val="010202"/>
          <w:spacing w:val="-9"/>
        </w:rPr>
        <w:t> </w:t>
      </w:r>
      <w:r>
        <w:rPr>
          <w:color w:val="010202"/>
          <w:spacing w:val="-5"/>
        </w:rPr>
        <w:t>as</w:t>
      </w:r>
      <w:r>
        <w:rPr>
          <w:color w:val="010202"/>
          <w:spacing w:val="-9"/>
        </w:rPr>
        <w:t> </w:t>
      </w:r>
      <w:r>
        <w:rPr>
          <w:color w:val="010202"/>
          <w:spacing w:val="-5"/>
        </w:rPr>
        <w:t>front</w:t>
      </w:r>
      <w:r>
        <w:rPr>
          <w:color w:val="010202"/>
          <w:spacing w:val="-8"/>
        </w:rPr>
        <w:t> </w:t>
      </w:r>
      <w:r>
        <w:rPr>
          <w:color w:val="010202"/>
          <w:spacing w:val="-5"/>
        </w:rPr>
        <w:t>desk</w:t>
      </w:r>
      <w:r>
        <w:rPr>
          <w:color w:val="010202"/>
          <w:spacing w:val="-9"/>
        </w:rPr>
        <w:t> </w:t>
      </w:r>
      <w:r>
        <w:rPr>
          <w:color w:val="010202"/>
          <w:spacing w:val="-5"/>
        </w:rPr>
        <w:t>staff</w:t>
      </w:r>
      <w:r>
        <w:rPr>
          <w:color w:val="010202"/>
          <w:spacing w:val="-6"/>
        </w:rPr>
        <w:t> </w:t>
      </w:r>
      <w:r>
        <w:rPr>
          <w:color w:val="010202"/>
          <w:spacing w:val="-4"/>
        </w:rPr>
        <w:t>(guardians)</w:t>
      </w:r>
      <w:r>
        <w:rPr>
          <w:color w:val="010202"/>
          <w:spacing w:val="-9"/>
        </w:rPr>
        <w:t> </w:t>
      </w:r>
      <w:r>
        <w:rPr>
          <w:color w:val="010202"/>
          <w:spacing w:val="-4"/>
        </w:rPr>
        <w:t>and</w:t>
      </w:r>
    </w:p>
    <w:p>
      <w:pPr>
        <w:pStyle w:val="BodyText"/>
        <w:spacing w:line="266" w:lineRule="auto"/>
        <w:ind w:left="479" w:right="611"/>
      </w:pPr>
      <w:r>
        <w:rPr>
          <w:color w:val="010202"/>
          <w:spacing w:val="-5"/>
        </w:rPr>
        <w:t>providers</w:t>
      </w:r>
      <w:r>
        <w:rPr>
          <w:color w:val="010202"/>
          <w:spacing w:val="-11"/>
        </w:rPr>
        <w:t> </w:t>
      </w:r>
      <w:r>
        <w:rPr>
          <w:color w:val="010202"/>
          <w:spacing w:val="-5"/>
        </w:rPr>
        <w:t>(both</w:t>
      </w:r>
      <w:r>
        <w:rPr>
          <w:color w:val="010202"/>
          <w:spacing w:val="-11"/>
        </w:rPr>
        <w:t> </w:t>
      </w:r>
      <w:r>
        <w:rPr>
          <w:color w:val="010202"/>
          <w:spacing w:val="-5"/>
        </w:rPr>
        <w:t>medical</w:t>
      </w:r>
      <w:r>
        <w:rPr>
          <w:color w:val="010202"/>
          <w:spacing w:val="-11"/>
        </w:rPr>
        <w:t> </w:t>
      </w:r>
      <w:r>
        <w:rPr>
          <w:color w:val="010202"/>
          <w:spacing w:val="-4"/>
        </w:rPr>
        <w:t>and</w:t>
      </w:r>
      <w:r>
        <w:rPr>
          <w:color w:val="010202"/>
          <w:spacing w:val="-10"/>
        </w:rPr>
        <w:t> </w:t>
      </w:r>
      <w:r>
        <w:rPr>
          <w:color w:val="010202"/>
          <w:spacing w:val="-4"/>
        </w:rPr>
        <w:t>non-medical)</w:t>
      </w:r>
      <w:r>
        <w:rPr>
          <w:color w:val="010202"/>
          <w:spacing w:val="-11"/>
        </w:rPr>
        <w:t> </w:t>
      </w:r>
      <w:r>
        <w:rPr>
          <w:color w:val="010202"/>
          <w:spacing w:val="-4"/>
        </w:rPr>
        <w:t>switched</w:t>
      </w:r>
      <w:r>
        <w:rPr>
          <w:color w:val="010202"/>
          <w:spacing w:val="-52"/>
        </w:rPr>
        <w:t> </w:t>
      </w:r>
      <w:r>
        <w:rPr>
          <w:color w:val="010202"/>
          <w:spacing w:val="-5"/>
        </w:rPr>
        <w:t>to telehealth. Through </w:t>
      </w:r>
      <w:r>
        <w:rPr>
          <w:color w:val="010202"/>
          <w:spacing w:val="-4"/>
        </w:rPr>
        <w:t>this process, the guardians</w:t>
      </w:r>
      <w:r>
        <w:rPr>
          <w:color w:val="010202"/>
          <w:spacing w:val="-3"/>
        </w:rPr>
        <w:t> </w:t>
      </w:r>
      <w:r>
        <w:rPr>
          <w:color w:val="010202"/>
          <w:spacing w:val="-4"/>
        </w:rPr>
        <w:t>learned to support providers and clients </w:t>
      </w:r>
      <w:r>
        <w:rPr>
          <w:color w:val="010202"/>
          <w:spacing w:val="-3"/>
        </w:rPr>
        <w:t>with</w:t>
      </w:r>
      <w:r>
        <w:rPr>
          <w:color w:val="010202"/>
          <w:spacing w:val="-2"/>
        </w:rPr>
        <w:t> </w:t>
      </w:r>
      <w:r>
        <w:rPr>
          <w:color w:val="010202"/>
          <w:spacing w:val="-5"/>
        </w:rPr>
        <w:t>technology</w:t>
      </w:r>
      <w:r>
        <w:rPr>
          <w:color w:val="010202"/>
          <w:spacing w:val="-9"/>
        </w:rPr>
        <w:t> </w:t>
      </w:r>
      <w:r>
        <w:rPr>
          <w:color w:val="010202"/>
          <w:spacing w:val="-5"/>
        </w:rPr>
        <w:t>needs</w:t>
      </w:r>
      <w:r>
        <w:rPr>
          <w:color w:val="010202"/>
          <w:spacing w:val="-8"/>
        </w:rPr>
        <w:t> </w:t>
      </w:r>
      <w:r>
        <w:rPr>
          <w:color w:val="010202"/>
          <w:spacing w:val="-5"/>
        </w:rPr>
        <w:t>during</w:t>
      </w:r>
      <w:r>
        <w:rPr>
          <w:color w:val="010202"/>
          <w:spacing w:val="-8"/>
        </w:rPr>
        <w:t> </w:t>
      </w:r>
      <w:r>
        <w:rPr>
          <w:color w:val="010202"/>
          <w:spacing w:val="-5"/>
        </w:rPr>
        <w:t>telehealth</w:t>
      </w:r>
      <w:r>
        <w:rPr>
          <w:color w:val="010202"/>
          <w:spacing w:val="-8"/>
        </w:rPr>
        <w:t> </w:t>
      </w:r>
      <w:r>
        <w:rPr>
          <w:color w:val="010202"/>
          <w:spacing w:val="-4"/>
        </w:rPr>
        <w:t>appointments.</w:t>
      </w:r>
    </w:p>
    <w:p>
      <w:pPr>
        <w:pStyle w:val="ListParagraph"/>
        <w:numPr>
          <w:ilvl w:val="0"/>
          <w:numId w:val="5"/>
        </w:numPr>
        <w:tabs>
          <w:tab w:pos="479" w:val="left" w:leader="none"/>
          <w:tab w:pos="480" w:val="left" w:leader="none"/>
        </w:tabs>
        <w:spacing w:line="264" w:lineRule="auto" w:before="25" w:after="0"/>
        <w:ind w:left="479" w:right="750" w:hanging="360"/>
        <w:jc w:val="left"/>
        <w:rPr>
          <w:sz w:val="22"/>
        </w:rPr>
      </w:pPr>
      <w:r>
        <w:rPr>
          <w:b/>
          <w:color w:val="010202"/>
          <w:spacing w:val="-2"/>
          <w:sz w:val="22"/>
        </w:rPr>
        <w:t>Diverse</w:t>
      </w:r>
      <w:r>
        <w:rPr>
          <w:b/>
          <w:color w:val="010202"/>
          <w:spacing w:val="-11"/>
          <w:sz w:val="22"/>
        </w:rPr>
        <w:t> </w:t>
      </w:r>
      <w:r>
        <w:rPr>
          <w:b/>
          <w:color w:val="010202"/>
          <w:spacing w:val="-2"/>
          <w:sz w:val="22"/>
        </w:rPr>
        <w:t>funding</w:t>
      </w:r>
      <w:r>
        <w:rPr>
          <w:b/>
          <w:color w:val="010202"/>
          <w:spacing w:val="-10"/>
          <w:sz w:val="22"/>
        </w:rPr>
        <w:t> </w:t>
      </w:r>
      <w:r>
        <w:rPr>
          <w:b/>
          <w:color w:val="010202"/>
          <w:spacing w:val="-2"/>
          <w:sz w:val="22"/>
        </w:rPr>
        <w:t>sources</w:t>
      </w:r>
      <w:r>
        <w:rPr>
          <w:b/>
          <w:color w:val="010202"/>
          <w:spacing w:val="-10"/>
          <w:sz w:val="22"/>
        </w:rPr>
        <w:t> </w:t>
      </w:r>
      <w:r>
        <w:rPr>
          <w:b/>
          <w:color w:val="010202"/>
          <w:spacing w:val="-2"/>
          <w:sz w:val="22"/>
        </w:rPr>
        <w:t>can</w:t>
      </w:r>
      <w:r>
        <w:rPr>
          <w:b/>
          <w:color w:val="010202"/>
          <w:spacing w:val="-11"/>
          <w:sz w:val="22"/>
        </w:rPr>
        <w:t> </w:t>
      </w:r>
      <w:r>
        <w:rPr>
          <w:b/>
          <w:color w:val="010202"/>
          <w:spacing w:val="-2"/>
          <w:sz w:val="22"/>
        </w:rPr>
        <w:t>support</w:t>
      </w:r>
      <w:r>
        <w:rPr>
          <w:b/>
          <w:color w:val="010202"/>
          <w:spacing w:val="-10"/>
          <w:sz w:val="22"/>
        </w:rPr>
        <w:t> </w:t>
      </w:r>
      <w:r>
        <w:rPr>
          <w:b/>
          <w:color w:val="010202"/>
          <w:spacing w:val="-2"/>
          <w:sz w:val="22"/>
        </w:rPr>
        <w:t>telehealth</w:t>
      </w:r>
      <w:r>
        <w:rPr>
          <w:b/>
          <w:color w:val="010202"/>
          <w:spacing w:val="-52"/>
          <w:sz w:val="22"/>
        </w:rPr>
        <w:t> </w:t>
      </w:r>
      <w:r>
        <w:rPr>
          <w:b/>
          <w:color w:val="010202"/>
          <w:spacing w:val="-3"/>
          <w:sz w:val="22"/>
        </w:rPr>
        <w:t>implementation. </w:t>
      </w:r>
      <w:r>
        <w:rPr>
          <w:color w:val="010202"/>
          <w:spacing w:val="-3"/>
          <w:sz w:val="22"/>
        </w:rPr>
        <w:t>A large portion of </w:t>
      </w:r>
      <w:r>
        <w:rPr>
          <w:color w:val="010202"/>
          <w:spacing w:val="-2"/>
          <w:sz w:val="22"/>
        </w:rPr>
        <w:t>telehealth</w:t>
      </w:r>
      <w:r>
        <w:rPr>
          <w:color w:val="010202"/>
          <w:spacing w:val="-1"/>
          <w:sz w:val="22"/>
        </w:rPr>
        <w:t> </w:t>
      </w:r>
      <w:r>
        <w:rPr>
          <w:color w:val="010202"/>
          <w:sz w:val="22"/>
        </w:rPr>
        <w:t>equipment needs were covered by community</w:t>
      </w:r>
      <w:r>
        <w:rPr>
          <w:color w:val="010202"/>
          <w:spacing w:val="1"/>
          <w:sz w:val="22"/>
        </w:rPr>
        <w:t> </w:t>
      </w:r>
      <w:r>
        <w:rPr>
          <w:color w:val="010202"/>
          <w:sz w:val="22"/>
        </w:rPr>
        <w:t>partner Care Compass Network, and REACH</w:t>
      </w:r>
      <w:r>
        <w:rPr>
          <w:color w:val="010202"/>
          <w:spacing w:val="1"/>
          <w:sz w:val="22"/>
        </w:rPr>
        <w:t> </w:t>
      </w:r>
      <w:r>
        <w:rPr>
          <w:color w:val="010202"/>
          <w:sz w:val="22"/>
        </w:rPr>
        <w:t>provided additional funds. Diverse funding</w:t>
      </w:r>
      <w:r>
        <w:rPr>
          <w:color w:val="010202"/>
          <w:spacing w:val="1"/>
          <w:sz w:val="22"/>
        </w:rPr>
        <w:t> </w:t>
      </w:r>
      <w:r>
        <w:rPr>
          <w:color w:val="010202"/>
          <w:spacing w:val="-1"/>
          <w:sz w:val="22"/>
        </w:rPr>
        <w:t>sources helped to facilitate implementation </w:t>
      </w:r>
      <w:r>
        <w:rPr>
          <w:color w:val="010202"/>
          <w:sz w:val="22"/>
        </w:rPr>
        <w:t>and</w:t>
      </w:r>
      <w:r>
        <w:rPr>
          <w:color w:val="010202"/>
          <w:spacing w:val="1"/>
          <w:sz w:val="22"/>
        </w:rPr>
        <w:t> </w:t>
      </w:r>
      <w:r>
        <w:rPr>
          <w:color w:val="010202"/>
          <w:sz w:val="22"/>
        </w:rPr>
        <w:t>will</w:t>
      </w:r>
      <w:r>
        <w:rPr>
          <w:color w:val="010202"/>
          <w:spacing w:val="-10"/>
          <w:sz w:val="22"/>
        </w:rPr>
        <w:t> </w:t>
      </w:r>
      <w:r>
        <w:rPr>
          <w:color w:val="010202"/>
          <w:sz w:val="22"/>
        </w:rPr>
        <w:t>support</w:t>
      </w:r>
      <w:r>
        <w:rPr>
          <w:color w:val="010202"/>
          <w:spacing w:val="-9"/>
          <w:sz w:val="22"/>
        </w:rPr>
        <w:t> </w:t>
      </w:r>
      <w:r>
        <w:rPr>
          <w:color w:val="010202"/>
          <w:sz w:val="22"/>
        </w:rPr>
        <w:t>long-term</w:t>
      </w:r>
      <w:r>
        <w:rPr>
          <w:color w:val="010202"/>
          <w:spacing w:val="-9"/>
          <w:sz w:val="22"/>
        </w:rPr>
        <w:t> </w:t>
      </w:r>
      <w:r>
        <w:rPr>
          <w:color w:val="010202"/>
          <w:sz w:val="22"/>
        </w:rPr>
        <w:t>sustainability.</w:t>
      </w:r>
    </w:p>
    <w:p>
      <w:pPr>
        <w:pStyle w:val="BodyText"/>
        <w:spacing w:before="2"/>
        <w:rPr>
          <w:sz w:val="24"/>
        </w:rPr>
      </w:pPr>
    </w:p>
    <w:p>
      <w:pPr>
        <w:pStyle w:val="BodyText"/>
        <w:ind w:left="-240"/>
        <w:rPr>
          <w:sz w:val="20"/>
        </w:rPr>
      </w:pPr>
      <w:r>
        <w:rPr>
          <w:sz w:val="20"/>
        </w:rPr>
        <w:pict>
          <v:group style="width:252pt;height:77.8pt;mso-position-horizontal-relative:char;mso-position-vertical-relative:line" id="docshapegroup178" coordorigin="0,0" coordsize="5040,1556">
            <v:shape style="position:absolute;left:0;top:0;width:5040;height:1556" id="docshape179" coordorigin="0,0" coordsize="5040,1556" path="m4950,0l90,0,55,7,26,26,7,55,0,90,0,1465,7,1500,26,1529,55,1548,90,1555,4950,1555,4985,1548,5014,1529,5033,1500,5040,1465,5040,90,5033,55,5014,26,4985,7,4950,0xe" filled="true" fillcolor="#f7e0e0" stroked="false">
              <v:path arrowok="t"/>
              <v:fill type="solid"/>
            </v:shape>
            <v:shape style="position:absolute;left:0;top:0;width:5040;height:1556" type="#_x0000_t202" id="docshape180" filled="false" stroked="false">
              <v:textbox inset="0,0,0,0">
                <w:txbxContent>
                  <w:p>
                    <w:pPr>
                      <w:spacing w:line="259" w:lineRule="auto" w:before="136"/>
                      <w:ind w:left="180" w:right="404" w:firstLine="0"/>
                      <w:jc w:val="left"/>
                      <w:rPr>
                        <w:rFonts w:ascii="Arial" w:hAnsi="Arial"/>
                        <w:sz w:val="21"/>
                      </w:rPr>
                    </w:pPr>
                    <w:r>
                      <w:rPr>
                        <w:rFonts w:ascii="Arial" w:hAnsi="Arial"/>
                        <w:color w:val="010202"/>
                        <w:sz w:val="21"/>
                      </w:rPr>
                      <w:t>“It is not about how do you [as a provider] reach</w:t>
                    </w:r>
                    <w:r>
                      <w:rPr>
                        <w:rFonts w:ascii="Arial" w:hAnsi="Arial"/>
                        <w:color w:val="010202"/>
                        <w:spacing w:val="-57"/>
                        <w:sz w:val="21"/>
                      </w:rPr>
                      <w:t> </w:t>
                    </w:r>
                    <w:r>
                      <w:rPr>
                        <w:rFonts w:ascii="Arial" w:hAnsi="Arial"/>
                        <w:color w:val="010202"/>
                        <w:sz w:val="21"/>
                      </w:rPr>
                      <w:t>your</w:t>
                    </w:r>
                    <w:r>
                      <w:rPr>
                        <w:rFonts w:ascii="Arial" w:hAnsi="Arial"/>
                        <w:color w:val="010202"/>
                        <w:spacing w:val="-3"/>
                        <w:sz w:val="21"/>
                      </w:rPr>
                      <w:t> </w:t>
                    </w:r>
                    <w:r>
                      <w:rPr>
                        <w:rFonts w:ascii="Arial" w:hAnsi="Arial"/>
                        <w:color w:val="010202"/>
                        <w:sz w:val="21"/>
                      </w:rPr>
                      <w:t>clients,</w:t>
                    </w:r>
                    <w:r>
                      <w:rPr>
                        <w:rFonts w:ascii="Arial" w:hAnsi="Arial"/>
                        <w:color w:val="010202"/>
                        <w:spacing w:val="-2"/>
                        <w:sz w:val="21"/>
                      </w:rPr>
                      <w:t> </w:t>
                    </w:r>
                    <w:r>
                      <w:rPr>
                        <w:rFonts w:ascii="Arial" w:hAnsi="Arial"/>
                        <w:color w:val="010202"/>
                        <w:sz w:val="21"/>
                      </w:rPr>
                      <w:t>but</w:t>
                    </w:r>
                    <w:r>
                      <w:rPr>
                        <w:rFonts w:ascii="Arial" w:hAnsi="Arial"/>
                        <w:color w:val="010202"/>
                        <w:spacing w:val="-2"/>
                        <w:sz w:val="21"/>
                      </w:rPr>
                      <w:t> </w:t>
                    </w:r>
                    <w:r>
                      <w:rPr>
                        <w:rFonts w:ascii="Arial" w:hAnsi="Arial"/>
                        <w:color w:val="010202"/>
                        <w:sz w:val="21"/>
                      </w:rPr>
                      <w:t>how</w:t>
                    </w:r>
                    <w:r>
                      <w:rPr>
                        <w:rFonts w:ascii="Arial" w:hAnsi="Arial"/>
                        <w:color w:val="010202"/>
                        <w:spacing w:val="-2"/>
                        <w:sz w:val="21"/>
                      </w:rPr>
                      <w:t> </w:t>
                    </w:r>
                    <w:r>
                      <w:rPr>
                        <w:rFonts w:ascii="Arial" w:hAnsi="Arial"/>
                        <w:color w:val="010202"/>
                        <w:sz w:val="21"/>
                      </w:rPr>
                      <w:t>do</w:t>
                    </w:r>
                    <w:r>
                      <w:rPr>
                        <w:rFonts w:ascii="Arial" w:hAnsi="Arial"/>
                        <w:color w:val="010202"/>
                        <w:spacing w:val="-2"/>
                        <w:sz w:val="21"/>
                      </w:rPr>
                      <w:t> </w:t>
                    </w:r>
                    <w:r>
                      <w:rPr>
                        <w:rFonts w:ascii="Arial" w:hAnsi="Arial"/>
                        <w:color w:val="010202"/>
                        <w:sz w:val="21"/>
                      </w:rPr>
                      <w:t>your</w:t>
                    </w:r>
                    <w:r>
                      <w:rPr>
                        <w:rFonts w:ascii="Arial" w:hAnsi="Arial"/>
                        <w:color w:val="010202"/>
                        <w:spacing w:val="-2"/>
                        <w:sz w:val="21"/>
                      </w:rPr>
                      <w:t> </w:t>
                    </w:r>
                    <w:r>
                      <w:rPr>
                        <w:rFonts w:ascii="Arial" w:hAnsi="Arial"/>
                        <w:color w:val="010202"/>
                        <w:sz w:val="21"/>
                      </w:rPr>
                      <w:t>clients</w:t>
                    </w:r>
                    <w:r>
                      <w:rPr>
                        <w:rFonts w:ascii="Arial" w:hAnsi="Arial"/>
                        <w:color w:val="010202"/>
                        <w:spacing w:val="-2"/>
                        <w:sz w:val="21"/>
                      </w:rPr>
                      <w:t> </w:t>
                    </w:r>
                    <w:r>
                      <w:rPr>
                        <w:rFonts w:ascii="Arial" w:hAnsi="Arial"/>
                        <w:color w:val="010202"/>
                        <w:sz w:val="21"/>
                      </w:rPr>
                      <w:t>reach</w:t>
                    </w:r>
                    <w:r>
                      <w:rPr>
                        <w:rFonts w:ascii="Arial" w:hAnsi="Arial"/>
                        <w:color w:val="010202"/>
                        <w:spacing w:val="-2"/>
                        <w:sz w:val="21"/>
                      </w:rPr>
                      <w:t> </w:t>
                    </w:r>
                    <w:r>
                      <w:rPr>
                        <w:rFonts w:ascii="Arial" w:hAnsi="Arial"/>
                        <w:color w:val="010202"/>
                        <w:sz w:val="21"/>
                      </w:rPr>
                      <w:t>you.”</w:t>
                    </w:r>
                  </w:p>
                  <w:p>
                    <w:pPr>
                      <w:spacing w:before="178"/>
                      <w:ind w:left="180" w:right="0" w:firstLine="0"/>
                      <w:jc w:val="left"/>
                      <w:rPr>
                        <w:rFonts w:ascii="Arial"/>
                        <w:sz w:val="21"/>
                      </w:rPr>
                    </w:pPr>
                    <w:r>
                      <w:rPr>
                        <w:rFonts w:ascii="Arial"/>
                        <w:color w:val="010202"/>
                        <w:sz w:val="21"/>
                      </w:rPr>
                      <w:t>Judy</w:t>
                    </w:r>
                    <w:r>
                      <w:rPr>
                        <w:rFonts w:ascii="Arial"/>
                        <w:color w:val="010202"/>
                        <w:spacing w:val="-2"/>
                        <w:sz w:val="21"/>
                      </w:rPr>
                      <w:t> </w:t>
                    </w:r>
                    <w:r>
                      <w:rPr>
                        <w:rFonts w:ascii="Arial"/>
                        <w:color w:val="010202"/>
                        <w:sz w:val="21"/>
                      </w:rPr>
                      <w:t>Griffin,</w:t>
                    </w:r>
                    <w:r>
                      <w:rPr>
                        <w:rFonts w:ascii="Arial"/>
                        <w:color w:val="010202"/>
                        <w:spacing w:val="-2"/>
                        <w:sz w:val="21"/>
                      </w:rPr>
                      <w:t> </w:t>
                    </w:r>
                    <w:r>
                      <w:rPr>
                        <w:rFonts w:ascii="Arial"/>
                        <w:color w:val="010202"/>
                        <w:sz w:val="21"/>
                      </w:rPr>
                      <w:t>MD</w:t>
                    </w:r>
                  </w:p>
                  <w:p>
                    <w:pPr>
                      <w:spacing w:before="18"/>
                      <w:ind w:left="180" w:right="0" w:firstLine="0"/>
                      <w:jc w:val="left"/>
                      <w:rPr>
                        <w:rFonts w:ascii="Arial"/>
                        <w:i/>
                        <w:sz w:val="21"/>
                      </w:rPr>
                    </w:pPr>
                    <w:r>
                      <w:rPr>
                        <w:rFonts w:ascii="Arial"/>
                        <w:i/>
                        <w:color w:val="010202"/>
                        <w:sz w:val="21"/>
                      </w:rPr>
                      <w:t>Director</w:t>
                    </w:r>
                    <w:r>
                      <w:rPr>
                        <w:rFonts w:ascii="Arial"/>
                        <w:i/>
                        <w:color w:val="010202"/>
                        <w:spacing w:val="-1"/>
                        <w:sz w:val="21"/>
                      </w:rPr>
                      <w:t> </w:t>
                    </w:r>
                    <w:r>
                      <w:rPr>
                        <w:rFonts w:ascii="Arial"/>
                        <w:i/>
                        <w:color w:val="010202"/>
                        <w:sz w:val="21"/>
                      </w:rPr>
                      <w:t>of Research and Physician, REACH</w:t>
                    </w:r>
                  </w:p>
                </w:txbxContent>
              </v:textbox>
              <w10:wrap type="none"/>
            </v:shape>
          </v:group>
        </w:pict>
      </w:r>
      <w:r>
        <w:rPr>
          <w:sz w:val="20"/>
        </w:rPr>
      </w:r>
    </w:p>
    <w:p>
      <w:pPr>
        <w:spacing w:after="0"/>
        <w:rPr>
          <w:sz w:val="20"/>
        </w:rPr>
        <w:sectPr>
          <w:type w:val="continuous"/>
          <w:pgSz w:w="12240" w:h="15840"/>
          <w:pgMar w:header="0" w:footer="666" w:top="1500" w:bottom="0" w:left="600" w:right="0"/>
          <w:cols w:num="2" w:equalWidth="0">
            <w:col w:w="5200" w:space="920"/>
            <w:col w:w="5520"/>
          </w:cols>
        </w:sectPr>
      </w:pPr>
    </w:p>
    <w:p>
      <w:pPr>
        <w:pStyle w:val="BodyText"/>
        <w:rPr>
          <w:sz w:val="20"/>
        </w:rPr>
      </w:pPr>
      <w:r>
        <w:rPr/>
        <w:pict>
          <v:rect style="position:absolute;margin-left:0pt;margin-top:116.330101pt;width:612pt;height:1pt;mso-position-horizontal-relative:page;mso-position-vertical-relative:page;z-index:-17862656" id="docshape181" filled="true" fillcolor="#ce372e" stroked="false">
            <v:fill type="solid"/>
            <w10:wrap type="none"/>
          </v:rect>
        </w:pict>
      </w:r>
    </w:p>
    <w:p>
      <w:pPr>
        <w:pStyle w:val="BodyText"/>
        <w:rPr>
          <w:sz w:val="20"/>
        </w:rPr>
      </w:pPr>
    </w:p>
    <w:p>
      <w:pPr>
        <w:pStyle w:val="BodyText"/>
        <w:rPr>
          <w:sz w:val="20"/>
        </w:rPr>
      </w:pPr>
    </w:p>
    <w:p>
      <w:pPr>
        <w:pStyle w:val="Heading2"/>
      </w:pPr>
      <w:r>
        <w:rPr>
          <w:color w:val="231F20"/>
        </w:rPr>
        <w:t>Reference</w:t>
      </w:r>
      <w:r>
        <w:rPr>
          <w:color w:val="231F20"/>
          <w:spacing w:val="-6"/>
        </w:rPr>
        <w:t> </w:t>
      </w:r>
      <w:r>
        <w:rPr>
          <w:color w:val="231F20"/>
        </w:rPr>
        <w:t>List</w:t>
      </w:r>
    </w:p>
    <w:p>
      <w:pPr>
        <w:pStyle w:val="BodyText"/>
        <w:rPr>
          <w:rFonts w:ascii="Arial Black"/>
          <w:sz w:val="20"/>
        </w:rPr>
      </w:pPr>
    </w:p>
    <w:p>
      <w:pPr>
        <w:pStyle w:val="BodyText"/>
        <w:rPr>
          <w:rFonts w:ascii="Arial Black"/>
          <w:sz w:val="20"/>
        </w:rPr>
      </w:pPr>
    </w:p>
    <w:p>
      <w:pPr>
        <w:pStyle w:val="BodyText"/>
        <w:spacing w:before="8"/>
        <w:rPr>
          <w:rFonts w:ascii="Arial Black"/>
          <w:sz w:val="16"/>
        </w:rPr>
      </w:pPr>
    </w:p>
    <w:p>
      <w:pPr>
        <w:pStyle w:val="BodyText"/>
        <w:tabs>
          <w:tab w:pos="479" w:val="left" w:leader="none"/>
        </w:tabs>
        <w:spacing w:line="246" w:lineRule="exact" w:before="91"/>
        <w:ind w:left="120"/>
      </w:pPr>
      <w:r>
        <w:rPr>
          <w:color w:val="231F20"/>
        </w:rPr>
        <w:t>1</w:t>
        <w:tab/>
      </w:r>
      <w:r>
        <w:rPr>
          <w:color w:val="231F20"/>
          <w:spacing w:val="-1"/>
        </w:rPr>
        <w:t>Weintraub,</w:t>
      </w:r>
      <w:r>
        <w:rPr>
          <w:color w:val="231F20"/>
        </w:rPr>
        <w:t> </w:t>
      </w:r>
      <w:r>
        <w:rPr>
          <w:color w:val="231F20"/>
          <w:spacing w:val="-1"/>
        </w:rPr>
        <w:t>E.,</w:t>
      </w:r>
      <w:r>
        <w:rPr>
          <w:color w:val="231F20"/>
        </w:rPr>
        <w:t> </w:t>
      </w:r>
      <w:r>
        <w:rPr>
          <w:color w:val="231F20"/>
          <w:spacing w:val="-1"/>
        </w:rPr>
        <w:t>Greenblatt,</w:t>
      </w:r>
      <w:r>
        <w:rPr>
          <w:color w:val="231F20"/>
          <w:spacing w:val="-13"/>
        </w:rPr>
        <w:t> </w:t>
      </w:r>
      <w:r>
        <w:rPr>
          <w:color w:val="231F20"/>
          <w:spacing w:val="-1"/>
        </w:rPr>
        <w:t>A.</w:t>
      </w:r>
      <w:r>
        <w:rPr>
          <w:color w:val="231F20"/>
        </w:rPr>
        <w:t> </w:t>
      </w:r>
      <w:r>
        <w:rPr>
          <w:color w:val="231F20"/>
          <w:spacing w:val="-1"/>
        </w:rPr>
        <w:t>D.,</w:t>
      </w:r>
      <w:r>
        <w:rPr>
          <w:color w:val="231F20"/>
          <w:spacing w:val="1"/>
        </w:rPr>
        <w:t> </w:t>
      </w:r>
      <w:r>
        <w:rPr>
          <w:color w:val="231F20"/>
          <w:spacing w:val="-1"/>
        </w:rPr>
        <w:t>Chang,</w:t>
      </w:r>
      <w:r>
        <w:rPr>
          <w:color w:val="231F20"/>
        </w:rPr>
        <w:t> </w:t>
      </w:r>
      <w:r>
        <w:rPr>
          <w:color w:val="231F20"/>
          <w:spacing w:val="-1"/>
        </w:rPr>
        <w:t>J.,</w:t>
      </w:r>
      <w:r>
        <w:rPr>
          <w:color w:val="231F20"/>
          <w:spacing w:val="-4"/>
        </w:rPr>
        <w:t> </w:t>
      </w:r>
      <w:r>
        <w:rPr>
          <w:color w:val="231F20"/>
        </w:rPr>
        <w:t>Welsh,</w:t>
      </w:r>
    </w:p>
    <w:p>
      <w:pPr>
        <w:pStyle w:val="BodyText"/>
        <w:spacing w:line="228" w:lineRule="auto" w:before="4"/>
        <w:ind w:left="479" w:right="6838"/>
      </w:pPr>
      <w:r>
        <w:rPr>
          <w:color w:val="231F20"/>
          <w:spacing w:val="-1"/>
        </w:rPr>
        <w:t>C. J., Berthiaume, A. P., Goodwin, S. R., Arnold,</w:t>
      </w:r>
      <w:r>
        <w:rPr>
          <w:color w:val="231F20"/>
          <w:spacing w:val="-52"/>
        </w:rPr>
        <w:t> </w:t>
      </w:r>
      <w:r>
        <w:rPr>
          <w:color w:val="231F20"/>
        </w:rPr>
        <w:t>R.,</w:t>
      </w:r>
      <w:r>
        <w:rPr>
          <w:color w:val="231F20"/>
          <w:spacing w:val="-2"/>
        </w:rPr>
        <w:t> </w:t>
      </w:r>
      <w:r>
        <w:rPr>
          <w:color w:val="231F20"/>
        </w:rPr>
        <w:t>Himelhoch,</w:t>
      </w:r>
      <w:r>
        <w:rPr>
          <w:color w:val="231F20"/>
          <w:spacing w:val="-1"/>
        </w:rPr>
        <w:t> </w:t>
      </w:r>
      <w:r>
        <w:rPr>
          <w:color w:val="231F20"/>
        </w:rPr>
        <w:t>S.</w:t>
      </w:r>
      <w:r>
        <w:rPr>
          <w:color w:val="231F20"/>
          <w:spacing w:val="-1"/>
        </w:rPr>
        <w:t> </w:t>
      </w:r>
      <w:r>
        <w:rPr>
          <w:color w:val="231F20"/>
        </w:rPr>
        <w:t>S.,</w:t>
      </w:r>
      <w:r>
        <w:rPr>
          <w:color w:val="231F20"/>
          <w:spacing w:val="-1"/>
        </w:rPr>
        <w:t> </w:t>
      </w:r>
      <w:r>
        <w:rPr>
          <w:color w:val="231F20"/>
        </w:rPr>
        <w:t>Bennett,</w:t>
      </w:r>
      <w:r>
        <w:rPr>
          <w:color w:val="231F20"/>
          <w:spacing w:val="-1"/>
        </w:rPr>
        <w:t> </w:t>
      </w:r>
      <w:r>
        <w:rPr>
          <w:color w:val="231F20"/>
        </w:rPr>
        <w:t>M.</w:t>
      </w:r>
      <w:r>
        <w:rPr>
          <w:color w:val="231F20"/>
          <w:spacing w:val="-2"/>
        </w:rPr>
        <w:t> </w:t>
      </w:r>
      <w:r>
        <w:rPr>
          <w:color w:val="231F20"/>
        </w:rPr>
        <w:t>E.,</w:t>
      </w:r>
      <w:r>
        <w:rPr>
          <w:color w:val="231F20"/>
          <w:spacing w:val="-1"/>
        </w:rPr>
        <w:t> </w:t>
      </w:r>
      <w:r>
        <w:rPr>
          <w:color w:val="231F20"/>
        </w:rPr>
        <w:t>&amp;</w:t>
      </w:r>
      <w:r>
        <w:rPr>
          <w:color w:val="231F20"/>
          <w:spacing w:val="-1"/>
        </w:rPr>
        <w:t> </w:t>
      </w:r>
      <w:r>
        <w:rPr>
          <w:color w:val="231F20"/>
        </w:rPr>
        <w:t>Belcher,</w:t>
      </w:r>
    </w:p>
    <w:p>
      <w:pPr>
        <w:pStyle w:val="BodyText"/>
        <w:spacing w:line="228" w:lineRule="auto"/>
        <w:ind w:left="479" w:right="6648"/>
      </w:pPr>
      <w:r>
        <w:rPr>
          <w:color w:val="231F20"/>
        </w:rPr>
        <w:t>A. M. (2021). Outcomes for patients receiving</w:t>
      </w:r>
      <w:r>
        <w:rPr>
          <w:color w:val="231F20"/>
          <w:spacing w:val="1"/>
        </w:rPr>
        <w:t> </w:t>
      </w:r>
      <w:r>
        <w:rPr>
          <w:color w:val="231F20"/>
        </w:rPr>
        <w:t>telemedicine-delivered medication-based treatment</w:t>
      </w:r>
      <w:r>
        <w:rPr>
          <w:color w:val="231F20"/>
          <w:spacing w:val="-52"/>
        </w:rPr>
        <w:t> </w:t>
      </w:r>
      <w:r>
        <w:rPr>
          <w:color w:val="231F20"/>
        </w:rPr>
        <w:t>for opioid use disorder: A retrospective chart</w:t>
      </w:r>
      <w:r>
        <w:rPr>
          <w:color w:val="231F20"/>
          <w:spacing w:val="1"/>
        </w:rPr>
        <w:t> </w:t>
      </w:r>
      <w:r>
        <w:rPr>
          <w:color w:val="231F20"/>
          <w:spacing w:val="-1"/>
        </w:rPr>
        <w:t>review. </w:t>
      </w:r>
      <w:r>
        <w:rPr>
          <w:color w:val="231F20"/>
        </w:rPr>
        <w:t>Heroin Addiction and Related Clinical</w:t>
      </w:r>
      <w:r>
        <w:rPr>
          <w:color w:val="231F20"/>
          <w:spacing w:val="1"/>
        </w:rPr>
        <w:t> </w:t>
      </w:r>
      <w:r>
        <w:rPr>
          <w:color w:val="231F20"/>
        </w:rPr>
        <w:t>Problems, 23(2), 5.</w:t>
      </w:r>
      <w:r>
        <w:rPr>
          <w:color w:val="3953A4"/>
        </w:rPr>
        <w:t> </w:t>
      </w:r>
      <w:hyperlink r:id="rId326">
        <w:r>
          <w:rPr>
            <w:color w:val="3953A4"/>
            <w:u w:val="single" w:color="3953A4"/>
          </w:rPr>
          <w:t>https://europepmc.org/article/</w:t>
        </w:r>
      </w:hyperlink>
      <w:r>
        <w:rPr>
          <w:color w:val="3953A4"/>
          <w:spacing w:val="1"/>
        </w:rPr>
        <w:t> </w:t>
      </w:r>
      <w:hyperlink r:id="rId326">
        <w:r>
          <w:rPr>
            <w:color w:val="3953A4"/>
            <w:u w:val="single" w:color="3953A4"/>
          </w:rPr>
          <w:t>med/33551692</w:t>
        </w:r>
      </w:hyperlink>
    </w:p>
    <w:p>
      <w:pPr>
        <w:spacing w:after="0" w:line="228" w:lineRule="auto"/>
        <w:sectPr>
          <w:pgSz w:w="12240" w:h="15840"/>
          <w:pgMar w:header="0" w:footer="666" w:top="380" w:bottom="860" w:left="600" w:right="0"/>
        </w:sectPr>
      </w:pPr>
    </w:p>
    <w:p>
      <w:pPr>
        <w:pStyle w:val="BodyText"/>
        <w:ind w:left="-600"/>
        <w:rPr>
          <w:sz w:val="20"/>
        </w:rPr>
      </w:pPr>
      <w:bookmarkStart w:name="_bookmark5" w:id="35"/>
      <w:bookmarkEnd w:id="35"/>
      <w:r>
        <w:rPr/>
      </w:r>
      <w:r>
        <w:rPr>
          <w:sz w:val="20"/>
        </w:rPr>
        <w:pict>
          <v:group style="width:119.55pt;height:111.25pt;mso-position-horizontal-relative:char;mso-position-vertical-relative:line" id="docshapegroup185" coordorigin="0,0" coordsize="2391,2225">
            <v:rect style="position:absolute;left:0;top:0;width:720;height:394" id="docshape186" filled="true" fillcolor="#1d384a" stroked="false">
              <v:fill type="solid"/>
            </v:rect>
            <v:shape style="position:absolute;left:720;top:0;width:1671;height:2225" type="#_x0000_t202" id="docshape187" filled="true" fillcolor="#cf382d" stroked="false">
              <v:textbox inset="0,0,0,0">
                <w:txbxContent>
                  <w:p>
                    <w:pPr>
                      <w:spacing w:line="1580" w:lineRule="exact" w:before="644"/>
                      <w:ind w:left="354" w:right="0" w:firstLine="0"/>
                      <w:jc w:val="left"/>
                      <w:rPr>
                        <w:rFonts w:ascii="Arial"/>
                        <w:color w:val="000000"/>
                        <w:sz w:val="16"/>
                      </w:rPr>
                    </w:pPr>
                    <w:bookmarkStart w:name="5 Resources for Evaluation and Quality I" w:id="36"/>
                    <w:bookmarkEnd w:id="36"/>
                    <w:r>
                      <w:rPr>
                        <w:color w:val="000000"/>
                      </w:rPr>
                    </w:r>
                    <w:bookmarkStart w:name="Types of Evaluations" w:id="37"/>
                    <w:bookmarkEnd w:id="37"/>
                    <w:r>
                      <w:rPr>
                        <w:color w:val="000000"/>
                      </w:rPr>
                    </w:r>
                    <w:r>
                      <w:rPr>
                        <w:rFonts w:ascii="Arial Black"/>
                        <w:color w:val="FFFFFF"/>
                        <w:spacing w:val="-911"/>
                        <w:position w:val="-119"/>
                        <w:sz w:val="144"/>
                      </w:rPr>
                      <w:t>5</w:t>
                    </w:r>
                    <w:r>
                      <w:rPr>
                        <w:rFonts w:ascii="Arial"/>
                        <w:color w:val="FFFFFF"/>
                        <w:spacing w:val="16"/>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spacing w:after="0"/>
        <w:rPr>
          <w:sz w:val="25"/>
        </w:rPr>
        <w:sectPr>
          <w:headerReference w:type="default" r:id="rId327"/>
          <w:footerReference w:type="default" r:id="rId328"/>
          <w:pgSz w:w="12240" w:h="15840"/>
          <w:pgMar w:header="0" w:footer="666" w:top="0" w:bottom="860" w:left="600" w:right="0"/>
        </w:sectPr>
      </w:pPr>
    </w:p>
    <w:p>
      <w:pPr>
        <w:pStyle w:val="BodyText"/>
        <w:spacing w:line="266" w:lineRule="auto" w:before="90"/>
        <w:ind w:left="120" w:right="66"/>
      </w:pPr>
      <w:r>
        <w:rPr/>
        <w:pict>
          <v:group style="position:absolute;margin-left:35.5pt;margin-top:0pt;width:576.5pt;height:283.5pt;mso-position-horizontal-relative:page;mso-position-vertical-relative:page;z-index:-17861632" id="docshapegroup188" coordorigin="710,0" coordsize="11530,5670">
            <v:rect style="position:absolute;left:2390;top:0;width:9850;height:394" id="docshape189" filled="true" fillcolor="#1d384a" stroked="false">
              <v:fill type="solid"/>
            </v:rect>
            <v:shape style="position:absolute;left:6480;top:393;width:5760;height:5188" type="#_x0000_t75" id="docshape190" alt="Picture of a person pointing to graphs on a tablet.  " stroked="false">
              <v:imagedata r:id="rId329" o:title=""/>
            </v:shape>
            <v:line style="position:absolute" from="710,5660" to="5760,5660" stroked="true" strokeweight="1pt" strokecolor="#ce372e">
              <v:stroke dashstyle="solid"/>
            </v:line>
            <v:shape style="position:absolute;left:710;top:0;width:11530;height:5670" type="#_x0000_t202" id="docshape191" filled="false" stroked="false">
              <v:textbox inset="0,0,0,0">
                <w:txbxContent>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5"/>
                      <w:rPr>
                        <w:sz w:val="58"/>
                      </w:rPr>
                    </w:pPr>
                  </w:p>
                  <w:p>
                    <w:pPr>
                      <w:spacing w:line="196" w:lineRule="auto" w:before="0"/>
                      <w:ind w:left="10" w:right="6676" w:firstLine="0"/>
                      <w:jc w:val="left"/>
                      <w:rPr>
                        <w:rFonts w:ascii="Arial Black"/>
                        <w:sz w:val="40"/>
                      </w:rPr>
                    </w:pPr>
                    <w:r>
                      <w:rPr>
                        <w:rFonts w:ascii="Arial Black"/>
                        <w:color w:val="1C384B"/>
                        <w:sz w:val="40"/>
                      </w:rPr>
                      <w:t>Resources for</w:t>
                    </w:r>
                    <w:r>
                      <w:rPr>
                        <w:rFonts w:ascii="Arial Black"/>
                        <w:color w:val="1C384B"/>
                        <w:spacing w:val="1"/>
                        <w:sz w:val="40"/>
                      </w:rPr>
                      <w:t> </w:t>
                    </w:r>
                    <w:r>
                      <w:rPr>
                        <w:rFonts w:ascii="Arial Black"/>
                        <w:color w:val="1C384B"/>
                        <w:spacing w:val="-3"/>
                        <w:sz w:val="40"/>
                      </w:rPr>
                      <w:t>Evaluation</w:t>
                    </w:r>
                    <w:r>
                      <w:rPr>
                        <w:rFonts w:ascii="Arial Black"/>
                        <w:color w:val="1C384B"/>
                        <w:spacing w:val="-30"/>
                        <w:sz w:val="40"/>
                      </w:rPr>
                      <w:t> </w:t>
                    </w:r>
                    <w:r>
                      <w:rPr>
                        <w:rFonts w:ascii="Arial Black"/>
                        <w:color w:val="1C384B"/>
                        <w:spacing w:val="-2"/>
                        <w:sz w:val="40"/>
                      </w:rPr>
                      <w:t>and</w:t>
                    </w:r>
                    <w:r>
                      <w:rPr>
                        <w:rFonts w:ascii="Arial Black"/>
                        <w:color w:val="1C384B"/>
                        <w:spacing w:val="-30"/>
                        <w:sz w:val="40"/>
                      </w:rPr>
                      <w:t> </w:t>
                    </w:r>
                    <w:r>
                      <w:rPr>
                        <w:rFonts w:ascii="Arial Black"/>
                        <w:color w:val="1C384B"/>
                        <w:spacing w:val="-2"/>
                        <w:sz w:val="40"/>
                      </w:rPr>
                      <w:t>Quality</w:t>
                    </w:r>
                    <w:r>
                      <w:rPr>
                        <w:rFonts w:ascii="Arial Black"/>
                        <w:color w:val="1C384B"/>
                        <w:spacing w:val="-130"/>
                        <w:sz w:val="40"/>
                      </w:rPr>
                      <w:t> </w:t>
                    </w:r>
                    <w:r>
                      <w:rPr>
                        <w:rFonts w:ascii="Arial Black"/>
                        <w:color w:val="1C384B"/>
                        <w:sz w:val="40"/>
                      </w:rPr>
                      <w:t>Improvement</w:t>
                    </w:r>
                  </w:p>
                </w:txbxContent>
              </v:textbox>
              <w10:wrap type="none"/>
            </v:shape>
            <w10:wrap type="none"/>
          </v:group>
        </w:pict>
      </w:r>
      <w:r>
        <w:rPr>
          <w:color w:val="231F20"/>
        </w:rPr>
        <w:t>Evaluating an intervention can answer critical questions</w:t>
      </w:r>
      <w:r>
        <w:rPr>
          <w:color w:val="231F20"/>
          <w:spacing w:val="-52"/>
        </w:rPr>
        <w:t> </w:t>
      </w:r>
      <w:r>
        <w:rPr>
          <w:color w:val="231F20"/>
        </w:rPr>
        <w:t>about how well a practice has been implemented and</w:t>
      </w:r>
      <w:r>
        <w:rPr>
          <w:color w:val="231F20"/>
          <w:spacing w:val="1"/>
        </w:rPr>
        <w:t> </w:t>
      </w:r>
      <w:r>
        <w:rPr>
          <w:color w:val="231F20"/>
        </w:rPr>
        <w:t>determine what may or may not be working. Evaluation</w:t>
      </w:r>
      <w:r>
        <w:rPr>
          <w:color w:val="231F20"/>
          <w:spacing w:val="-52"/>
        </w:rPr>
        <w:t> </w:t>
      </w:r>
      <w:r>
        <w:rPr>
          <w:color w:val="231F20"/>
        </w:rPr>
        <w:t>can</w:t>
      </w:r>
      <w:r>
        <w:rPr>
          <w:color w:val="231F20"/>
          <w:spacing w:val="-1"/>
        </w:rPr>
        <w:t> </w:t>
      </w:r>
      <w:r>
        <w:rPr>
          <w:color w:val="231F20"/>
        </w:rPr>
        <w:t>also</w:t>
      </w:r>
      <w:r>
        <w:rPr>
          <w:color w:val="231F20"/>
          <w:spacing w:val="-1"/>
        </w:rPr>
        <w:t> </w:t>
      </w:r>
      <w:r>
        <w:rPr>
          <w:color w:val="231F20"/>
        </w:rPr>
        <w:t>show</w:t>
      </w:r>
      <w:r>
        <w:rPr>
          <w:color w:val="231F20"/>
          <w:spacing w:val="-2"/>
        </w:rPr>
        <w:t> </w:t>
      </w:r>
      <w:r>
        <w:rPr>
          <w:color w:val="231F20"/>
        </w:rPr>
        <w:t>how</w:t>
      </w:r>
      <w:r>
        <w:rPr>
          <w:color w:val="231F20"/>
          <w:spacing w:val="-1"/>
        </w:rPr>
        <w:t> </w:t>
      </w:r>
      <w:r>
        <w:rPr>
          <w:color w:val="231F20"/>
        </w:rPr>
        <w:t>clients</w:t>
      </w:r>
      <w:r>
        <w:rPr>
          <w:color w:val="231F20"/>
          <w:spacing w:val="-1"/>
        </w:rPr>
        <w:t> </w:t>
      </w:r>
      <w:r>
        <w:rPr>
          <w:color w:val="231F20"/>
        </w:rPr>
        <w:t>benefit</w:t>
      </w:r>
      <w:r>
        <w:rPr>
          <w:color w:val="231F20"/>
          <w:spacing w:val="-1"/>
        </w:rPr>
        <w:t> </w:t>
      </w:r>
      <w:r>
        <w:rPr>
          <w:color w:val="231F20"/>
        </w:rPr>
        <w:t>from a</w:t>
      </w:r>
      <w:r>
        <w:rPr>
          <w:color w:val="231F20"/>
          <w:spacing w:val="-1"/>
        </w:rPr>
        <w:t> </w:t>
      </w:r>
      <w:r>
        <w:rPr>
          <w:color w:val="231F20"/>
        </w:rPr>
        <w:t>practice.</w:t>
      </w:r>
    </w:p>
    <w:p>
      <w:pPr>
        <w:pStyle w:val="BodyText"/>
        <w:spacing w:line="266" w:lineRule="auto"/>
        <w:ind w:left="120" w:right="218"/>
      </w:pPr>
      <w:r>
        <w:rPr>
          <w:color w:val="231F20"/>
        </w:rPr>
        <w:t>This information can be helpful in making practice</w:t>
      </w:r>
      <w:r>
        <w:rPr>
          <w:color w:val="231F20"/>
          <w:spacing w:val="1"/>
        </w:rPr>
        <w:t> </w:t>
      </w:r>
      <w:r>
        <w:rPr>
          <w:color w:val="231F20"/>
        </w:rPr>
        <w:t>adjustments,</w:t>
      </w:r>
      <w:r>
        <w:rPr>
          <w:color w:val="231F20"/>
          <w:spacing w:val="-5"/>
        </w:rPr>
        <w:t> </w:t>
      </w:r>
      <w:r>
        <w:rPr>
          <w:color w:val="231F20"/>
        </w:rPr>
        <w:t>if</w:t>
      </w:r>
      <w:r>
        <w:rPr>
          <w:color w:val="231F20"/>
          <w:spacing w:val="-5"/>
        </w:rPr>
        <w:t> </w:t>
      </w:r>
      <w:r>
        <w:rPr>
          <w:color w:val="231F20"/>
        </w:rPr>
        <w:t>necessary,</w:t>
      </w:r>
      <w:r>
        <w:rPr>
          <w:color w:val="231F20"/>
          <w:spacing w:val="-5"/>
        </w:rPr>
        <w:t> </w:t>
      </w:r>
      <w:r>
        <w:rPr>
          <w:color w:val="231F20"/>
        </w:rPr>
        <w:t>and</w:t>
      </w:r>
      <w:r>
        <w:rPr>
          <w:color w:val="231F20"/>
          <w:spacing w:val="-5"/>
        </w:rPr>
        <w:t> </w:t>
      </w:r>
      <w:r>
        <w:rPr>
          <w:color w:val="231F20"/>
        </w:rPr>
        <w:t>demonstrating</w:t>
      </w:r>
      <w:r>
        <w:rPr>
          <w:color w:val="231F20"/>
          <w:spacing w:val="-5"/>
        </w:rPr>
        <w:t> </w:t>
      </w:r>
      <w:r>
        <w:rPr>
          <w:color w:val="231F20"/>
        </w:rPr>
        <w:t>the</w:t>
      </w:r>
      <w:r>
        <w:rPr>
          <w:color w:val="231F20"/>
          <w:spacing w:val="-5"/>
        </w:rPr>
        <w:t> </w:t>
      </w:r>
      <w:r>
        <w:rPr>
          <w:color w:val="231F20"/>
        </w:rPr>
        <w:t>value</w:t>
      </w:r>
      <w:r>
        <w:rPr>
          <w:color w:val="231F20"/>
          <w:spacing w:val="-52"/>
        </w:rPr>
        <w:t> </w:t>
      </w:r>
      <w:r>
        <w:rPr>
          <w:color w:val="231F20"/>
        </w:rPr>
        <w:t>of a practice or program to justify its continuation and</w:t>
      </w:r>
      <w:r>
        <w:rPr>
          <w:color w:val="231F20"/>
          <w:spacing w:val="-52"/>
        </w:rPr>
        <w:t> </w:t>
      </w:r>
      <w:r>
        <w:rPr>
          <w:color w:val="231F20"/>
        </w:rPr>
        <w:t>secure additional funding. In addition, stakeholders</w:t>
      </w:r>
      <w:r>
        <w:rPr>
          <w:color w:val="231F20"/>
          <w:spacing w:val="1"/>
        </w:rPr>
        <w:t> </w:t>
      </w:r>
      <w:r>
        <w:rPr>
          <w:color w:val="231F20"/>
        </w:rPr>
        <w:t>can use information gathered through evaluation to</w:t>
      </w:r>
      <w:r>
        <w:rPr>
          <w:color w:val="231F20"/>
          <w:spacing w:val="1"/>
        </w:rPr>
        <w:t> </w:t>
      </w:r>
      <w:r>
        <w:rPr>
          <w:color w:val="231F20"/>
        </w:rPr>
        <w:t>encourage implementation of that practice in other</w:t>
      </w:r>
      <w:r>
        <w:rPr>
          <w:color w:val="231F20"/>
          <w:spacing w:val="1"/>
        </w:rPr>
        <w:t> </w:t>
      </w:r>
      <w:r>
        <w:rPr>
          <w:color w:val="231F20"/>
        </w:rPr>
        <w:t>settings or</w:t>
      </w:r>
      <w:r>
        <w:rPr>
          <w:color w:val="231F20"/>
          <w:spacing w:val="-1"/>
        </w:rPr>
        <w:t> </w:t>
      </w:r>
      <w:r>
        <w:rPr>
          <w:color w:val="231F20"/>
        </w:rPr>
        <w:t>communities.</w:t>
      </w:r>
    </w:p>
    <w:p>
      <w:pPr>
        <w:pStyle w:val="BodyText"/>
        <w:spacing w:line="266" w:lineRule="auto" w:before="172"/>
        <w:ind w:left="120" w:right="53"/>
      </w:pPr>
      <w:r>
        <w:rPr>
          <w:color w:val="231F20"/>
        </w:rPr>
        <w:t>This chapter provides an overview of approaches to</w:t>
      </w:r>
      <w:r>
        <w:rPr>
          <w:color w:val="231F20"/>
          <w:spacing w:val="1"/>
        </w:rPr>
        <w:t> </w:t>
      </w:r>
      <w:r>
        <w:rPr>
          <w:color w:val="231F20"/>
        </w:rPr>
        <w:t>evaluate implementation of and results from treatments</w:t>
      </w:r>
      <w:r>
        <w:rPr>
          <w:color w:val="231F20"/>
          <w:spacing w:val="1"/>
        </w:rPr>
        <w:t> </w:t>
      </w:r>
      <w:r>
        <w:rPr>
          <w:color w:val="231F20"/>
        </w:rPr>
        <w:t>for clients with serious mental illness (SMI) and</w:t>
      </w:r>
      <w:r>
        <w:rPr>
          <w:color w:val="231F20"/>
          <w:spacing w:val="1"/>
        </w:rPr>
        <w:t> </w:t>
      </w:r>
      <w:r>
        <w:rPr>
          <w:color w:val="231F20"/>
        </w:rPr>
        <w:t>substance use disorder (SUD) delivered using telehealth</w:t>
      </w:r>
      <w:r>
        <w:rPr>
          <w:color w:val="231F20"/>
          <w:spacing w:val="-53"/>
        </w:rPr>
        <w:t> </w:t>
      </w:r>
      <w:r>
        <w:rPr>
          <w:color w:val="231F20"/>
        </w:rPr>
        <w:t>modalities.</w:t>
      </w:r>
      <w:r>
        <w:rPr>
          <w:color w:val="231F20"/>
          <w:spacing w:val="-1"/>
        </w:rPr>
        <w:t> </w:t>
      </w:r>
      <w:r>
        <w:rPr>
          <w:color w:val="231F20"/>
        </w:rPr>
        <w:t>People with SMI and SUD have often</w:t>
      </w:r>
    </w:p>
    <w:p>
      <w:pPr>
        <w:pStyle w:val="BodyText"/>
        <w:spacing w:line="266" w:lineRule="auto"/>
        <w:ind w:left="120" w:right="241"/>
      </w:pPr>
      <w:r>
        <w:rPr>
          <w:color w:val="231F20"/>
        </w:rPr>
        <w:t>been</w:t>
      </w:r>
      <w:r>
        <w:rPr>
          <w:color w:val="231F20"/>
          <w:spacing w:val="4"/>
        </w:rPr>
        <w:t> </w:t>
      </w:r>
      <w:r>
        <w:rPr>
          <w:color w:val="231F20"/>
        </w:rPr>
        <w:t>excluded</w:t>
      </w:r>
      <w:r>
        <w:rPr>
          <w:color w:val="231F20"/>
          <w:spacing w:val="5"/>
        </w:rPr>
        <w:t> </w:t>
      </w:r>
      <w:r>
        <w:rPr>
          <w:color w:val="231F20"/>
        </w:rPr>
        <w:t>from</w:t>
      </w:r>
      <w:r>
        <w:rPr>
          <w:color w:val="231F20"/>
          <w:spacing w:val="5"/>
        </w:rPr>
        <w:t> </w:t>
      </w:r>
      <w:r>
        <w:rPr>
          <w:color w:val="231F20"/>
        </w:rPr>
        <w:t>telehealth</w:t>
      </w:r>
      <w:r>
        <w:rPr>
          <w:color w:val="231F20"/>
          <w:spacing w:val="5"/>
        </w:rPr>
        <w:t> </w:t>
      </w:r>
      <w:r>
        <w:rPr>
          <w:color w:val="231F20"/>
        </w:rPr>
        <w:t>research</w:t>
      </w:r>
      <w:r>
        <w:rPr>
          <w:color w:val="231F20"/>
          <w:spacing w:val="4"/>
        </w:rPr>
        <w:t> </w:t>
      </w:r>
      <w:r>
        <w:rPr>
          <w:color w:val="231F20"/>
        </w:rPr>
        <w:t>studies,</w:t>
      </w:r>
      <w:r>
        <w:rPr>
          <w:color w:val="231F20"/>
          <w:spacing w:val="5"/>
        </w:rPr>
        <w:t> </w:t>
      </w:r>
      <w:r>
        <w:rPr>
          <w:color w:val="231F20"/>
        </w:rPr>
        <w:t>but,</w:t>
      </w:r>
      <w:r>
        <w:rPr>
          <w:color w:val="231F20"/>
          <w:spacing w:val="1"/>
        </w:rPr>
        <w:t> </w:t>
      </w:r>
      <w:r>
        <w:rPr>
          <w:color w:val="231F20"/>
        </w:rPr>
        <w:t>as demonstrated in Chapters 1 through 4 of this guide,</w:t>
      </w:r>
      <w:r>
        <w:rPr>
          <w:color w:val="231F20"/>
          <w:spacing w:val="-52"/>
        </w:rPr>
        <w:t> </w:t>
      </w:r>
      <w:r>
        <w:rPr>
          <w:color w:val="231F20"/>
        </w:rPr>
        <w:t>telehealth</w:t>
      </w:r>
      <w:r>
        <w:rPr>
          <w:color w:val="231F20"/>
          <w:spacing w:val="-3"/>
        </w:rPr>
        <w:t> </w:t>
      </w:r>
      <w:r>
        <w:rPr>
          <w:color w:val="231F20"/>
        </w:rPr>
        <w:t>is</w:t>
      </w:r>
      <w:r>
        <w:rPr>
          <w:color w:val="231F20"/>
          <w:spacing w:val="-2"/>
        </w:rPr>
        <w:t> </w:t>
      </w:r>
      <w:r>
        <w:rPr>
          <w:color w:val="231F20"/>
        </w:rPr>
        <w:t>effective</w:t>
      </w:r>
      <w:r>
        <w:rPr>
          <w:color w:val="231F20"/>
          <w:spacing w:val="-2"/>
        </w:rPr>
        <w:t> </w:t>
      </w:r>
      <w:r>
        <w:rPr>
          <w:color w:val="231F20"/>
        </w:rPr>
        <w:t>for</w:t>
      </w:r>
      <w:r>
        <w:rPr>
          <w:color w:val="231F20"/>
          <w:spacing w:val="-2"/>
        </w:rPr>
        <w:t> </w:t>
      </w:r>
      <w:r>
        <w:rPr>
          <w:color w:val="231F20"/>
        </w:rPr>
        <w:t>people</w:t>
      </w:r>
      <w:r>
        <w:rPr>
          <w:color w:val="231F20"/>
          <w:spacing w:val="-2"/>
        </w:rPr>
        <w:t> </w:t>
      </w:r>
      <w:r>
        <w:rPr>
          <w:color w:val="231F20"/>
        </w:rPr>
        <w:t>with</w:t>
      </w:r>
      <w:r>
        <w:rPr>
          <w:color w:val="231F20"/>
          <w:spacing w:val="-3"/>
        </w:rPr>
        <w:t> </w:t>
      </w:r>
      <w:r>
        <w:rPr>
          <w:color w:val="231F20"/>
        </w:rPr>
        <w:t>SMI</w:t>
      </w:r>
      <w:r>
        <w:rPr>
          <w:color w:val="231F20"/>
          <w:spacing w:val="-3"/>
        </w:rPr>
        <w:t> </w:t>
      </w:r>
      <w:r>
        <w:rPr>
          <w:color w:val="231F20"/>
        </w:rPr>
        <w:t>and</w:t>
      </w:r>
      <w:r>
        <w:rPr>
          <w:color w:val="231F20"/>
          <w:spacing w:val="-3"/>
        </w:rPr>
        <w:t> </w:t>
      </w:r>
      <w:r>
        <w:rPr>
          <w:color w:val="231F20"/>
        </w:rPr>
        <w:t>SUD.</w:t>
      </w:r>
    </w:p>
    <w:p>
      <w:pPr>
        <w:pStyle w:val="BodyText"/>
        <w:spacing w:line="266" w:lineRule="auto" w:before="174"/>
        <w:ind w:left="120" w:right="36"/>
      </w:pPr>
      <w:r>
        <w:rPr>
          <w:color w:val="231F20"/>
        </w:rPr>
        <w:t>To</w:t>
      </w:r>
      <w:r>
        <w:rPr>
          <w:color w:val="231F20"/>
          <w:spacing w:val="-7"/>
        </w:rPr>
        <w:t> </w:t>
      </w:r>
      <w:r>
        <w:rPr>
          <w:color w:val="231F20"/>
        </w:rPr>
        <w:t>evaluate</w:t>
      </w:r>
      <w:r>
        <w:rPr>
          <w:color w:val="231F20"/>
          <w:spacing w:val="-6"/>
        </w:rPr>
        <w:t> </w:t>
      </w:r>
      <w:r>
        <w:rPr>
          <w:color w:val="231F20"/>
        </w:rPr>
        <w:t>telehealth-delivered</w:t>
      </w:r>
      <w:r>
        <w:rPr>
          <w:color w:val="231F20"/>
          <w:spacing w:val="-6"/>
        </w:rPr>
        <w:t> </w:t>
      </w:r>
      <w:r>
        <w:rPr>
          <w:color w:val="231F20"/>
        </w:rPr>
        <w:t>practices</w:t>
      </w:r>
      <w:r>
        <w:rPr>
          <w:color w:val="231F20"/>
          <w:spacing w:val="-6"/>
        </w:rPr>
        <w:t> </w:t>
      </w:r>
      <w:r>
        <w:rPr>
          <w:color w:val="231F20"/>
        </w:rPr>
        <w:t>and</w:t>
      </w:r>
      <w:r>
        <w:rPr>
          <w:color w:val="231F20"/>
          <w:spacing w:val="-6"/>
        </w:rPr>
        <w:t> </w:t>
      </w:r>
      <w:r>
        <w:rPr>
          <w:color w:val="231F20"/>
        </w:rPr>
        <w:t>programs,</w:t>
      </w:r>
      <w:r>
        <w:rPr>
          <w:color w:val="231F20"/>
          <w:spacing w:val="-52"/>
        </w:rPr>
        <w:t> </w:t>
      </w:r>
      <w:r>
        <w:rPr>
          <w:color w:val="231F20"/>
        </w:rPr>
        <w:t>both the treatment (e.g., cognitive behavioral therapy)</w:t>
      </w:r>
      <w:r>
        <w:rPr>
          <w:color w:val="231F20"/>
          <w:spacing w:val="1"/>
        </w:rPr>
        <w:t> </w:t>
      </w:r>
      <w:r>
        <w:rPr>
          <w:color w:val="231F20"/>
        </w:rPr>
        <w:t>and the modality (e.g., synchronous telehealth</w:t>
      </w:r>
      <w:r>
        <w:rPr>
          <w:color w:val="231F20"/>
          <w:spacing w:val="1"/>
        </w:rPr>
        <w:t> </w:t>
      </w:r>
      <w:r>
        <w:rPr>
          <w:color w:val="231F20"/>
        </w:rPr>
        <w:t>videoconference) need to be evaluated. Ideally, patients</w:t>
      </w:r>
      <w:r>
        <w:rPr>
          <w:color w:val="231F20"/>
          <w:spacing w:val="1"/>
        </w:rPr>
        <w:t> </w:t>
      </w:r>
      <w:r>
        <w:rPr>
          <w:color w:val="231F20"/>
        </w:rPr>
        <w:t>would see a</w:t>
      </w:r>
      <w:r>
        <w:rPr>
          <w:color w:val="231F20"/>
          <w:spacing w:val="-1"/>
        </w:rPr>
        <w:t> </w:t>
      </w:r>
      <w:r>
        <w:rPr>
          <w:color w:val="231F20"/>
        </w:rPr>
        <w:t>reduction in symptomology because of the</w:t>
      </w:r>
    </w:p>
    <w:p>
      <w:pPr>
        <w:pStyle w:val="BodyText"/>
        <w:spacing w:line="266" w:lineRule="auto" w:before="92"/>
        <w:ind w:left="120" w:right="1017"/>
      </w:pPr>
      <w:r>
        <w:rPr/>
        <w:br w:type="column"/>
      </w:r>
      <w:r>
        <w:rPr>
          <w:color w:val="231F20"/>
        </w:rPr>
        <w:t>practice, and a high level of retention, acceptability,</w:t>
      </w:r>
      <w:r>
        <w:rPr>
          <w:color w:val="231F20"/>
          <w:spacing w:val="1"/>
        </w:rPr>
        <w:t> </w:t>
      </w:r>
      <w:r>
        <w:rPr>
          <w:color w:val="231F20"/>
          <w:spacing w:val="-1"/>
        </w:rPr>
        <w:t>or satisfaction with the </w:t>
      </w:r>
      <w:r>
        <w:rPr>
          <w:color w:val="231F20"/>
        </w:rPr>
        <w:t>modality. Additionally, both</w:t>
      </w:r>
      <w:r>
        <w:rPr>
          <w:color w:val="231F20"/>
          <w:spacing w:val="1"/>
        </w:rPr>
        <w:t> </w:t>
      </w:r>
      <w:r>
        <w:rPr>
          <w:color w:val="231F20"/>
        </w:rPr>
        <w:t>treatment providers and clients should be engaged in</w:t>
      </w:r>
      <w:r>
        <w:rPr>
          <w:color w:val="231F20"/>
          <w:spacing w:val="1"/>
        </w:rPr>
        <w:t> </w:t>
      </w:r>
      <w:r>
        <w:rPr>
          <w:color w:val="231F20"/>
        </w:rPr>
        <w:t>the generation of evaluation tools and plans to ensure</w:t>
      </w:r>
      <w:r>
        <w:rPr>
          <w:color w:val="231F20"/>
          <w:spacing w:val="-52"/>
        </w:rPr>
        <w:t> </w:t>
      </w:r>
      <w:r>
        <w:rPr>
          <w:color w:val="231F20"/>
        </w:rPr>
        <w:t>data collection tools are appropriate for the evaluated</w:t>
      </w:r>
      <w:r>
        <w:rPr>
          <w:color w:val="231F20"/>
          <w:spacing w:val="-52"/>
        </w:rPr>
        <w:t> </w:t>
      </w:r>
      <w:r>
        <w:rPr>
          <w:color w:val="231F20"/>
        </w:rPr>
        <w:t>communities</w:t>
      </w:r>
      <w:r>
        <w:rPr>
          <w:color w:val="231F20"/>
          <w:spacing w:val="-4"/>
        </w:rPr>
        <w:t> </w:t>
      </w:r>
      <w:r>
        <w:rPr>
          <w:color w:val="231F20"/>
        </w:rPr>
        <w:t>and</w:t>
      </w:r>
      <w:r>
        <w:rPr>
          <w:color w:val="231F20"/>
          <w:spacing w:val="-4"/>
        </w:rPr>
        <w:t> </w:t>
      </w:r>
      <w:r>
        <w:rPr>
          <w:color w:val="231F20"/>
        </w:rPr>
        <w:t>to</w:t>
      </w:r>
      <w:r>
        <w:rPr>
          <w:color w:val="231F20"/>
          <w:spacing w:val="-4"/>
        </w:rPr>
        <w:t> </w:t>
      </w:r>
      <w:r>
        <w:rPr>
          <w:color w:val="231F20"/>
        </w:rPr>
        <w:t>secure</w:t>
      </w:r>
      <w:r>
        <w:rPr>
          <w:color w:val="231F20"/>
          <w:spacing w:val="-5"/>
        </w:rPr>
        <w:t> </w:t>
      </w:r>
      <w:r>
        <w:rPr>
          <w:color w:val="231F20"/>
        </w:rPr>
        <w:t>buy-in.</w:t>
      </w:r>
      <w:r>
        <w:rPr>
          <w:color w:val="231F20"/>
          <w:spacing w:val="-4"/>
        </w:rPr>
        <w:t> </w:t>
      </w:r>
      <w:r>
        <w:rPr>
          <w:color w:val="231F20"/>
        </w:rPr>
        <w:t>Reporting</w:t>
      </w:r>
      <w:r>
        <w:rPr>
          <w:color w:val="231F20"/>
          <w:spacing w:val="-4"/>
        </w:rPr>
        <w:t> </w:t>
      </w:r>
      <w:r>
        <w:rPr>
          <w:color w:val="231F20"/>
        </w:rPr>
        <w:t>findings</w:t>
      </w:r>
      <w:r>
        <w:rPr>
          <w:color w:val="231F20"/>
          <w:spacing w:val="-52"/>
        </w:rPr>
        <w:t> </w:t>
      </w:r>
      <w:r>
        <w:rPr>
          <w:color w:val="231F20"/>
        </w:rPr>
        <w:t>back to providers and clients should be prioritized to</w:t>
      </w:r>
      <w:r>
        <w:rPr>
          <w:color w:val="231F20"/>
          <w:spacing w:val="1"/>
        </w:rPr>
        <w:t> </w:t>
      </w:r>
      <w:r>
        <w:rPr>
          <w:color w:val="231F20"/>
        </w:rPr>
        <w:t>promote transparency and inform care choices.</w:t>
      </w:r>
    </w:p>
    <w:p>
      <w:pPr>
        <w:pStyle w:val="BodyText"/>
        <w:spacing w:line="266" w:lineRule="auto" w:before="174"/>
        <w:ind w:left="120" w:right="878"/>
      </w:pPr>
      <w:r>
        <w:rPr>
          <w:color w:val="231F20"/>
        </w:rPr>
        <w:t>This chapter focuses on evaluation strategies for</w:t>
      </w:r>
      <w:r>
        <w:rPr>
          <w:color w:val="231F20"/>
          <w:spacing w:val="1"/>
        </w:rPr>
        <w:t> </w:t>
      </w:r>
      <w:r>
        <w:rPr>
          <w:color w:val="231F20"/>
        </w:rPr>
        <w:t>treatments offered via telehealth modalities discussed</w:t>
      </w:r>
      <w:r>
        <w:rPr>
          <w:color w:val="231F20"/>
          <w:spacing w:val="1"/>
        </w:rPr>
        <w:t> </w:t>
      </w:r>
      <w:r>
        <w:rPr>
          <w:color w:val="231F20"/>
        </w:rPr>
        <w:t>in Chapter 2. The chapter also includes information on</w:t>
      </w:r>
      <w:r>
        <w:rPr>
          <w:color w:val="231F20"/>
          <w:spacing w:val="1"/>
        </w:rPr>
        <w:t> </w:t>
      </w:r>
      <w:r>
        <w:rPr>
          <w:color w:val="231F20"/>
        </w:rPr>
        <w:t>implementing a continuous quality improvement (CQI)</w:t>
      </w:r>
      <w:r>
        <w:rPr>
          <w:color w:val="231F20"/>
          <w:spacing w:val="-52"/>
        </w:rPr>
        <w:t> </w:t>
      </w:r>
      <w:r>
        <w:rPr>
          <w:color w:val="231F20"/>
        </w:rPr>
        <w:t>process</w:t>
      </w:r>
      <w:r>
        <w:rPr>
          <w:color w:val="231F20"/>
          <w:spacing w:val="-2"/>
        </w:rPr>
        <w:t> </w:t>
      </w:r>
      <w:r>
        <w:rPr>
          <w:color w:val="231F20"/>
        </w:rPr>
        <w:t>and</w:t>
      </w:r>
      <w:r>
        <w:rPr>
          <w:color w:val="231F20"/>
          <w:spacing w:val="-1"/>
        </w:rPr>
        <w:t> </w:t>
      </w:r>
      <w:r>
        <w:rPr>
          <w:color w:val="231F20"/>
        </w:rPr>
        <w:t>an</w:t>
      </w:r>
      <w:r>
        <w:rPr>
          <w:color w:val="231F20"/>
          <w:spacing w:val="-1"/>
        </w:rPr>
        <w:t> </w:t>
      </w:r>
      <w:r>
        <w:rPr>
          <w:color w:val="231F20"/>
        </w:rPr>
        <w:t>outcome-focused</w:t>
      </w:r>
      <w:r>
        <w:rPr>
          <w:color w:val="231F20"/>
          <w:spacing w:val="-1"/>
        </w:rPr>
        <w:t> </w:t>
      </w:r>
      <w:r>
        <w:rPr>
          <w:color w:val="231F20"/>
        </w:rPr>
        <w:t>evaluation.</w:t>
      </w:r>
      <w:r>
        <w:rPr>
          <w:color w:val="231F20"/>
          <w:spacing w:val="-1"/>
        </w:rPr>
        <w:t> </w:t>
      </w:r>
      <w:r>
        <w:rPr>
          <w:color w:val="231F20"/>
        </w:rPr>
        <w:t>Further,</w:t>
      </w:r>
    </w:p>
    <w:p>
      <w:pPr>
        <w:pStyle w:val="BodyText"/>
        <w:spacing w:line="249" w:lineRule="exact"/>
        <w:ind w:left="120"/>
      </w:pPr>
      <w:r>
        <w:rPr>
          <w:color w:val="231F20"/>
        </w:rPr>
        <w:t>it</w:t>
      </w:r>
      <w:r>
        <w:rPr>
          <w:color w:val="231F20"/>
          <w:spacing w:val="-4"/>
        </w:rPr>
        <w:t> </w:t>
      </w:r>
      <w:r>
        <w:rPr>
          <w:color w:val="231F20"/>
        </w:rPr>
        <w:t>provides</w:t>
      </w:r>
      <w:r>
        <w:rPr>
          <w:color w:val="231F20"/>
          <w:spacing w:val="-3"/>
        </w:rPr>
        <w:t> </w:t>
      </w:r>
      <w:r>
        <w:rPr>
          <w:color w:val="231F20"/>
        </w:rPr>
        <w:t>specific</w:t>
      </w:r>
      <w:r>
        <w:rPr>
          <w:color w:val="231F20"/>
          <w:spacing w:val="-3"/>
        </w:rPr>
        <w:t> </w:t>
      </w:r>
      <w:r>
        <w:rPr>
          <w:color w:val="231F20"/>
        </w:rPr>
        <w:t>evaluation</w:t>
      </w:r>
      <w:r>
        <w:rPr>
          <w:color w:val="231F20"/>
          <w:spacing w:val="-3"/>
        </w:rPr>
        <w:t> </w:t>
      </w:r>
      <w:r>
        <w:rPr>
          <w:color w:val="231F20"/>
        </w:rPr>
        <w:t>resources,</w:t>
      </w:r>
      <w:r>
        <w:rPr>
          <w:color w:val="231F20"/>
          <w:spacing w:val="-4"/>
        </w:rPr>
        <w:t> </w:t>
      </w:r>
      <w:r>
        <w:rPr>
          <w:color w:val="231F20"/>
        </w:rPr>
        <w:t>including</w:t>
      </w:r>
    </w:p>
    <w:p>
      <w:pPr>
        <w:pStyle w:val="BodyText"/>
        <w:spacing w:before="27"/>
        <w:ind w:left="120"/>
      </w:pPr>
      <w:r>
        <w:rPr>
          <w:color w:val="231F20"/>
        </w:rPr>
        <w:t>potential outcomes to track.</w:t>
      </w:r>
    </w:p>
    <w:p>
      <w:pPr>
        <w:pStyle w:val="Heading2"/>
        <w:spacing w:before="165"/>
      </w:pPr>
      <w:r>
        <w:rPr>
          <w:color w:val="1C384B"/>
        </w:rPr>
        <w:t>Types</w:t>
      </w:r>
      <w:r>
        <w:rPr>
          <w:color w:val="1C384B"/>
          <w:spacing w:val="-5"/>
        </w:rPr>
        <w:t> </w:t>
      </w:r>
      <w:r>
        <w:rPr>
          <w:color w:val="1C384B"/>
        </w:rPr>
        <w:t>of</w:t>
      </w:r>
      <w:r>
        <w:rPr>
          <w:color w:val="1C384B"/>
          <w:spacing w:val="15"/>
        </w:rPr>
        <w:t> </w:t>
      </w:r>
      <w:r>
        <w:rPr>
          <w:color w:val="1C384B"/>
        </w:rPr>
        <w:t>Evaluations</w:t>
      </w:r>
    </w:p>
    <w:p>
      <w:pPr>
        <w:pStyle w:val="BodyText"/>
        <w:spacing w:line="266" w:lineRule="auto" w:before="86"/>
        <w:ind w:left="120" w:right="813"/>
      </w:pPr>
      <w:r>
        <w:rPr>
          <w:color w:val="231F20"/>
        </w:rPr>
        <w:t>Researchers typically conduct evaluation before a</w:t>
      </w:r>
      <w:r>
        <w:rPr>
          <w:color w:val="231F20"/>
          <w:spacing w:val="1"/>
        </w:rPr>
        <w:t> </w:t>
      </w:r>
      <w:r>
        <w:rPr>
          <w:color w:val="231F20"/>
        </w:rPr>
        <w:t>treatment is implemented to determine its feasibility</w:t>
      </w:r>
      <w:r>
        <w:rPr>
          <w:color w:val="231F20"/>
          <w:spacing w:val="1"/>
        </w:rPr>
        <w:t> </w:t>
      </w:r>
      <w:r>
        <w:rPr>
          <w:color w:val="231F20"/>
        </w:rPr>
        <w:t>(</w:t>
      </w:r>
      <w:r>
        <w:rPr>
          <w:b/>
          <w:i/>
          <w:color w:val="231F20"/>
        </w:rPr>
        <w:t>formative</w:t>
      </w:r>
      <w:r>
        <w:rPr>
          <w:b/>
          <w:i/>
          <w:color w:val="231F20"/>
          <w:spacing w:val="-5"/>
        </w:rPr>
        <w:t> </w:t>
      </w:r>
      <w:r>
        <w:rPr>
          <w:b/>
          <w:i/>
          <w:color w:val="231F20"/>
        </w:rPr>
        <w:t>evaluation</w:t>
      </w:r>
      <w:r>
        <w:rPr>
          <w:color w:val="231F20"/>
        </w:rPr>
        <w:t>),</w:t>
      </w:r>
      <w:r>
        <w:rPr>
          <w:color w:val="231F20"/>
          <w:spacing w:val="-4"/>
        </w:rPr>
        <w:t> </w:t>
      </w:r>
      <w:r>
        <w:rPr>
          <w:color w:val="231F20"/>
        </w:rPr>
        <w:t>during</w:t>
      </w:r>
      <w:r>
        <w:rPr>
          <w:color w:val="231F20"/>
          <w:spacing w:val="-4"/>
        </w:rPr>
        <w:t> </w:t>
      </w:r>
      <w:r>
        <w:rPr>
          <w:color w:val="231F20"/>
        </w:rPr>
        <w:t>implementation</w:t>
      </w:r>
      <w:r>
        <w:rPr>
          <w:color w:val="231F20"/>
          <w:spacing w:val="-4"/>
        </w:rPr>
        <w:t> </w:t>
      </w:r>
      <w:r>
        <w:rPr>
          <w:color w:val="231F20"/>
        </w:rPr>
        <w:t>(</w:t>
      </w:r>
      <w:r>
        <w:rPr>
          <w:b/>
          <w:i/>
          <w:color w:val="231F20"/>
        </w:rPr>
        <w:t>process</w:t>
      </w:r>
      <w:r>
        <w:rPr>
          <w:b/>
          <w:i/>
          <w:color w:val="231F20"/>
          <w:spacing w:val="-52"/>
        </w:rPr>
        <w:t> </w:t>
      </w:r>
      <w:r>
        <w:rPr>
          <w:b/>
          <w:i/>
          <w:color w:val="231F20"/>
        </w:rPr>
        <w:t>evaluation </w:t>
      </w:r>
      <w:r>
        <w:rPr>
          <w:color w:val="231F20"/>
        </w:rPr>
        <w:t>and </w:t>
      </w:r>
      <w:r>
        <w:rPr>
          <w:b/>
          <w:i/>
          <w:color w:val="231F20"/>
        </w:rPr>
        <w:t>CQI</w:t>
      </w:r>
      <w:r>
        <w:rPr>
          <w:color w:val="231F20"/>
        </w:rPr>
        <w:t>), and after the treatment has been</w:t>
      </w:r>
      <w:r>
        <w:rPr>
          <w:color w:val="231F20"/>
          <w:spacing w:val="1"/>
        </w:rPr>
        <w:t> </w:t>
      </w:r>
      <w:r>
        <w:rPr>
          <w:color w:val="231F20"/>
        </w:rPr>
        <w:t>delivered to at least one client (</w:t>
      </w:r>
      <w:r>
        <w:rPr>
          <w:b/>
          <w:i/>
          <w:color w:val="231F20"/>
        </w:rPr>
        <w:t>outcome and impact</w:t>
      </w:r>
      <w:r>
        <w:rPr>
          <w:b/>
          <w:i/>
          <w:color w:val="231F20"/>
          <w:spacing w:val="1"/>
        </w:rPr>
        <w:t> </w:t>
      </w:r>
      <w:r>
        <w:rPr>
          <w:b/>
          <w:i/>
          <w:color w:val="231F20"/>
        </w:rPr>
        <w:t>evaluations</w:t>
      </w:r>
      <w:r>
        <w:rPr>
          <w:color w:val="231F20"/>
        </w:rPr>
        <w:t>). All four types of evaluation are necessary</w:t>
      </w:r>
      <w:r>
        <w:rPr>
          <w:color w:val="231F20"/>
          <w:spacing w:val="1"/>
        </w:rPr>
        <w:t> </w:t>
      </w:r>
      <w:r>
        <w:rPr>
          <w:color w:val="231F20"/>
        </w:rPr>
        <w:t>to</w:t>
      </w:r>
      <w:r>
        <w:rPr>
          <w:color w:val="231F20"/>
          <w:spacing w:val="-1"/>
        </w:rPr>
        <w:t> </w:t>
      </w:r>
      <w:r>
        <w:rPr>
          <w:color w:val="231F20"/>
        </w:rPr>
        <w:t>assess</w:t>
      </w:r>
      <w:r>
        <w:rPr>
          <w:color w:val="231F20"/>
          <w:spacing w:val="-1"/>
        </w:rPr>
        <w:t> </w:t>
      </w:r>
      <w:r>
        <w:rPr>
          <w:color w:val="231F20"/>
        </w:rPr>
        <w:t>a</w:t>
      </w:r>
      <w:r>
        <w:rPr>
          <w:color w:val="231F20"/>
          <w:spacing w:val="-1"/>
        </w:rPr>
        <w:t> </w:t>
      </w:r>
      <w:r>
        <w:rPr>
          <w:color w:val="231F20"/>
        </w:rPr>
        <w:t>treatment’s</w:t>
      </w:r>
      <w:r>
        <w:rPr>
          <w:color w:val="231F20"/>
          <w:spacing w:val="-1"/>
        </w:rPr>
        <w:t> </w:t>
      </w:r>
      <w:r>
        <w:rPr>
          <w:color w:val="231F20"/>
        </w:rPr>
        <w:t>effectiveness.</w:t>
      </w:r>
    </w:p>
    <w:p>
      <w:pPr>
        <w:spacing w:after="0" w:line="266" w:lineRule="auto"/>
        <w:sectPr>
          <w:type w:val="continuous"/>
          <w:pgSz w:w="12240" w:h="15840"/>
          <w:pgMar w:header="0" w:footer="666" w:top="1500" w:bottom="0" w:left="600" w:right="0"/>
          <w:cols w:num="2" w:equalWidth="0">
            <w:col w:w="5130" w:space="630"/>
            <w:col w:w="5880"/>
          </w:cols>
        </w:sectPr>
      </w:pPr>
    </w:p>
    <w:p>
      <w:pPr>
        <w:pStyle w:val="BodyText"/>
        <w:rPr>
          <w:sz w:val="20"/>
        </w:rPr>
      </w:pPr>
    </w:p>
    <w:p>
      <w:pPr>
        <w:pStyle w:val="BodyText"/>
        <w:rPr>
          <w:sz w:val="20"/>
        </w:rPr>
      </w:pPr>
    </w:p>
    <w:p>
      <w:pPr>
        <w:pStyle w:val="BodyText"/>
        <w:rPr>
          <w:sz w:val="13"/>
        </w:rPr>
      </w:pPr>
    </w:p>
    <w:p>
      <w:pPr>
        <w:pStyle w:val="BodyText"/>
        <w:ind w:left="394"/>
        <w:rPr>
          <w:sz w:val="20"/>
        </w:rPr>
      </w:pPr>
      <w:r>
        <w:rPr>
          <w:sz w:val="20"/>
        </w:rPr>
        <w:drawing>
          <wp:inline distT="0" distB="0" distL="0" distR="0">
            <wp:extent cx="6540086" cy="3852672"/>
            <wp:effectExtent l="0" t="0" r="0" b="0"/>
            <wp:docPr id="51" name="image26.jpeg" descr="This graphic visually depicts how evaluation activities are conducted throughout a treatments implementation lifecycle. First, during the development of the telehealth-delivered treatment and prior to full-scale implementation, formative evaluation can be conducted. Formative evaluation questions are Is the telehealth-delivered treatment appropriate for the population of interest?Ž and What resources does the organization have and need to evaluate the telehealth-delivered treatment?Ž. As soon as the telehealth-delivered treatment implementation beings and during operation, process and implementation evaluation as well as continuous quality improvement can be conducted. Process/Implementation Evaluation questions are Are telehealth-delivered treatment activities being implemented as intended?Ž and What are the barriers and facilitators to implementation of the treatment and telehealth modality?Ž. Continuous Quality Improvement questions are What improvements could be made to the telehealth-delivered treatment?Ž, What parts of implementation were working and should be unchanged?Ž, and What organizational factors contributed to implementation successes and/or challenges?Ž. After the telehealth-delivered treatment is initiated with at least one client, outcome and effectiveness evaluation can be conducted. Outcome/Effectiveness Evaluation questions are Were the objectives of the telehealth-delivered treatment achieved?Ž and Did client health, wellbeing, attitudes, beliefs, and behaviors change from the start of their participation in telehealth-delivered treatment?Ž. During operation of the treatment and at appropriate intervals at the end of telehealth-delivered treatment, impact evaluation can be conducted. An impact evaluation question is To what extent can client outcomes be attributed to the telehealth-delivered treatment activities?Ž. Throughout all phases of evaluation planning, data collection, analysis, and dissemination, clinic community members, key populations, and behavioral health care consumers should be engaged. "/>
            <wp:cNvGraphicFramePr>
              <a:graphicFrameLocks noChangeAspect="1"/>
            </wp:cNvGraphicFramePr>
            <a:graphic>
              <a:graphicData uri="http://schemas.openxmlformats.org/drawingml/2006/picture">
                <pic:pic>
                  <pic:nvPicPr>
                    <pic:cNvPr id="52" name="image26.jpeg"/>
                    <pic:cNvPicPr/>
                  </pic:nvPicPr>
                  <pic:blipFill>
                    <a:blip r:embed="rId332" cstate="print"/>
                    <a:stretch>
                      <a:fillRect/>
                    </a:stretch>
                  </pic:blipFill>
                  <pic:spPr>
                    <a:xfrm>
                      <a:off x="0" y="0"/>
                      <a:ext cx="6540086" cy="3852672"/>
                    </a:xfrm>
                    <a:prstGeom prst="rect">
                      <a:avLst/>
                    </a:prstGeom>
                  </pic:spPr>
                </pic:pic>
              </a:graphicData>
            </a:graphic>
          </wp:inline>
        </w:drawing>
      </w:r>
      <w:r>
        <w:rPr>
          <w:sz w:val="20"/>
        </w:rPr>
      </w:r>
    </w:p>
    <w:p>
      <w:pPr>
        <w:pStyle w:val="BodyText"/>
        <w:spacing w:before="1"/>
        <w:rPr>
          <w:sz w:val="6"/>
        </w:rPr>
      </w:pPr>
    </w:p>
    <w:p>
      <w:pPr>
        <w:spacing w:after="0"/>
        <w:rPr>
          <w:sz w:val="6"/>
        </w:rPr>
        <w:sectPr>
          <w:headerReference w:type="default" r:id="rId330"/>
          <w:footerReference w:type="default" r:id="rId331"/>
          <w:pgSz w:w="12240" w:h="15840"/>
          <w:pgMar w:header="0" w:footer="666" w:top="380" w:bottom="860" w:left="600" w:right="0"/>
        </w:sectPr>
      </w:pPr>
    </w:p>
    <w:p>
      <w:pPr>
        <w:pStyle w:val="Heading5"/>
        <w:spacing w:before="80"/>
      </w:pPr>
      <w:r>
        <w:rPr>
          <w:color w:val="CE384B"/>
        </w:rPr>
        <w:t>Preparing</w:t>
      </w:r>
      <w:r>
        <w:rPr>
          <w:color w:val="CE384B"/>
          <w:spacing w:val="-1"/>
        </w:rPr>
        <w:t> </w:t>
      </w:r>
      <w:r>
        <w:rPr>
          <w:color w:val="CE384B"/>
        </w:rPr>
        <w:t>to Collect Data</w:t>
      </w:r>
    </w:p>
    <w:p>
      <w:pPr>
        <w:pStyle w:val="BodyText"/>
        <w:spacing w:before="118"/>
        <w:ind w:left="120"/>
      </w:pPr>
      <w:r>
        <w:rPr>
          <w:color w:val="231F20"/>
        </w:rPr>
        <w:t>The following</w:t>
      </w:r>
      <w:r>
        <w:rPr>
          <w:color w:val="231F20"/>
          <w:spacing w:val="-1"/>
        </w:rPr>
        <w:t> </w:t>
      </w:r>
      <w:r>
        <w:rPr>
          <w:color w:val="231F20"/>
        </w:rPr>
        <w:t>steps can help clinics and practitioners</w:t>
      </w:r>
    </w:p>
    <w:p>
      <w:pPr>
        <w:pStyle w:val="BodyText"/>
        <w:spacing w:before="27"/>
        <w:ind w:left="120"/>
      </w:pPr>
      <w:r>
        <w:rPr>
          <w:color w:val="231F20"/>
        </w:rPr>
        <w:t>prepare to collect and analyze data:</w:t>
      </w:r>
    </w:p>
    <w:p>
      <w:pPr>
        <w:pStyle w:val="Heading5"/>
        <w:numPr>
          <w:ilvl w:val="0"/>
          <w:numId w:val="66"/>
        </w:numPr>
        <w:tabs>
          <w:tab w:pos="840" w:val="left" w:leader="none"/>
        </w:tabs>
        <w:spacing w:line="266" w:lineRule="auto" w:before="207" w:after="0"/>
        <w:ind w:left="839" w:right="645" w:hanging="360"/>
        <w:jc w:val="left"/>
        <w:rPr>
          <w:rFonts w:ascii="Times New Roman"/>
        </w:rPr>
      </w:pPr>
      <w:r>
        <w:rPr>
          <w:rFonts w:ascii="Times New Roman"/>
          <w:color w:val="010202"/>
        </w:rPr>
        <w:t>Determine if the purpose of the data</w:t>
      </w:r>
      <w:r>
        <w:rPr>
          <w:rFonts w:ascii="Times New Roman"/>
          <w:color w:val="010202"/>
          <w:spacing w:val="1"/>
        </w:rPr>
        <w:t> </w:t>
      </w:r>
      <w:r>
        <w:rPr>
          <w:rFonts w:ascii="Times New Roman"/>
          <w:color w:val="010202"/>
        </w:rPr>
        <w:t>collection</w:t>
      </w:r>
      <w:r>
        <w:rPr>
          <w:rFonts w:ascii="Times New Roman"/>
          <w:color w:val="010202"/>
          <w:spacing w:val="-1"/>
        </w:rPr>
        <w:t> </w:t>
      </w:r>
      <w:r>
        <w:rPr>
          <w:rFonts w:ascii="Times New Roman"/>
          <w:color w:val="010202"/>
        </w:rPr>
        <w:t>is</w:t>
      </w:r>
      <w:r>
        <w:rPr>
          <w:rFonts w:ascii="Times New Roman"/>
          <w:color w:val="010202"/>
          <w:spacing w:val="-1"/>
        </w:rPr>
        <w:t> </w:t>
      </w:r>
      <w:r>
        <w:rPr>
          <w:rFonts w:ascii="Times New Roman"/>
          <w:color w:val="010202"/>
        </w:rPr>
        <w:t>evaluation</w:t>
      </w:r>
      <w:r>
        <w:rPr>
          <w:rFonts w:ascii="Times New Roman"/>
          <w:color w:val="010202"/>
          <w:spacing w:val="-1"/>
        </w:rPr>
        <w:t> </w:t>
      </w:r>
      <w:r>
        <w:rPr>
          <w:rFonts w:ascii="Times New Roman"/>
          <w:color w:val="010202"/>
        </w:rPr>
        <w:t>or</w:t>
      </w:r>
      <w:r>
        <w:rPr>
          <w:rFonts w:ascii="Times New Roman"/>
          <w:color w:val="010202"/>
          <w:spacing w:val="-6"/>
        </w:rPr>
        <w:t> </w:t>
      </w:r>
      <w:r>
        <w:rPr>
          <w:rFonts w:ascii="Times New Roman"/>
          <w:color w:val="010202"/>
        </w:rPr>
        <w:t>research.</w:t>
      </w:r>
    </w:p>
    <w:p>
      <w:pPr>
        <w:pStyle w:val="BodyText"/>
        <w:spacing w:line="266" w:lineRule="auto" w:before="45"/>
        <w:ind w:left="839" w:right="190"/>
      </w:pPr>
      <w:r>
        <w:rPr>
          <w:color w:val="231F20"/>
        </w:rPr>
        <w:t>Qualitative and quantitative evaluation and</w:t>
      </w:r>
      <w:r>
        <w:rPr>
          <w:color w:val="231F20"/>
          <w:spacing w:val="1"/>
        </w:rPr>
        <w:t> </w:t>
      </w:r>
      <w:r>
        <w:rPr>
          <w:color w:val="231F20"/>
          <w:spacing w:val="-2"/>
        </w:rPr>
        <w:t>research</w:t>
      </w:r>
      <w:r>
        <w:rPr>
          <w:color w:val="231F20"/>
          <w:spacing w:val="-12"/>
        </w:rPr>
        <w:t> </w:t>
      </w:r>
      <w:r>
        <w:rPr>
          <w:color w:val="231F20"/>
          <w:spacing w:val="-2"/>
        </w:rPr>
        <w:t>enable</w:t>
      </w:r>
      <w:r>
        <w:rPr>
          <w:color w:val="231F20"/>
          <w:spacing w:val="-12"/>
        </w:rPr>
        <w:t> </w:t>
      </w:r>
      <w:r>
        <w:rPr>
          <w:color w:val="231F20"/>
          <w:spacing w:val="-2"/>
        </w:rPr>
        <w:t>managers</w:t>
      </w:r>
      <w:r>
        <w:rPr>
          <w:color w:val="231F20"/>
          <w:spacing w:val="-11"/>
        </w:rPr>
        <w:t> </w:t>
      </w:r>
      <w:r>
        <w:rPr>
          <w:color w:val="231F20"/>
          <w:spacing w:val="-1"/>
        </w:rPr>
        <w:t>and</w:t>
      </w:r>
      <w:r>
        <w:rPr>
          <w:color w:val="231F20"/>
          <w:spacing w:val="-12"/>
        </w:rPr>
        <w:t> </w:t>
      </w:r>
      <w:r>
        <w:rPr>
          <w:color w:val="231F20"/>
          <w:spacing w:val="-1"/>
        </w:rPr>
        <w:t>clinicians</w:t>
      </w:r>
      <w:r>
        <w:rPr>
          <w:color w:val="231F20"/>
          <w:spacing w:val="-11"/>
        </w:rPr>
        <w:t> </w:t>
      </w:r>
      <w:r>
        <w:rPr>
          <w:color w:val="231F20"/>
          <w:spacing w:val="-1"/>
        </w:rPr>
        <w:t>to</w:t>
      </w:r>
      <w:r>
        <w:rPr>
          <w:color w:val="231F20"/>
          <w:spacing w:val="-12"/>
        </w:rPr>
        <w:t> </w:t>
      </w:r>
      <w:r>
        <w:rPr>
          <w:color w:val="231F20"/>
          <w:spacing w:val="-1"/>
        </w:rPr>
        <w:t>learn</w:t>
      </w:r>
      <w:r>
        <w:rPr>
          <w:color w:val="231F20"/>
          <w:spacing w:val="-52"/>
        </w:rPr>
        <w:t> </w:t>
      </w:r>
      <w:r>
        <w:rPr>
          <w:color w:val="231F20"/>
          <w:spacing w:val="-1"/>
        </w:rPr>
        <w:t>from clients and obtain the perspective </w:t>
      </w:r>
      <w:r>
        <w:rPr>
          <w:color w:val="231F20"/>
        </w:rPr>
        <w:t>of those</w:t>
      </w:r>
      <w:r>
        <w:rPr>
          <w:color w:val="231F20"/>
          <w:spacing w:val="-52"/>
        </w:rPr>
        <w:t> </w:t>
      </w:r>
      <w:r>
        <w:rPr>
          <w:color w:val="231F20"/>
        </w:rPr>
        <w:t>with lived experiences. Both evaluation and</w:t>
      </w:r>
      <w:r>
        <w:rPr>
          <w:color w:val="231F20"/>
          <w:spacing w:val="1"/>
        </w:rPr>
        <w:t> </w:t>
      </w:r>
      <w:r>
        <w:rPr>
          <w:color w:val="231F20"/>
          <w:spacing w:val="-1"/>
        </w:rPr>
        <w:t>research can also involve </w:t>
      </w:r>
      <w:r>
        <w:rPr>
          <w:color w:val="231F20"/>
        </w:rPr>
        <w:t>collecting data from</w:t>
      </w:r>
      <w:r>
        <w:rPr>
          <w:color w:val="231F20"/>
          <w:spacing w:val="1"/>
        </w:rPr>
        <w:t> </w:t>
      </w:r>
      <w:r>
        <w:rPr>
          <w:color w:val="231F20"/>
        </w:rPr>
        <w:t>staff</w:t>
      </w:r>
      <w:r>
        <w:rPr>
          <w:color w:val="231F20"/>
          <w:spacing w:val="-13"/>
        </w:rPr>
        <w:t> </w:t>
      </w:r>
      <w:r>
        <w:rPr>
          <w:color w:val="231F20"/>
        </w:rPr>
        <w:t>who</w:t>
      </w:r>
      <w:r>
        <w:rPr>
          <w:color w:val="231F20"/>
          <w:spacing w:val="-14"/>
        </w:rPr>
        <w:t> </w:t>
      </w:r>
      <w:r>
        <w:rPr>
          <w:color w:val="231F20"/>
        </w:rPr>
        <w:t>deliver</w:t>
      </w:r>
      <w:r>
        <w:rPr>
          <w:color w:val="231F20"/>
          <w:spacing w:val="-14"/>
        </w:rPr>
        <w:t> </w:t>
      </w:r>
      <w:r>
        <w:rPr>
          <w:color w:val="231F20"/>
        </w:rPr>
        <w:t>the</w:t>
      </w:r>
      <w:r>
        <w:rPr>
          <w:color w:val="231F20"/>
          <w:spacing w:val="-13"/>
        </w:rPr>
        <w:t> </w:t>
      </w:r>
      <w:r>
        <w:rPr>
          <w:color w:val="231F20"/>
        </w:rPr>
        <w:t>treatment</w:t>
      </w:r>
      <w:r>
        <w:rPr>
          <w:color w:val="231F20"/>
          <w:spacing w:val="-14"/>
        </w:rPr>
        <w:t> </w:t>
      </w:r>
      <w:r>
        <w:rPr>
          <w:color w:val="231F20"/>
        </w:rPr>
        <w:t>via</w:t>
      </w:r>
      <w:r>
        <w:rPr>
          <w:color w:val="231F20"/>
          <w:spacing w:val="-14"/>
        </w:rPr>
        <w:t> </w:t>
      </w:r>
      <w:r>
        <w:rPr>
          <w:color w:val="231F20"/>
        </w:rPr>
        <w:t>telehealth</w:t>
      </w:r>
    </w:p>
    <w:p>
      <w:pPr>
        <w:pStyle w:val="BodyText"/>
        <w:spacing w:line="266" w:lineRule="auto"/>
        <w:ind w:left="839" w:right="115"/>
      </w:pPr>
      <w:r>
        <w:rPr>
          <w:color w:val="231F20"/>
          <w:spacing w:val="-2"/>
        </w:rPr>
        <w:t>to</w:t>
      </w:r>
      <w:r>
        <w:rPr>
          <w:color w:val="231F20"/>
          <w:spacing w:val="-12"/>
        </w:rPr>
        <w:t> </w:t>
      </w:r>
      <w:r>
        <w:rPr>
          <w:color w:val="231F20"/>
          <w:spacing w:val="-2"/>
        </w:rPr>
        <w:t>obtain</w:t>
      </w:r>
      <w:r>
        <w:rPr>
          <w:color w:val="231F20"/>
          <w:spacing w:val="-11"/>
        </w:rPr>
        <w:t> </w:t>
      </w:r>
      <w:r>
        <w:rPr>
          <w:color w:val="231F20"/>
          <w:spacing w:val="-2"/>
        </w:rPr>
        <w:t>their</w:t>
      </w:r>
      <w:r>
        <w:rPr>
          <w:color w:val="231F20"/>
          <w:spacing w:val="-11"/>
        </w:rPr>
        <w:t> </w:t>
      </w:r>
      <w:r>
        <w:rPr>
          <w:color w:val="231F20"/>
          <w:spacing w:val="-2"/>
        </w:rPr>
        <w:t>perspectives</w:t>
      </w:r>
      <w:r>
        <w:rPr>
          <w:color w:val="231F20"/>
          <w:spacing w:val="-11"/>
        </w:rPr>
        <w:t> </w:t>
      </w:r>
      <w:r>
        <w:rPr>
          <w:color w:val="231F20"/>
          <w:spacing w:val="-1"/>
        </w:rPr>
        <w:t>on</w:t>
      </w:r>
      <w:r>
        <w:rPr>
          <w:color w:val="231F20"/>
          <w:spacing w:val="-11"/>
        </w:rPr>
        <w:t> </w:t>
      </w:r>
      <w:r>
        <w:rPr>
          <w:color w:val="231F20"/>
          <w:spacing w:val="-1"/>
        </w:rPr>
        <w:t>facilitators</w:t>
      </w:r>
      <w:r>
        <w:rPr>
          <w:color w:val="231F20"/>
          <w:spacing w:val="-11"/>
        </w:rPr>
        <w:t> </w:t>
      </w:r>
      <w:r>
        <w:rPr>
          <w:color w:val="231F20"/>
          <w:spacing w:val="-1"/>
        </w:rPr>
        <w:t>and</w:t>
      </w:r>
      <w:r>
        <w:rPr>
          <w:color w:val="231F20"/>
          <w:spacing w:val="-52"/>
        </w:rPr>
        <w:t> </w:t>
      </w:r>
      <w:r>
        <w:rPr>
          <w:color w:val="231F20"/>
        </w:rPr>
        <w:t>challenges</w:t>
      </w:r>
      <w:r>
        <w:rPr>
          <w:color w:val="231F20"/>
          <w:spacing w:val="-14"/>
        </w:rPr>
        <w:t> </w:t>
      </w:r>
      <w:r>
        <w:rPr>
          <w:color w:val="231F20"/>
        </w:rPr>
        <w:t>to</w:t>
      </w:r>
      <w:r>
        <w:rPr>
          <w:color w:val="231F20"/>
          <w:spacing w:val="-13"/>
        </w:rPr>
        <w:t> </w:t>
      </w:r>
      <w:r>
        <w:rPr>
          <w:color w:val="231F20"/>
        </w:rPr>
        <w:t>telehealth</w:t>
      </w:r>
      <w:r>
        <w:rPr>
          <w:color w:val="231F20"/>
          <w:spacing w:val="-13"/>
        </w:rPr>
        <w:t> </w:t>
      </w:r>
      <w:r>
        <w:rPr>
          <w:color w:val="231F20"/>
        </w:rPr>
        <w:t>implementation.</w:t>
      </w:r>
    </w:p>
    <w:p>
      <w:pPr>
        <w:pStyle w:val="BodyText"/>
        <w:spacing w:line="266" w:lineRule="auto" w:before="174"/>
        <w:ind w:left="839" w:right="33"/>
      </w:pPr>
      <w:r>
        <w:rPr>
          <w:color w:val="231F20"/>
          <w:spacing w:val="-6"/>
        </w:rPr>
        <w:t>Where program evaluation </w:t>
      </w:r>
      <w:r>
        <w:rPr>
          <w:color w:val="231F20"/>
          <w:spacing w:val="-5"/>
        </w:rPr>
        <w:t>supports program</w:t>
      </w:r>
      <w:r>
        <w:rPr>
          <w:color w:val="231F20"/>
          <w:spacing w:val="-4"/>
        </w:rPr>
        <w:t> </w:t>
      </w:r>
      <w:r>
        <w:rPr>
          <w:color w:val="231F20"/>
          <w:spacing w:val="-6"/>
        </w:rPr>
        <w:t>improvement, research systematically </w:t>
      </w:r>
      <w:r>
        <w:rPr>
          <w:color w:val="231F20"/>
          <w:spacing w:val="-5"/>
        </w:rPr>
        <w:t>follows study</w:t>
      </w:r>
      <w:r>
        <w:rPr>
          <w:color w:val="231F20"/>
          <w:spacing w:val="-52"/>
        </w:rPr>
        <w:t> </w:t>
      </w:r>
      <w:r>
        <w:rPr>
          <w:color w:val="231F20"/>
          <w:spacing w:val="-6"/>
        </w:rPr>
        <w:t>protocols</w:t>
      </w:r>
      <w:r>
        <w:rPr>
          <w:color w:val="231F20"/>
          <w:spacing w:val="-11"/>
        </w:rPr>
        <w:t> </w:t>
      </w:r>
      <w:r>
        <w:rPr>
          <w:color w:val="231F20"/>
          <w:spacing w:val="-6"/>
        </w:rPr>
        <w:t>to</w:t>
      </w:r>
      <w:r>
        <w:rPr>
          <w:color w:val="231F20"/>
          <w:spacing w:val="-11"/>
        </w:rPr>
        <w:t> </w:t>
      </w:r>
      <w:r>
        <w:rPr>
          <w:color w:val="231F20"/>
          <w:spacing w:val="-6"/>
        </w:rPr>
        <w:t>develop</w:t>
      </w:r>
      <w:r>
        <w:rPr>
          <w:color w:val="231F20"/>
          <w:spacing w:val="-11"/>
        </w:rPr>
        <w:t> </w:t>
      </w:r>
      <w:r>
        <w:rPr>
          <w:color w:val="231F20"/>
          <w:spacing w:val="-5"/>
        </w:rPr>
        <w:t>generalizable</w:t>
      </w:r>
      <w:r>
        <w:rPr>
          <w:color w:val="231F20"/>
          <w:spacing w:val="-11"/>
        </w:rPr>
        <w:t> </w:t>
      </w:r>
      <w:r>
        <w:rPr>
          <w:color w:val="231F20"/>
          <w:spacing w:val="-5"/>
        </w:rPr>
        <w:t>knowledge.</w:t>
      </w:r>
    </w:p>
    <w:p>
      <w:pPr>
        <w:pStyle w:val="BodyText"/>
        <w:spacing w:line="266" w:lineRule="auto"/>
        <w:ind w:left="839" w:right="48"/>
      </w:pPr>
      <w:r>
        <w:rPr>
          <w:color w:val="231F20"/>
          <w:spacing w:val="-6"/>
        </w:rPr>
        <w:t>Research requires </w:t>
      </w:r>
      <w:r>
        <w:rPr>
          <w:color w:val="231F20"/>
          <w:spacing w:val="-5"/>
        </w:rPr>
        <w:t>protocol and procedure approval</w:t>
      </w:r>
      <w:r>
        <w:rPr>
          <w:color w:val="231F20"/>
          <w:spacing w:val="-4"/>
        </w:rPr>
        <w:t> </w:t>
      </w:r>
      <w:r>
        <w:rPr>
          <w:color w:val="231F20"/>
          <w:spacing w:val="-5"/>
        </w:rPr>
        <w:t>by</w:t>
      </w:r>
      <w:r>
        <w:rPr>
          <w:color w:val="231F20"/>
          <w:spacing w:val="-3"/>
        </w:rPr>
        <w:t> </w:t>
      </w:r>
      <w:r>
        <w:rPr>
          <w:color w:val="231F20"/>
          <w:spacing w:val="-5"/>
        </w:rPr>
        <w:t>an</w:t>
      </w:r>
      <w:r>
        <w:rPr>
          <w:color w:val="231F20"/>
          <w:spacing w:val="-2"/>
        </w:rPr>
        <w:t> </w:t>
      </w:r>
      <w:r>
        <w:rPr>
          <w:color w:val="231F20"/>
          <w:spacing w:val="-5"/>
        </w:rPr>
        <w:t>Institutional</w:t>
      </w:r>
      <w:r>
        <w:rPr>
          <w:color w:val="231F20"/>
          <w:spacing w:val="-2"/>
        </w:rPr>
        <w:t> </w:t>
      </w:r>
      <w:r>
        <w:rPr>
          <w:color w:val="231F20"/>
          <w:spacing w:val="-5"/>
        </w:rPr>
        <w:t>Review</w:t>
      </w:r>
      <w:r>
        <w:rPr>
          <w:color w:val="231F20"/>
          <w:spacing w:val="-2"/>
        </w:rPr>
        <w:t> </w:t>
      </w:r>
      <w:r>
        <w:rPr>
          <w:color w:val="231F20"/>
          <w:spacing w:val="-5"/>
        </w:rPr>
        <w:t>Board</w:t>
      </w:r>
      <w:r>
        <w:rPr>
          <w:color w:val="231F20"/>
          <w:spacing w:val="-2"/>
        </w:rPr>
        <w:t> </w:t>
      </w:r>
      <w:r>
        <w:rPr>
          <w:color w:val="231F20"/>
          <w:spacing w:val="-5"/>
        </w:rPr>
        <w:t>(IRB)</w:t>
      </w:r>
      <w:r>
        <w:rPr>
          <w:color w:val="231F20"/>
          <w:spacing w:val="-3"/>
        </w:rPr>
        <w:t> </w:t>
      </w:r>
      <w:r>
        <w:rPr>
          <w:color w:val="231F20"/>
          <w:spacing w:val="-5"/>
        </w:rPr>
        <w:t>to</w:t>
      </w:r>
      <w:r>
        <w:rPr>
          <w:color w:val="231F20"/>
          <w:spacing w:val="-2"/>
        </w:rPr>
        <w:t> </w:t>
      </w:r>
      <w:r>
        <w:rPr>
          <w:color w:val="231F20"/>
          <w:spacing w:val="-5"/>
        </w:rPr>
        <w:t>adhere</w:t>
      </w:r>
      <w:r>
        <w:rPr>
          <w:color w:val="231F20"/>
          <w:spacing w:val="-4"/>
        </w:rPr>
        <w:t> </w:t>
      </w:r>
      <w:r>
        <w:rPr>
          <w:color w:val="231F20"/>
          <w:spacing w:val="-6"/>
        </w:rPr>
        <w:t>to human subject </w:t>
      </w:r>
      <w:r>
        <w:rPr>
          <w:color w:val="231F20"/>
          <w:spacing w:val="-5"/>
        </w:rPr>
        <w:t>research protections. Most</w:t>
      </w:r>
      <w:r>
        <w:rPr>
          <w:color w:val="231F20"/>
          <w:spacing w:val="-4"/>
        </w:rPr>
        <w:t> </w:t>
      </w:r>
      <w:r>
        <w:rPr>
          <w:color w:val="231F20"/>
          <w:spacing w:val="-6"/>
        </w:rPr>
        <w:t>evaluations and </w:t>
      </w:r>
      <w:r>
        <w:rPr>
          <w:color w:val="231F20"/>
          <w:spacing w:val="-5"/>
        </w:rPr>
        <w:t>quality improvement projects do</w:t>
      </w:r>
      <w:r>
        <w:rPr>
          <w:color w:val="231F20"/>
          <w:spacing w:val="-4"/>
        </w:rPr>
        <w:t> </w:t>
      </w:r>
      <w:r>
        <w:rPr>
          <w:color w:val="231F20"/>
          <w:spacing w:val="-6"/>
        </w:rPr>
        <w:t>not require </w:t>
      </w:r>
      <w:r>
        <w:rPr>
          <w:color w:val="231F20"/>
          <w:spacing w:val="-5"/>
        </w:rPr>
        <w:t>IRB approval, but researchers should</w:t>
      </w:r>
      <w:r>
        <w:rPr>
          <w:color w:val="231F20"/>
          <w:spacing w:val="-4"/>
        </w:rPr>
        <w:t> </w:t>
      </w:r>
      <w:r>
        <w:rPr>
          <w:color w:val="231F20"/>
          <w:spacing w:val="-6"/>
        </w:rPr>
        <w:t>consult with their </w:t>
      </w:r>
      <w:r>
        <w:rPr>
          <w:color w:val="231F20"/>
          <w:spacing w:val="-5"/>
        </w:rPr>
        <w:t>institutions during evaluation</w:t>
      </w:r>
      <w:r>
        <w:rPr>
          <w:color w:val="231F20"/>
          <w:spacing w:val="-4"/>
        </w:rPr>
        <w:t> </w:t>
      </w:r>
      <w:r>
        <w:rPr>
          <w:color w:val="231F20"/>
          <w:spacing w:val="-6"/>
        </w:rPr>
        <w:t>design</w:t>
      </w:r>
      <w:r>
        <w:rPr>
          <w:color w:val="231F20"/>
          <w:spacing w:val="-11"/>
        </w:rPr>
        <w:t> </w:t>
      </w:r>
      <w:r>
        <w:rPr>
          <w:color w:val="231F20"/>
          <w:spacing w:val="-5"/>
        </w:rPr>
        <w:t>to</w:t>
      </w:r>
      <w:r>
        <w:rPr>
          <w:color w:val="231F20"/>
          <w:spacing w:val="-11"/>
        </w:rPr>
        <w:t> </w:t>
      </w:r>
      <w:r>
        <w:rPr>
          <w:color w:val="231F20"/>
          <w:spacing w:val="-5"/>
        </w:rPr>
        <w:t>ensure</w:t>
      </w:r>
      <w:r>
        <w:rPr>
          <w:color w:val="231F20"/>
          <w:spacing w:val="-10"/>
        </w:rPr>
        <w:t> </w:t>
      </w:r>
      <w:r>
        <w:rPr>
          <w:color w:val="231F20"/>
          <w:spacing w:val="-5"/>
        </w:rPr>
        <w:t>they</w:t>
      </w:r>
      <w:r>
        <w:rPr>
          <w:color w:val="231F20"/>
          <w:spacing w:val="-11"/>
        </w:rPr>
        <w:t> </w:t>
      </w:r>
      <w:r>
        <w:rPr>
          <w:color w:val="231F20"/>
          <w:spacing w:val="-5"/>
        </w:rPr>
        <w:t>are</w:t>
      </w:r>
      <w:r>
        <w:rPr>
          <w:color w:val="231F20"/>
          <w:spacing w:val="-11"/>
        </w:rPr>
        <w:t> </w:t>
      </w:r>
      <w:r>
        <w:rPr>
          <w:color w:val="231F20"/>
          <w:spacing w:val="-5"/>
        </w:rPr>
        <w:t>following</w:t>
      </w:r>
      <w:r>
        <w:rPr>
          <w:color w:val="231F20"/>
          <w:spacing w:val="-10"/>
        </w:rPr>
        <w:t> </w:t>
      </w:r>
      <w:r>
        <w:rPr>
          <w:color w:val="231F20"/>
          <w:spacing w:val="-5"/>
        </w:rPr>
        <w:t>appropriate</w:t>
      </w:r>
      <w:r>
        <w:rPr>
          <w:color w:val="231F20"/>
          <w:spacing w:val="-11"/>
        </w:rPr>
        <w:t> </w:t>
      </w:r>
      <w:r>
        <w:rPr>
          <w:color w:val="231F20"/>
          <w:spacing w:val="-5"/>
        </w:rPr>
        <w:t>data</w:t>
      </w:r>
      <w:r>
        <w:rPr>
          <w:color w:val="231F20"/>
          <w:spacing w:val="-52"/>
        </w:rPr>
        <w:t> </w:t>
      </w:r>
      <w:r>
        <w:rPr>
          <w:color w:val="231F20"/>
        </w:rPr>
        <w:t>collection</w:t>
      </w:r>
      <w:r>
        <w:rPr>
          <w:color w:val="231F20"/>
          <w:spacing w:val="-14"/>
        </w:rPr>
        <w:t> </w:t>
      </w:r>
      <w:r>
        <w:rPr>
          <w:color w:val="231F20"/>
        </w:rPr>
        <w:t>procedures.</w:t>
      </w:r>
    </w:p>
    <w:p>
      <w:pPr>
        <w:spacing w:line="240" w:lineRule="auto" w:before="11" w:after="0"/>
        <w:rPr>
          <w:sz w:val="10"/>
        </w:rPr>
      </w:pPr>
      <w:r>
        <w:rPr/>
        <w:br w:type="column"/>
      </w:r>
      <w:r>
        <w:rPr>
          <w:sz w:val="10"/>
        </w:rPr>
      </w:r>
    </w:p>
    <w:p>
      <w:pPr>
        <w:pStyle w:val="BodyText"/>
        <w:ind w:left="-241"/>
        <w:rPr>
          <w:sz w:val="20"/>
        </w:rPr>
      </w:pPr>
      <w:r>
        <w:rPr>
          <w:sz w:val="20"/>
        </w:rPr>
        <w:pict>
          <v:group style="width:252.05pt;height:250.4pt;mso-position-horizontal-relative:char;mso-position-vertical-relative:line" id="docshapegroup196" coordorigin="0,0" coordsize="5041,5008">
            <v:shape style="position:absolute;left:0;top:0;width:5041;height:5008" id="docshape197" coordorigin="0,0" coordsize="5041,5008" path="m4951,0l90,0,55,7,26,26,7,55,0,90,0,4918,7,4953,26,4982,55,5001,90,5008,4951,5008,4986,5001,5015,4982,5034,4953,5041,4918,5041,90,5034,55,5015,26,4986,7,4951,0xe" filled="true" fillcolor="#f7e0e0" stroked="false">
              <v:path arrowok="t"/>
              <v:fill type="solid"/>
            </v:shape>
            <v:shape style="position:absolute;left:0;top:0;width:5041;height:5008" type="#_x0000_t202" id="docshape198" filled="false" stroked="false">
              <v:textbox inset="0,0,0,0">
                <w:txbxContent>
                  <w:p>
                    <w:pPr>
                      <w:spacing w:line="259" w:lineRule="auto" w:before="156"/>
                      <w:ind w:left="180" w:right="168" w:firstLine="0"/>
                      <w:jc w:val="left"/>
                      <w:rPr>
                        <w:rFonts w:ascii="Arial"/>
                        <w:sz w:val="21"/>
                      </w:rPr>
                    </w:pPr>
                    <w:r>
                      <w:rPr>
                        <w:rFonts w:ascii="Arial"/>
                        <w:b/>
                        <w:color w:val="CE384B"/>
                        <w:sz w:val="21"/>
                      </w:rPr>
                      <w:t>Qualitative and quantitative data </w:t>
                    </w:r>
                    <w:r>
                      <w:rPr>
                        <w:rFonts w:ascii="Arial"/>
                        <w:color w:val="231F20"/>
                        <w:sz w:val="21"/>
                      </w:rPr>
                      <w:t>are</w:t>
                    </w:r>
                    <w:r>
                      <w:rPr>
                        <w:rFonts w:ascii="Arial"/>
                        <w:color w:val="231F20"/>
                        <w:spacing w:val="1"/>
                        <w:sz w:val="21"/>
                      </w:rPr>
                      <w:t> </w:t>
                    </w:r>
                    <w:r>
                      <w:rPr>
                        <w:rFonts w:ascii="Arial"/>
                        <w:color w:val="231F20"/>
                        <w:spacing w:val="-1"/>
                        <w:sz w:val="21"/>
                      </w:rPr>
                      <w:t>complementary.</w:t>
                    </w:r>
                    <w:r>
                      <w:rPr>
                        <w:rFonts w:ascii="Arial"/>
                        <w:color w:val="231F20"/>
                        <w:spacing w:val="-13"/>
                        <w:sz w:val="21"/>
                      </w:rPr>
                      <w:t> </w:t>
                    </w:r>
                    <w:r>
                      <w:rPr>
                        <w:rFonts w:ascii="Arial"/>
                        <w:color w:val="231F20"/>
                        <w:sz w:val="21"/>
                      </w:rPr>
                      <w:t>Each</w:t>
                    </w:r>
                    <w:r>
                      <w:rPr>
                        <w:rFonts w:ascii="Arial"/>
                        <w:color w:val="231F20"/>
                        <w:spacing w:val="-13"/>
                        <w:sz w:val="21"/>
                      </w:rPr>
                      <w:t> </w:t>
                    </w:r>
                    <w:r>
                      <w:rPr>
                        <w:rFonts w:ascii="Arial"/>
                        <w:color w:val="231F20"/>
                        <w:sz w:val="21"/>
                      </w:rPr>
                      <w:t>provides</w:t>
                    </w:r>
                    <w:r>
                      <w:rPr>
                        <w:rFonts w:ascii="Arial"/>
                        <w:color w:val="231F20"/>
                        <w:spacing w:val="-13"/>
                        <w:sz w:val="21"/>
                      </w:rPr>
                      <w:t> </w:t>
                    </w:r>
                    <w:r>
                      <w:rPr>
                        <w:rFonts w:ascii="Arial"/>
                        <w:color w:val="231F20"/>
                        <w:sz w:val="21"/>
                      </w:rPr>
                      <w:t>critical</w:t>
                    </w:r>
                    <w:r>
                      <w:rPr>
                        <w:rFonts w:ascii="Arial"/>
                        <w:color w:val="231F20"/>
                        <w:spacing w:val="-13"/>
                        <w:sz w:val="21"/>
                      </w:rPr>
                      <w:t> </w:t>
                    </w:r>
                    <w:r>
                      <w:rPr>
                        <w:rFonts w:ascii="Arial"/>
                        <w:color w:val="231F20"/>
                        <w:sz w:val="21"/>
                      </w:rPr>
                      <w:t>insight</w:t>
                    </w:r>
                    <w:r>
                      <w:rPr>
                        <w:rFonts w:ascii="Arial"/>
                        <w:color w:val="231F20"/>
                        <w:spacing w:val="-12"/>
                        <w:sz w:val="21"/>
                      </w:rPr>
                      <w:t> </w:t>
                    </w:r>
                    <w:r>
                      <w:rPr>
                        <w:rFonts w:ascii="Arial"/>
                        <w:color w:val="231F20"/>
                        <w:sz w:val="21"/>
                      </w:rPr>
                      <w:t>into</w:t>
                    </w:r>
                    <w:r>
                      <w:rPr>
                        <w:rFonts w:ascii="Arial"/>
                        <w:color w:val="231F20"/>
                        <w:spacing w:val="-12"/>
                        <w:sz w:val="21"/>
                      </w:rPr>
                      <w:t> </w:t>
                    </w:r>
                    <w:r>
                      <w:rPr>
                        <w:rFonts w:ascii="Arial"/>
                        <w:color w:val="231F20"/>
                        <w:sz w:val="21"/>
                      </w:rPr>
                      <w:t>if</w:t>
                    </w:r>
                    <w:r>
                      <w:rPr>
                        <w:rFonts w:ascii="Arial"/>
                        <w:color w:val="231F20"/>
                        <w:spacing w:val="-55"/>
                        <w:sz w:val="21"/>
                      </w:rPr>
                      <w:t> </w:t>
                    </w:r>
                    <w:r>
                      <w:rPr>
                        <w:rFonts w:ascii="Arial"/>
                        <w:color w:val="231F20"/>
                        <w:spacing w:val="-2"/>
                        <w:sz w:val="21"/>
                      </w:rPr>
                      <w:t>and</w:t>
                    </w:r>
                    <w:r>
                      <w:rPr>
                        <w:rFonts w:ascii="Arial"/>
                        <w:color w:val="231F20"/>
                        <w:spacing w:val="-12"/>
                        <w:sz w:val="21"/>
                      </w:rPr>
                      <w:t> </w:t>
                    </w:r>
                    <w:r>
                      <w:rPr>
                        <w:rFonts w:ascii="Arial"/>
                        <w:color w:val="231F20"/>
                        <w:spacing w:val="-2"/>
                        <w:sz w:val="21"/>
                      </w:rPr>
                      <w:t>how</w:t>
                    </w:r>
                    <w:r>
                      <w:rPr>
                        <w:rFonts w:ascii="Arial"/>
                        <w:color w:val="231F20"/>
                        <w:spacing w:val="-11"/>
                        <w:sz w:val="21"/>
                      </w:rPr>
                      <w:t> </w:t>
                    </w:r>
                    <w:r>
                      <w:rPr>
                        <w:rFonts w:ascii="Arial"/>
                        <w:color w:val="231F20"/>
                        <w:spacing w:val="-2"/>
                        <w:sz w:val="21"/>
                      </w:rPr>
                      <w:t>the</w:t>
                    </w:r>
                    <w:r>
                      <w:rPr>
                        <w:rFonts w:ascii="Arial"/>
                        <w:color w:val="231F20"/>
                        <w:spacing w:val="-11"/>
                        <w:sz w:val="21"/>
                      </w:rPr>
                      <w:t> </w:t>
                    </w:r>
                    <w:r>
                      <w:rPr>
                        <w:rFonts w:ascii="Arial"/>
                        <w:color w:val="231F20"/>
                        <w:spacing w:val="-2"/>
                        <w:sz w:val="21"/>
                      </w:rPr>
                      <w:t>intervention</w:t>
                    </w:r>
                    <w:r>
                      <w:rPr>
                        <w:rFonts w:ascii="Arial"/>
                        <w:color w:val="231F20"/>
                        <w:spacing w:val="-11"/>
                        <w:sz w:val="21"/>
                      </w:rPr>
                      <w:t> </w:t>
                    </w:r>
                    <w:r>
                      <w:rPr>
                        <w:rFonts w:ascii="Arial"/>
                        <w:color w:val="231F20"/>
                        <w:spacing w:val="-1"/>
                        <w:sz w:val="21"/>
                      </w:rPr>
                      <w:t>is</w:t>
                    </w:r>
                    <w:r>
                      <w:rPr>
                        <w:rFonts w:ascii="Arial"/>
                        <w:color w:val="231F20"/>
                        <w:spacing w:val="-11"/>
                        <w:sz w:val="21"/>
                      </w:rPr>
                      <w:t> </w:t>
                    </w:r>
                    <w:r>
                      <w:rPr>
                        <w:rFonts w:ascii="Arial"/>
                        <w:color w:val="231F20"/>
                        <w:spacing w:val="-1"/>
                        <w:sz w:val="21"/>
                      </w:rPr>
                      <w:t>operating</w:t>
                    </w:r>
                    <w:r>
                      <w:rPr>
                        <w:rFonts w:ascii="Arial"/>
                        <w:color w:val="231F20"/>
                        <w:spacing w:val="-11"/>
                        <w:sz w:val="21"/>
                      </w:rPr>
                      <w:t> </w:t>
                    </w:r>
                    <w:r>
                      <w:rPr>
                        <w:rFonts w:ascii="Arial"/>
                        <w:color w:val="231F20"/>
                        <w:spacing w:val="-1"/>
                        <w:sz w:val="21"/>
                      </w:rPr>
                      <w:t>and</w:t>
                    </w:r>
                    <w:r>
                      <w:rPr>
                        <w:rFonts w:ascii="Arial"/>
                        <w:color w:val="231F20"/>
                        <w:spacing w:val="-11"/>
                        <w:sz w:val="21"/>
                      </w:rPr>
                      <w:t> </w:t>
                    </w:r>
                    <w:r>
                      <w:rPr>
                        <w:rFonts w:ascii="Arial"/>
                        <w:color w:val="231F20"/>
                        <w:spacing w:val="-1"/>
                        <w:sz w:val="21"/>
                      </w:rPr>
                      <w:t>achieving</w:t>
                    </w:r>
                    <w:r>
                      <w:rPr>
                        <w:rFonts w:ascii="Arial"/>
                        <w:color w:val="231F20"/>
                        <w:spacing w:val="-56"/>
                        <w:sz w:val="21"/>
                      </w:rPr>
                      <w:t> </w:t>
                    </w:r>
                    <w:r>
                      <w:rPr>
                        <w:rFonts w:ascii="Arial"/>
                        <w:color w:val="231F20"/>
                        <w:sz w:val="21"/>
                      </w:rPr>
                      <w:t>the</w:t>
                    </w:r>
                    <w:r>
                      <w:rPr>
                        <w:rFonts w:ascii="Arial"/>
                        <w:color w:val="231F20"/>
                        <w:spacing w:val="-7"/>
                        <w:sz w:val="21"/>
                      </w:rPr>
                      <w:t> </w:t>
                    </w:r>
                    <w:r>
                      <w:rPr>
                        <w:rFonts w:ascii="Arial"/>
                        <w:color w:val="231F20"/>
                        <w:sz w:val="21"/>
                      </w:rPr>
                      <w:t>intended</w:t>
                    </w:r>
                    <w:r>
                      <w:rPr>
                        <w:rFonts w:ascii="Arial"/>
                        <w:color w:val="231F20"/>
                        <w:spacing w:val="-6"/>
                        <w:sz w:val="21"/>
                      </w:rPr>
                      <w:t> </w:t>
                    </w:r>
                    <w:r>
                      <w:rPr>
                        <w:rFonts w:ascii="Arial"/>
                        <w:color w:val="231F20"/>
                        <w:sz w:val="21"/>
                      </w:rPr>
                      <w:t>objectives.</w:t>
                    </w:r>
                  </w:p>
                  <w:p>
                    <w:pPr>
                      <w:spacing w:line="259" w:lineRule="auto" w:before="116"/>
                      <w:ind w:left="180" w:right="598" w:firstLine="0"/>
                      <w:jc w:val="left"/>
                      <w:rPr>
                        <w:rFonts w:ascii="Arial"/>
                        <w:sz w:val="21"/>
                      </w:rPr>
                    </w:pPr>
                    <w:r>
                      <w:rPr>
                        <w:rFonts w:ascii="Arial"/>
                        <w:b/>
                        <w:color w:val="CE384B"/>
                        <w:sz w:val="21"/>
                      </w:rPr>
                      <w:t>Qualitative data </w:t>
                    </w:r>
                    <w:r>
                      <w:rPr>
                        <w:rFonts w:ascii="Arial"/>
                        <w:color w:val="231F20"/>
                        <w:sz w:val="21"/>
                      </w:rPr>
                      <w:t>include any non-numeric,</w:t>
                    </w:r>
                    <w:r>
                      <w:rPr>
                        <w:rFonts w:ascii="Arial"/>
                        <w:color w:val="231F20"/>
                        <w:spacing w:val="1"/>
                        <w:sz w:val="21"/>
                      </w:rPr>
                      <w:t> </w:t>
                    </w:r>
                    <w:r>
                      <w:rPr>
                        <w:rFonts w:ascii="Arial"/>
                        <w:color w:val="231F20"/>
                        <w:sz w:val="21"/>
                      </w:rPr>
                      <w:t>text-based information, such as verbal, visual,</w:t>
                    </w:r>
                    <w:r>
                      <w:rPr>
                        <w:rFonts w:ascii="Arial"/>
                        <w:color w:val="231F20"/>
                        <w:spacing w:val="-57"/>
                        <w:sz w:val="21"/>
                      </w:rPr>
                      <w:t> </w:t>
                    </w:r>
                    <w:r>
                      <w:rPr>
                        <w:rFonts w:ascii="Arial"/>
                        <w:color w:val="231F20"/>
                        <w:sz w:val="21"/>
                      </w:rPr>
                      <w:t>or</w:t>
                    </w:r>
                    <w:r>
                      <w:rPr>
                        <w:rFonts w:ascii="Arial"/>
                        <w:color w:val="231F20"/>
                        <w:spacing w:val="-1"/>
                        <w:sz w:val="21"/>
                      </w:rPr>
                      <w:t> </w:t>
                    </w:r>
                    <w:r>
                      <w:rPr>
                        <w:rFonts w:ascii="Arial"/>
                        <w:color w:val="231F20"/>
                        <w:sz w:val="21"/>
                      </w:rPr>
                      <w:t>written data. Qualitative data collection</w:t>
                    </w:r>
                  </w:p>
                  <w:p>
                    <w:pPr>
                      <w:spacing w:line="259" w:lineRule="auto" w:before="0"/>
                      <w:ind w:left="180" w:right="218" w:firstLine="0"/>
                      <w:jc w:val="left"/>
                      <w:rPr>
                        <w:rFonts w:ascii="Arial"/>
                        <w:sz w:val="21"/>
                      </w:rPr>
                    </w:pPr>
                    <w:r>
                      <w:rPr>
                        <w:rFonts w:ascii="Arial"/>
                        <w:color w:val="231F20"/>
                        <w:sz w:val="21"/>
                      </w:rPr>
                      <w:t>methods include interviews, focus groups, clinical</w:t>
                    </w:r>
                    <w:r>
                      <w:rPr>
                        <w:rFonts w:ascii="Arial"/>
                        <w:color w:val="231F20"/>
                        <w:spacing w:val="-56"/>
                        <w:sz w:val="21"/>
                      </w:rPr>
                      <w:t> </w:t>
                    </w:r>
                    <w:r>
                      <w:rPr>
                        <w:rFonts w:ascii="Arial"/>
                        <w:color w:val="231F20"/>
                        <w:sz w:val="21"/>
                      </w:rPr>
                      <w:t>observations, gathering data from documents and</w:t>
                    </w:r>
                    <w:r>
                      <w:rPr>
                        <w:rFonts w:ascii="Arial"/>
                        <w:color w:val="231F20"/>
                        <w:spacing w:val="-57"/>
                        <w:sz w:val="21"/>
                      </w:rPr>
                      <w:t> </w:t>
                    </w:r>
                    <w:r>
                      <w:rPr>
                        <w:rFonts w:ascii="Arial"/>
                        <w:color w:val="231F20"/>
                        <w:sz w:val="21"/>
                      </w:rPr>
                      <w:t>images, and open-ended survey questions and</w:t>
                    </w:r>
                    <w:r>
                      <w:rPr>
                        <w:rFonts w:ascii="Arial"/>
                        <w:color w:val="231F20"/>
                        <w:spacing w:val="1"/>
                        <w:sz w:val="21"/>
                      </w:rPr>
                      <w:t> </w:t>
                    </w:r>
                    <w:r>
                      <w:rPr>
                        <w:rFonts w:ascii="Arial"/>
                        <w:color w:val="231F20"/>
                        <w:sz w:val="21"/>
                      </w:rPr>
                      <w:t>polling responses.</w:t>
                    </w:r>
                  </w:p>
                  <w:p>
                    <w:pPr>
                      <w:spacing w:line="259" w:lineRule="auto" w:before="115"/>
                      <w:ind w:left="180" w:right="447" w:firstLine="0"/>
                      <w:jc w:val="left"/>
                      <w:rPr>
                        <w:rFonts w:ascii="Arial"/>
                        <w:sz w:val="21"/>
                      </w:rPr>
                    </w:pPr>
                    <w:r>
                      <w:rPr>
                        <w:rFonts w:ascii="Arial"/>
                        <w:b/>
                        <w:color w:val="CE384B"/>
                        <w:sz w:val="21"/>
                      </w:rPr>
                      <w:t>Quantitative data </w:t>
                    </w:r>
                    <w:r>
                      <w:rPr>
                        <w:rFonts w:ascii="Arial"/>
                        <w:color w:val="231F20"/>
                        <w:sz w:val="21"/>
                      </w:rPr>
                      <w:t>are any numeric data that</w:t>
                    </w:r>
                    <w:r>
                      <w:rPr>
                        <w:rFonts w:ascii="Arial"/>
                        <w:color w:val="231F20"/>
                        <w:spacing w:val="1"/>
                        <w:sz w:val="21"/>
                      </w:rPr>
                      <w:t> </w:t>
                    </w:r>
                    <w:r>
                      <w:rPr>
                        <w:rFonts w:ascii="Arial"/>
                        <w:color w:val="231F20"/>
                        <w:sz w:val="21"/>
                      </w:rPr>
                      <w:t>can</w:t>
                    </w:r>
                    <w:r>
                      <w:rPr>
                        <w:rFonts w:ascii="Arial"/>
                        <w:color w:val="231F20"/>
                        <w:spacing w:val="-3"/>
                        <w:sz w:val="21"/>
                      </w:rPr>
                      <w:t> </w:t>
                    </w:r>
                    <w:r>
                      <w:rPr>
                        <w:rFonts w:ascii="Arial"/>
                        <w:color w:val="231F20"/>
                        <w:sz w:val="21"/>
                      </w:rPr>
                      <w:t>be</w:t>
                    </w:r>
                    <w:r>
                      <w:rPr>
                        <w:rFonts w:ascii="Arial"/>
                        <w:color w:val="231F20"/>
                        <w:spacing w:val="-3"/>
                        <w:sz w:val="21"/>
                      </w:rPr>
                      <w:t> </w:t>
                    </w:r>
                    <w:r>
                      <w:rPr>
                        <w:rFonts w:ascii="Arial"/>
                        <w:color w:val="231F20"/>
                        <w:sz w:val="21"/>
                      </w:rPr>
                      <w:t>processed</w:t>
                    </w:r>
                    <w:r>
                      <w:rPr>
                        <w:rFonts w:ascii="Arial"/>
                        <w:color w:val="231F20"/>
                        <w:spacing w:val="-3"/>
                        <w:sz w:val="21"/>
                      </w:rPr>
                      <w:t> </w:t>
                    </w:r>
                    <w:r>
                      <w:rPr>
                        <w:rFonts w:ascii="Arial"/>
                        <w:color w:val="231F20"/>
                        <w:sz w:val="21"/>
                      </w:rPr>
                      <w:t>by</w:t>
                    </w:r>
                    <w:r>
                      <w:rPr>
                        <w:rFonts w:ascii="Arial"/>
                        <w:color w:val="231F20"/>
                        <w:spacing w:val="-3"/>
                        <w:sz w:val="21"/>
                      </w:rPr>
                      <w:t> </w:t>
                    </w:r>
                    <w:r>
                      <w:rPr>
                        <w:rFonts w:ascii="Arial"/>
                        <w:color w:val="231F20"/>
                        <w:sz w:val="21"/>
                      </w:rPr>
                      <w:t>mathematical</w:t>
                    </w:r>
                    <w:r>
                      <w:rPr>
                        <w:rFonts w:ascii="Arial"/>
                        <w:color w:val="231F20"/>
                        <w:spacing w:val="-3"/>
                        <w:sz w:val="21"/>
                      </w:rPr>
                      <w:t> </w:t>
                    </w:r>
                    <w:r>
                      <w:rPr>
                        <w:rFonts w:ascii="Arial"/>
                        <w:color w:val="231F20"/>
                        <w:sz w:val="21"/>
                      </w:rPr>
                      <w:t>or</w:t>
                    </w:r>
                    <w:r>
                      <w:rPr>
                        <w:rFonts w:ascii="Arial"/>
                        <w:color w:val="231F20"/>
                        <w:spacing w:val="-3"/>
                        <w:sz w:val="21"/>
                      </w:rPr>
                      <w:t> </w:t>
                    </w:r>
                    <w:r>
                      <w:rPr>
                        <w:rFonts w:ascii="Arial"/>
                        <w:color w:val="231F20"/>
                        <w:sz w:val="21"/>
                      </w:rPr>
                      <w:t>statistical</w:t>
                    </w:r>
                    <w:r>
                      <w:rPr>
                        <w:rFonts w:ascii="Arial"/>
                        <w:color w:val="231F20"/>
                        <w:spacing w:val="-56"/>
                        <w:sz w:val="21"/>
                      </w:rPr>
                      <w:t> </w:t>
                    </w:r>
                    <w:r>
                      <w:rPr>
                        <w:rFonts w:ascii="Arial"/>
                        <w:color w:val="231F20"/>
                        <w:sz w:val="21"/>
                      </w:rPr>
                      <w:t>analysis. Quantitative data collection includes</w:t>
                    </w:r>
                    <w:r>
                      <w:rPr>
                        <w:rFonts w:ascii="Arial"/>
                        <w:color w:val="231F20"/>
                        <w:spacing w:val="1"/>
                        <w:sz w:val="21"/>
                      </w:rPr>
                      <w:t> </w:t>
                    </w:r>
                    <w:r>
                      <w:rPr>
                        <w:rFonts w:ascii="Arial"/>
                        <w:color w:val="231F20"/>
                        <w:sz w:val="21"/>
                      </w:rPr>
                      <w:t>close-ended survey questions and polling</w:t>
                    </w:r>
                    <w:r>
                      <w:rPr>
                        <w:rFonts w:ascii="Arial"/>
                        <w:color w:val="231F20"/>
                        <w:spacing w:val="1"/>
                        <w:sz w:val="21"/>
                      </w:rPr>
                      <w:t> </w:t>
                    </w:r>
                    <w:r>
                      <w:rPr>
                        <w:rFonts w:ascii="Arial"/>
                        <w:color w:val="231F20"/>
                        <w:sz w:val="21"/>
                      </w:rPr>
                      <w:t>responses, services and utilization data, and</w:t>
                    </w:r>
                    <w:r>
                      <w:rPr>
                        <w:rFonts w:ascii="Arial"/>
                        <w:color w:val="231F20"/>
                        <w:spacing w:val="1"/>
                        <w:sz w:val="21"/>
                      </w:rPr>
                      <w:t> </w:t>
                    </w:r>
                    <w:r>
                      <w:rPr>
                        <w:rFonts w:ascii="Arial"/>
                        <w:color w:val="231F20"/>
                        <w:sz w:val="21"/>
                      </w:rPr>
                      <w:t>claims</w:t>
                    </w:r>
                    <w:r>
                      <w:rPr>
                        <w:rFonts w:ascii="Arial"/>
                        <w:color w:val="231F20"/>
                        <w:spacing w:val="-1"/>
                        <w:sz w:val="21"/>
                      </w:rPr>
                      <w:t> </w:t>
                    </w:r>
                    <w:r>
                      <w:rPr>
                        <w:rFonts w:ascii="Arial"/>
                        <w:color w:val="231F20"/>
                        <w:sz w:val="21"/>
                      </w:rPr>
                      <w:t>and encounter data</w:t>
                    </w:r>
                  </w:p>
                </w:txbxContent>
              </v:textbox>
              <w10:wrap type="none"/>
            </v:shape>
          </v:group>
        </w:pict>
      </w:r>
      <w:r>
        <w:rPr>
          <w:sz w:val="20"/>
        </w:rPr>
      </w:r>
    </w:p>
    <w:p>
      <w:pPr>
        <w:pStyle w:val="Heading5"/>
        <w:numPr>
          <w:ilvl w:val="0"/>
          <w:numId w:val="66"/>
        </w:numPr>
        <w:tabs>
          <w:tab w:pos="480" w:val="left" w:leader="none"/>
        </w:tabs>
        <w:spacing w:line="240" w:lineRule="auto" w:before="196" w:after="0"/>
        <w:ind w:left="479" w:right="0" w:hanging="360"/>
        <w:jc w:val="left"/>
        <w:rPr>
          <w:rFonts w:ascii="Times New Roman"/>
        </w:rPr>
      </w:pPr>
      <w:r>
        <w:rPr>
          <w:rFonts w:ascii="Times New Roman"/>
          <w:color w:val="010202"/>
        </w:rPr>
        <w:t>Determine</w:t>
      </w:r>
      <w:r>
        <w:rPr>
          <w:rFonts w:ascii="Times New Roman"/>
          <w:color w:val="010202"/>
          <w:spacing w:val="-4"/>
        </w:rPr>
        <w:t> </w:t>
      </w:r>
      <w:r>
        <w:rPr>
          <w:rFonts w:ascii="Times New Roman"/>
          <w:color w:val="010202"/>
        </w:rPr>
        <w:t>outcomes</w:t>
      </w:r>
      <w:r>
        <w:rPr>
          <w:rFonts w:ascii="Times New Roman"/>
          <w:color w:val="010202"/>
          <w:spacing w:val="-3"/>
        </w:rPr>
        <w:t> </w:t>
      </w:r>
      <w:r>
        <w:rPr>
          <w:rFonts w:ascii="Times New Roman"/>
          <w:color w:val="010202"/>
        </w:rPr>
        <w:t>of</w:t>
      </w:r>
      <w:r>
        <w:rPr>
          <w:rFonts w:ascii="Times New Roman"/>
          <w:color w:val="010202"/>
          <w:spacing w:val="-3"/>
        </w:rPr>
        <w:t> </w:t>
      </w:r>
      <w:r>
        <w:rPr>
          <w:rFonts w:ascii="Times New Roman"/>
          <w:color w:val="010202"/>
        </w:rPr>
        <w:t>interest.</w:t>
      </w:r>
    </w:p>
    <w:p>
      <w:pPr>
        <w:pStyle w:val="BodyText"/>
        <w:spacing w:line="266" w:lineRule="auto" w:before="74"/>
        <w:ind w:left="479" w:right="912"/>
      </w:pPr>
      <w:r>
        <w:rPr>
          <w:color w:val="231F20"/>
        </w:rPr>
        <w:t>A challenging step in the process of</w:t>
      </w:r>
      <w:r>
        <w:rPr>
          <w:color w:val="231F20"/>
          <w:spacing w:val="1"/>
        </w:rPr>
        <w:t> </w:t>
      </w:r>
      <w:r>
        <w:rPr>
          <w:color w:val="231F20"/>
        </w:rPr>
        <w:t>implementing new practices is to determine</w:t>
      </w:r>
      <w:r>
        <w:rPr>
          <w:color w:val="231F20"/>
          <w:spacing w:val="1"/>
        </w:rPr>
        <w:t> </w:t>
      </w:r>
      <w:r>
        <w:rPr>
          <w:color w:val="231F20"/>
        </w:rPr>
        <w:t>whether they have yielded desired outcomes.</w:t>
      </w:r>
      <w:r>
        <w:rPr>
          <w:color w:val="231F20"/>
          <w:spacing w:val="1"/>
        </w:rPr>
        <w:t> </w:t>
      </w:r>
      <w:r>
        <w:rPr>
          <w:color w:val="231F20"/>
        </w:rPr>
        <w:t>An outcome is the change a program plans to</w:t>
      </w:r>
      <w:r>
        <w:rPr>
          <w:color w:val="231F20"/>
          <w:spacing w:val="1"/>
        </w:rPr>
        <w:t> </w:t>
      </w:r>
      <w:r>
        <w:rPr>
          <w:color w:val="231F20"/>
        </w:rPr>
        <w:t>accomplish through the implementation of a</w:t>
      </w:r>
      <w:r>
        <w:rPr>
          <w:color w:val="231F20"/>
          <w:spacing w:val="1"/>
        </w:rPr>
        <w:t> </w:t>
      </w:r>
      <w:r>
        <w:rPr>
          <w:color w:val="231F20"/>
        </w:rPr>
        <w:t>practice.</w:t>
      </w:r>
      <w:r>
        <w:rPr>
          <w:color w:val="231F20"/>
          <w:spacing w:val="-3"/>
        </w:rPr>
        <w:t> </w:t>
      </w:r>
      <w:r>
        <w:rPr>
          <w:color w:val="231F20"/>
        </w:rPr>
        <w:t>Evaluations</w:t>
      </w:r>
      <w:r>
        <w:rPr>
          <w:color w:val="231F20"/>
          <w:spacing w:val="-3"/>
        </w:rPr>
        <w:t> </w:t>
      </w:r>
      <w:r>
        <w:rPr>
          <w:color w:val="231F20"/>
        </w:rPr>
        <w:t>exist</w:t>
      </w:r>
      <w:r>
        <w:rPr>
          <w:color w:val="231F20"/>
          <w:spacing w:val="-3"/>
        </w:rPr>
        <w:t> </w:t>
      </w:r>
      <w:r>
        <w:rPr>
          <w:color w:val="231F20"/>
        </w:rPr>
        <w:t>across</w:t>
      </w:r>
      <w:r>
        <w:rPr>
          <w:color w:val="231F20"/>
          <w:spacing w:val="-3"/>
        </w:rPr>
        <w:t> </w:t>
      </w:r>
      <w:r>
        <w:rPr>
          <w:color w:val="231F20"/>
        </w:rPr>
        <w:t>a</w:t>
      </w:r>
      <w:r>
        <w:rPr>
          <w:color w:val="231F20"/>
          <w:spacing w:val="-3"/>
        </w:rPr>
        <w:t> </w:t>
      </w:r>
      <w:r>
        <w:rPr>
          <w:color w:val="231F20"/>
        </w:rPr>
        <w:t>continuum,</w:t>
      </w:r>
    </w:p>
    <w:p>
      <w:pPr>
        <w:spacing w:after="0" w:line="266" w:lineRule="auto"/>
        <w:sectPr>
          <w:type w:val="continuous"/>
          <w:pgSz w:w="12240" w:h="15840"/>
          <w:pgMar w:header="0" w:footer="666" w:top="1500" w:bottom="0" w:left="600" w:right="0"/>
          <w:cols w:num="2" w:equalWidth="0">
            <w:col w:w="5182" w:space="938"/>
            <w:col w:w="55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600" w:right="0"/>
        </w:sectPr>
      </w:pPr>
    </w:p>
    <w:p>
      <w:pPr>
        <w:pStyle w:val="BodyText"/>
        <w:spacing w:line="266" w:lineRule="auto" w:before="91"/>
        <w:ind w:left="840" w:right="199"/>
      </w:pPr>
      <w:r>
        <w:rPr>
          <w:color w:val="231F20"/>
        </w:rPr>
        <w:t>from tracking staff activities, numbers, client</w:t>
      </w:r>
      <w:r>
        <w:rPr>
          <w:color w:val="231F20"/>
          <w:spacing w:val="1"/>
        </w:rPr>
        <w:t> </w:t>
      </w:r>
      <w:r>
        <w:rPr>
          <w:color w:val="231F20"/>
        </w:rPr>
        <w:t>no-shows, and payments to conducting client</w:t>
      </w:r>
      <w:r>
        <w:rPr>
          <w:color w:val="231F20"/>
          <w:spacing w:val="1"/>
        </w:rPr>
        <w:t> </w:t>
      </w:r>
      <w:r>
        <w:rPr>
          <w:color w:val="231F20"/>
        </w:rPr>
        <w:t>satisfaction surveys to comparing results</w:t>
      </w:r>
      <w:r>
        <w:rPr>
          <w:color w:val="231F20"/>
          <w:spacing w:val="1"/>
        </w:rPr>
        <w:t> </w:t>
      </w:r>
      <w:r>
        <w:rPr>
          <w:color w:val="231F20"/>
        </w:rPr>
        <w:t>between clients receiving different treatment</w:t>
      </w:r>
      <w:r>
        <w:rPr>
          <w:color w:val="231F20"/>
          <w:spacing w:val="1"/>
        </w:rPr>
        <w:t> </w:t>
      </w:r>
      <w:r>
        <w:rPr>
          <w:color w:val="231F20"/>
        </w:rPr>
        <w:t>options.</w:t>
      </w:r>
      <w:r>
        <w:rPr>
          <w:color w:val="231F20"/>
          <w:spacing w:val="-4"/>
        </w:rPr>
        <w:t> </w:t>
      </w:r>
      <w:r>
        <w:rPr>
          <w:color w:val="231F20"/>
        </w:rPr>
        <w:t>Engage</w:t>
      </w:r>
      <w:r>
        <w:rPr>
          <w:color w:val="231F20"/>
          <w:spacing w:val="-3"/>
        </w:rPr>
        <w:t> </w:t>
      </w:r>
      <w:r>
        <w:rPr>
          <w:color w:val="231F20"/>
        </w:rPr>
        <w:t>stakeholders</w:t>
      </w:r>
      <w:r>
        <w:rPr>
          <w:color w:val="231F20"/>
          <w:spacing w:val="-3"/>
        </w:rPr>
        <w:t> </w:t>
      </w:r>
      <w:r>
        <w:rPr>
          <w:color w:val="231F20"/>
        </w:rPr>
        <w:t>(within</w:t>
      </w:r>
      <w:r>
        <w:rPr>
          <w:color w:val="231F20"/>
          <w:spacing w:val="-4"/>
        </w:rPr>
        <w:t> </w:t>
      </w:r>
      <w:r>
        <w:rPr>
          <w:color w:val="231F20"/>
        </w:rPr>
        <w:t>the</w:t>
      </w:r>
      <w:r>
        <w:rPr>
          <w:color w:val="231F20"/>
          <w:spacing w:val="-3"/>
        </w:rPr>
        <w:t> </w:t>
      </w:r>
      <w:r>
        <w:rPr>
          <w:color w:val="231F20"/>
        </w:rPr>
        <w:t>clinic</w:t>
      </w:r>
    </w:p>
    <w:p>
      <w:pPr>
        <w:pStyle w:val="BodyText"/>
        <w:spacing w:line="266" w:lineRule="auto"/>
        <w:ind w:left="840" w:right="71"/>
      </w:pPr>
      <w:r>
        <w:rPr>
          <w:color w:val="231F20"/>
        </w:rPr>
        <w:t>and the community) to identify both appropriate</w:t>
      </w:r>
      <w:r>
        <w:rPr>
          <w:color w:val="231F20"/>
          <w:spacing w:val="-52"/>
        </w:rPr>
        <w:t> </w:t>
      </w:r>
      <w:r>
        <w:rPr>
          <w:color w:val="231F20"/>
        </w:rPr>
        <w:t>outcomes and the metrics used to assess</w:t>
      </w:r>
      <w:r>
        <w:rPr>
          <w:color w:val="231F20"/>
          <w:spacing w:val="1"/>
        </w:rPr>
        <w:t> </w:t>
      </w:r>
      <w:r>
        <w:rPr>
          <w:color w:val="231F20"/>
        </w:rPr>
        <w:t>outcomes.</w:t>
      </w:r>
    </w:p>
    <w:p>
      <w:pPr>
        <w:pStyle w:val="ListParagraph"/>
        <w:numPr>
          <w:ilvl w:val="0"/>
          <w:numId w:val="66"/>
        </w:numPr>
        <w:tabs>
          <w:tab w:pos="840" w:val="left" w:leader="none"/>
        </w:tabs>
        <w:spacing w:line="288" w:lineRule="auto" w:before="173" w:after="0"/>
        <w:ind w:left="840" w:right="38" w:hanging="360"/>
        <w:jc w:val="both"/>
        <w:rPr>
          <w:sz w:val="22"/>
        </w:rPr>
      </w:pPr>
      <w:r>
        <w:rPr>
          <w:b/>
          <w:color w:val="010202"/>
          <w:sz w:val="22"/>
        </w:rPr>
        <w:t>Identify team members to conduct evaluation</w:t>
      </w:r>
      <w:r>
        <w:rPr>
          <w:b/>
          <w:color w:val="010202"/>
          <w:spacing w:val="-52"/>
          <w:sz w:val="22"/>
        </w:rPr>
        <w:t> </w:t>
      </w:r>
      <w:r>
        <w:rPr>
          <w:b/>
          <w:color w:val="010202"/>
          <w:sz w:val="22"/>
        </w:rPr>
        <w:t>activities and capacity to conduct evaluations.</w:t>
      </w:r>
      <w:r>
        <w:rPr>
          <w:b/>
          <w:color w:val="010202"/>
          <w:spacing w:val="-52"/>
          <w:sz w:val="22"/>
        </w:rPr>
        <w:t> </w:t>
      </w:r>
      <w:r>
        <w:rPr>
          <w:color w:val="231F20"/>
          <w:sz w:val="22"/>
        </w:rPr>
        <w:t>Regardless of the type of evaluation conducted,</w:t>
      </w:r>
    </w:p>
    <w:p>
      <w:pPr>
        <w:pStyle w:val="BodyText"/>
        <w:spacing w:line="229" w:lineRule="exact"/>
        <w:ind w:left="840"/>
        <w:jc w:val="both"/>
      </w:pPr>
      <w:r>
        <w:rPr>
          <w:color w:val="231F20"/>
        </w:rPr>
        <w:t>collecting and analyzing data takes time.</w:t>
      </w:r>
    </w:p>
    <w:p>
      <w:pPr>
        <w:pStyle w:val="BodyText"/>
        <w:spacing w:line="266" w:lineRule="auto" w:before="91"/>
        <w:ind w:left="1200" w:right="774"/>
        <w:rPr>
          <w:b/>
        </w:rPr>
      </w:pPr>
      <w:r>
        <w:rPr/>
        <w:br w:type="column"/>
      </w:r>
      <w:r>
        <w:rPr>
          <w:color w:val="231F20"/>
        </w:rPr>
        <w:t>Programs need to identify team members who</w:t>
      </w:r>
      <w:r>
        <w:rPr>
          <w:color w:val="231F20"/>
          <w:spacing w:val="1"/>
        </w:rPr>
        <w:t> </w:t>
      </w:r>
      <w:r>
        <w:rPr>
          <w:color w:val="231F20"/>
        </w:rPr>
        <w:t>can conduct evaluation activities and secure</w:t>
      </w:r>
      <w:r>
        <w:rPr>
          <w:color w:val="231F20"/>
          <w:spacing w:val="1"/>
        </w:rPr>
        <w:t> </w:t>
      </w:r>
      <w:r>
        <w:rPr>
          <w:color w:val="231F20"/>
        </w:rPr>
        <w:t>funding for evaluation trainings, data collection,</w:t>
      </w:r>
      <w:r>
        <w:rPr>
          <w:color w:val="231F20"/>
          <w:spacing w:val="-52"/>
        </w:rPr>
        <w:t> </w:t>
      </w:r>
      <w:r>
        <w:rPr>
          <w:color w:val="231F20"/>
        </w:rPr>
        <w:t>and</w:t>
      </w:r>
      <w:r>
        <w:rPr>
          <w:color w:val="231F20"/>
          <w:spacing w:val="-1"/>
        </w:rPr>
        <w:t> </w:t>
      </w:r>
      <w:r>
        <w:rPr>
          <w:color w:val="231F20"/>
        </w:rPr>
        <w:t>data analysis</w:t>
      </w:r>
      <w:r>
        <w:rPr>
          <w:b/>
          <w:color w:val="231F20"/>
        </w:rPr>
        <w:t>.</w:t>
      </w:r>
    </w:p>
    <w:p>
      <w:pPr>
        <w:pStyle w:val="Heading5"/>
        <w:spacing w:before="176"/>
        <w:ind w:left="480"/>
      </w:pPr>
      <w:r>
        <w:rPr>
          <w:color w:val="CE384B"/>
        </w:rPr>
        <w:t>Conducting Continuous Quality Improvement</w:t>
      </w:r>
    </w:p>
    <w:p>
      <w:pPr>
        <w:pStyle w:val="BodyText"/>
        <w:spacing w:before="118"/>
        <w:ind w:left="480"/>
      </w:pPr>
      <w:r>
        <w:rPr>
          <w:color w:val="231F20"/>
        </w:rPr>
        <w:t>Treatment</w:t>
      </w:r>
      <w:r>
        <w:rPr>
          <w:color w:val="231F20"/>
          <w:spacing w:val="-1"/>
        </w:rPr>
        <w:t> </w:t>
      </w:r>
      <w:r>
        <w:rPr>
          <w:color w:val="231F20"/>
        </w:rPr>
        <w:t>of</w:t>
      </w:r>
      <w:r>
        <w:rPr>
          <w:color w:val="231F20"/>
          <w:spacing w:val="-1"/>
        </w:rPr>
        <w:t> </w:t>
      </w:r>
      <w:r>
        <w:rPr>
          <w:color w:val="231F20"/>
        </w:rPr>
        <w:t>SMI</w:t>
      </w:r>
      <w:r>
        <w:rPr>
          <w:color w:val="231F20"/>
          <w:spacing w:val="-1"/>
        </w:rPr>
        <w:t> </w:t>
      </w:r>
      <w:r>
        <w:rPr>
          <w:color w:val="231F20"/>
        </w:rPr>
        <w:t>and</w:t>
      </w:r>
      <w:r>
        <w:rPr>
          <w:color w:val="231F20"/>
          <w:spacing w:val="-1"/>
        </w:rPr>
        <w:t> </w:t>
      </w:r>
      <w:r>
        <w:rPr>
          <w:color w:val="231F20"/>
        </w:rPr>
        <w:t>SUD</w:t>
      </w:r>
      <w:r>
        <w:rPr>
          <w:color w:val="231F20"/>
          <w:spacing w:val="-1"/>
        </w:rPr>
        <w:t> </w:t>
      </w:r>
      <w:r>
        <w:rPr>
          <w:color w:val="231F20"/>
        </w:rPr>
        <w:t>using</w:t>
      </w:r>
      <w:r>
        <w:rPr>
          <w:color w:val="231F20"/>
          <w:spacing w:val="-1"/>
        </w:rPr>
        <w:t> </w:t>
      </w:r>
      <w:r>
        <w:rPr>
          <w:color w:val="231F20"/>
        </w:rPr>
        <w:t>telehealth</w:t>
      </w:r>
      <w:r>
        <w:rPr>
          <w:color w:val="231F20"/>
          <w:spacing w:val="-1"/>
        </w:rPr>
        <w:t> </w:t>
      </w:r>
      <w:r>
        <w:rPr>
          <w:color w:val="231F20"/>
        </w:rPr>
        <w:t>modalities</w:t>
      </w:r>
    </w:p>
    <w:p>
      <w:pPr>
        <w:pStyle w:val="BodyText"/>
        <w:spacing w:before="27"/>
        <w:ind w:left="480"/>
      </w:pPr>
      <w:r>
        <w:rPr>
          <w:color w:val="231F20"/>
        </w:rPr>
        <w:t>may</w:t>
      </w:r>
      <w:r>
        <w:rPr>
          <w:color w:val="231F20"/>
          <w:spacing w:val="-1"/>
        </w:rPr>
        <w:t> </w:t>
      </w:r>
      <w:r>
        <w:rPr>
          <w:color w:val="231F20"/>
        </w:rPr>
        <w:t>be</w:t>
      </w:r>
      <w:r>
        <w:rPr>
          <w:color w:val="231F20"/>
          <w:spacing w:val="-1"/>
        </w:rPr>
        <w:t> </w:t>
      </w:r>
      <w:r>
        <w:rPr>
          <w:color w:val="231F20"/>
        </w:rPr>
        <w:t>new to</w:t>
      </w:r>
      <w:r>
        <w:rPr>
          <w:color w:val="231F20"/>
          <w:spacing w:val="-1"/>
        </w:rPr>
        <w:t> </w:t>
      </w:r>
      <w:r>
        <w:rPr>
          <w:color w:val="231F20"/>
        </w:rPr>
        <w:t>an organization,</w:t>
      </w:r>
      <w:r>
        <w:rPr>
          <w:color w:val="231F20"/>
          <w:spacing w:val="-1"/>
        </w:rPr>
        <w:t> </w:t>
      </w:r>
      <w:r>
        <w:rPr>
          <w:color w:val="231F20"/>
        </w:rPr>
        <w:t>and the</w:t>
      </w:r>
      <w:r>
        <w:rPr>
          <w:color w:val="231F20"/>
          <w:spacing w:val="-1"/>
        </w:rPr>
        <w:t> </w:t>
      </w:r>
      <w:r>
        <w:rPr>
          <w:color w:val="231F20"/>
        </w:rPr>
        <w:t>landscape</w:t>
      </w:r>
    </w:p>
    <w:p>
      <w:pPr>
        <w:pStyle w:val="BodyText"/>
        <w:spacing w:line="266" w:lineRule="auto" w:before="27"/>
        <w:ind w:left="480" w:right="882"/>
      </w:pPr>
      <w:r>
        <w:rPr>
          <w:color w:val="231F20"/>
        </w:rPr>
        <w:t>of telehealth and treatment is continually evolving.</w:t>
      </w:r>
      <w:r>
        <w:rPr>
          <w:color w:val="231F20"/>
          <w:spacing w:val="1"/>
        </w:rPr>
        <w:t> </w:t>
      </w:r>
      <w:r>
        <w:rPr>
          <w:color w:val="231F20"/>
        </w:rPr>
        <w:t>Continuous Quality Improvement (CQI) can be used to</w:t>
      </w:r>
      <w:r>
        <w:rPr>
          <w:color w:val="231F20"/>
          <w:spacing w:val="-53"/>
        </w:rPr>
        <w:t> </w:t>
      </w:r>
      <w:r>
        <w:rPr>
          <w:color w:val="231F20"/>
        </w:rPr>
        <w:t>systematically identify, document, and analyze barriers</w:t>
      </w:r>
      <w:r>
        <w:rPr>
          <w:color w:val="231F20"/>
          <w:spacing w:val="-52"/>
        </w:rPr>
        <w:t> </w:t>
      </w:r>
      <w:r>
        <w:rPr>
          <w:color w:val="231F20"/>
        </w:rPr>
        <w:t>and facilitators to implementation for the purposes of</w:t>
      </w:r>
      <w:r>
        <w:rPr>
          <w:color w:val="231F20"/>
          <w:spacing w:val="1"/>
        </w:rPr>
        <w:t> </w:t>
      </w:r>
      <w:r>
        <w:rPr>
          <w:color w:val="231F20"/>
        </w:rPr>
        <w:t>improving implementation.</w:t>
      </w:r>
    </w:p>
    <w:p>
      <w:pPr>
        <w:spacing w:after="0" w:line="266" w:lineRule="auto"/>
        <w:sectPr>
          <w:type w:val="continuous"/>
          <w:pgSz w:w="12240" w:h="15840"/>
          <w:pgMar w:header="0" w:footer="666" w:top="1500" w:bottom="0" w:left="600" w:right="0"/>
          <w:cols w:num="2" w:equalWidth="0">
            <w:col w:w="5172" w:space="228"/>
            <w:col w:w="6240"/>
          </w:cols>
        </w:sectPr>
      </w:pPr>
    </w:p>
    <w:p>
      <w:pPr>
        <w:pStyle w:val="BodyText"/>
        <w:spacing w:before="10"/>
        <w:rPr>
          <w:sz w:val="26"/>
        </w:rPr>
      </w:pPr>
    </w:p>
    <w:p>
      <w:pPr>
        <w:pStyle w:val="BodyText"/>
        <w:ind w:left="120"/>
        <w:rPr>
          <w:sz w:val="20"/>
        </w:rPr>
      </w:pPr>
      <w:r>
        <w:rPr>
          <w:sz w:val="20"/>
        </w:rPr>
        <w:drawing>
          <wp:inline distT="0" distB="0" distL="0" distR="0">
            <wp:extent cx="6750851" cy="4806600"/>
            <wp:effectExtent l="0" t="0" r="0" b="0"/>
            <wp:docPr id="53" name="image27.png" descr="Picture of a physician wearing a phone headset.  "/>
            <wp:cNvGraphicFramePr>
              <a:graphicFrameLocks noChangeAspect="1"/>
            </wp:cNvGraphicFramePr>
            <a:graphic>
              <a:graphicData uri="http://schemas.openxmlformats.org/drawingml/2006/picture">
                <pic:pic>
                  <pic:nvPicPr>
                    <pic:cNvPr id="54" name="image27.png"/>
                    <pic:cNvPicPr/>
                  </pic:nvPicPr>
                  <pic:blipFill>
                    <a:blip r:embed="rId333" cstate="print"/>
                    <a:stretch>
                      <a:fillRect/>
                    </a:stretch>
                  </pic:blipFill>
                  <pic:spPr>
                    <a:xfrm>
                      <a:off x="0" y="0"/>
                      <a:ext cx="6750851" cy="4806600"/>
                    </a:xfrm>
                    <a:prstGeom prst="rect">
                      <a:avLst/>
                    </a:prstGeom>
                  </pic:spPr>
                </pic:pic>
              </a:graphicData>
            </a:graphic>
          </wp:inline>
        </w:drawing>
      </w:r>
      <w:r>
        <w:rPr>
          <w:sz w:val="20"/>
        </w:rPr>
      </w:r>
    </w:p>
    <w:p>
      <w:pPr>
        <w:spacing w:after="0"/>
        <w:rPr>
          <w:sz w:val="20"/>
        </w:rPr>
        <w:sectPr>
          <w:type w:val="continuous"/>
          <w:pgSz w:w="12240" w:h="15840"/>
          <w:pgMar w:header="0" w:footer="666" w:top="1500" w:bottom="0" w:left="600" w:right="0"/>
        </w:sectPr>
      </w:pPr>
    </w:p>
    <w:p>
      <w:pPr>
        <w:pStyle w:val="BodyText"/>
        <w:rPr>
          <w:sz w:val="20"/>
        </w:rPr>
      </w:pPr>
    </w:p>
    <w:p>
      <w:pPr>
        <w:pStyle w:val="BodyText"/>
        <w:rPr>
          <w:sz w:val="20"/>
        </w:rPr>
      </w:pPr>
    </w:p>
    <w:p>
      <w:pPr>
        <w:pStyle w:val="BodyText"/>
        <w:spacing w:before="4"/>
        <w:rPr>
          <w:sz w:val="20"/>
        </w:rPr>
      </w:pPr>
    </w:p>
    <w:p>
      <w:pPr>
        <w:spacing w:after="0"/>
        <w:rPr>
          <w:sz w:val="20"/>
        </w:rPr>
        <w:sectPr>
          <w:pgSz w:w="12240" w:h="15840"/>
          <w:pgMar w:header="0" w:footer="666" w:top="380" w:bottom="860" w:left="600" w:right="0"/>
        </w:sectPr>
      </w:pPr>
    </w:p>
    <w:p>
      <w:pPr>
        <w:pStyle w:val="BodyText"/>
        <w:spacing w:before="7"/>
        <w:rPr>
          <w:sz w:val="44"/>
        </w:rPr>
      </w:pPr>
    </w:p>
    <w:p>
      <w:pPr>
        <w:spacing w:before="0"/>
        <w:ind w:left="300" w:right="0" w:firstLine="0"/>
        <w:jc w:val="left"/>
        <w:rPr>
          <w:rFonts w:ascii="Arial Black"/>
          <w:sz w:val="21"/>
        </w:rPr>
      </w:pPr>
      <w:r>
        <w:rPr>
          <w:rFonts w:ascii="Arial Black"/>
          <w:color w:val="CE372E"/>
          <w:sz w:val="21"/>
        </w:rPr>
        <w:t>What</w:t>
      </w:r>
      <w:r>
        <w:rPr>
          <w:rFonts w:ascii="Arial Black"/>
          <w:color w:val="CE372E"/>
          <w:spacing w:val="-1"/>
          <w:sz w:val="21"/>
        </w:rPr>
        <w:t> </w:t>
      </w:r>
      <w:r>
        <w:rPr>
          <w:rFonts w:ascii="Arial Black"/>
          <w:color w:val="CE372E"/>
          <w:sz w:val="21"/>
        </w:rPr>
        <w:t>is CQI?</w:t>
      </w:r>
    </w:p>
    <w:p>
      <w:pPr>
        <w:pStyle w:val="Heading3"/>
        <w:ind w:left="300"/>
      </w:pPr>
      <w:r>
        <w:rPr/>
        <w:br w:type="column"/>
      </w:r>
      <w:r>
        <w:rPr>
          <w:color w:val="CE384B"/>
        </w:rPr>
        <w:t>CONTINUOUS</w:t>
      </w:r>
      <w:r>
        <w:rPr>
          <w:color w:val="CE384B"/>
          <w:spacing w:val="-9"/>
        </w:rPr>
        <w:t> </w:t>
      </w:r>
      <w:r>
        <w:rPr>
          <w:color w:val="CE384B"/>
        </w:rPr>
        <w:t>QUALITY</w:t>
      </w:r>
      <w:r>
        <w:rPr>
          <w:color w:val="CE384B"/>
          <w:spacing w:val="-9"/>
        </w:rPr>
        <w:t> </w:t>
      </w:r>
      <w:r>
        <w:rPr>
          <w:color w:val="CE384B"/>
        </w:rPr>
        <w:t>IMPROVEMENT</w:t>
      </w:r>
      <w:r>
        <w:rPr>
          <w:color w:val="CE384B"/>
          <w:spacing w:val="-9"/>
        </w:rPr>
        <w:t> </w:t>
      </w:r>
      <w:r>
        <w:rPr>
          <w:color w:val="CE384B"/>
        </w:rPr>
        <w:t>(CQI)</w:t>
      </w:r>
    </w:p>
    <w:p>
      <w:pPr>
        <w:spacing w:after="0"/>
        <w:sectPr>
          <w:type w:val="continuous"/>
          <w:pgSz w:w="12240" w:h="15840"/>
          <w:pgMar w:header="0" w:footer="666" w:top="1500" w:bottom="0" w:left="600" w:right="0"/>
          <w:cols w:num="2" w:equalWidth="0">
            <w:col w:w="1814" w:space="445"/>
            <w:col w:w="9381"/>
          </w:cols>
        </w:sectPr>
      </w:pPr>
    </w:p>
    <w:p>
      <w:pPr>
        <w:spacing w:line="259" w:lineRule="auto" w:before="131"/>
        <w:ind w:left="300" w:right="969" w:firstLine="0"/>
        <w:jc w:val="left"/>
        <w:rPr>
          <w:rFonts w:ascii="Arial"/>
          <w:sz w:val="21"/>
        </w:rPr>
      </w:pPr>
      <w:r>
        <w:rPr/>
        <w:pict>
          <v:group style="position:absolute;margin-left:36pt;margin-top:54pt;width:540pt;height:647.3pt;mso-position-horizontal-relative:page;mso-position-vertical-relative:page;z-index:-17860608" id="docshapegroup199" coordorigin="720,1080" coordsize="10800,12946">
            <v:shape style="position:absolute;left:720;top:1080;width:10800;height:12946" id="docshape200" coordorigin="720,1080" coordsize="10800,12946" path="m11430,1080l810,1080,775,1087,746,1106,727,1135,720,1170,720,13936,727,13971,746,13999,775,14019,810,14026,11430,14026,11465,14019,11494,13999,11513,13971,11520,13936,11520,1170,11513,1135,11494,1106,11465,1087,11430,1080xe" filled="true" fillcolor="#f7e0e0" stroked="false">
              <v:path arrowok="t"/>
              <v:fill type="solid"/>
            </v:shape>
            <v:shape style="position:absolute;left:8020;top:6825;width:2876;height:3749" type="#_x0000_t75" id="docshape201" alt="This graphic visually depicts the plan, do, study, act cycle. There are three rows of text explain the questions that should be asked in between the act and plan cycles: What are we trying to accomplish? How will we know that a change is an improvement? What change can we make that will result in an improvement? Below the three questions, plan, do, study, and act are depicted in a circular graphic, showing that the cycle is an iterative process.  " stroked="false">
              <v:imagedata r:id="rId334" o:title=""/>
            </v:shape>
            <w10:wrap type="none"/>
          </v:group>
        </w:pict>
      </w:r>
      <w:r>
        <w:rPr>
          <w:rFonts w:ascii="Arial"/>
          <w:color w:val="010202"/>
          <w:spacing w:val="-2"/>
          <w:sz w:val="21"/>
        </w:rPr>
        <w:t>CQI</w:t>
      </w:r>
      <w:r>
        <w:rPr>
          <w:rFonts w:ascii="Arial"/>
          <w:color w:val="010202"/>
          <w:spacing w:val="-13"/>
          <w:sz w:val="21"/>
        </w:rPr>
        <w:t> </w:t>
      </w:r>
      <w:r>
        <w:rPr>
          <w:rFonts w:ascii="Arial"/>
          <w:color w:val="010202"/>
          <w:spacing w:val="-2"/>
          <w:sz w:val="21"/>
        </w:rPr>
        <w:t>involves</w:t>
      </w:r>
      <w:r>
        <w:rPr>
          <w:rFonts w:ascii="Arial"/>
          <w:color w:val="010202"/>
          <w:spacing w:val="-13"/>
          <w:sz w:val="21"/>
        </w:rPr>
        <w:t> </w:t>
      </w:r>
      <w:r>
        <w:rPr>
          <w:rFonts w:ascii="Arial"/>
          <w:color w:val="010202"/>
          <w:spacing w:val="-2"/>
          <w:sz w:val="21"/>
        </w:rPr>
        <w:t>a</w:t>
      </w:r>
      <w:r>
        <w:rPr>
          <w:rFonts w:ascii="Arial"/>
          <w:color w:val="010202"/>
          <w:spacing w:val="-12"/>
          <w:sz w:val="21"/>
        </w:rPr>
        <w:t> </w:t>
      </w:r>
      <w:r>
        <w:rPr>
          <w:rFonts w:ascii="Arial"/>
          <w:color w:val="010202"/>
          <w:spacing w:val="-2"/>
          <w:sz w:val="21"/>
        </w:rPr>
        <w:t>systematic</w:t>
      </w:r>
      <w:r>
        <w:rPr>
          <w:rFonts w:ascii="Arial"/>
          <w:color w:val="010202"/>
          <w:spacing w:val="-13"/>
          <w:sz w:val="21"/>
        </w:rPr>
        <w:t> </w:t>
      </w:r>
      <w:r>
        <w:rPr>
          <w:rFonts w:ascii="Arial"/>
          <w:color w:val="010202"/>
          <w:spacing w:val="-2"/>
          <w:sz w:val="21"/>
        </w:rPr>
        <w:t>process</w:t>
      </w:r>
      <w:r>
        <w:rPr>
          <w:rFonts w:ascii="Arial"/>
          <w:color w:val="010202"/>
          <w:spacing w:val="-12"/>
          <w:sz w:val="21"/>
        </w:rPr>
        <w:t> </w:t>
      </w:r>
      <w:r>
        <w:rPr>
          <w:rFonts w:ascii="Arial"/>
          <w:color w:val="010202"/>
          <w:spacing w:val="-2"/>
          <w:sz w:val="21"/>
        </w:rPr>
        <w:t>of</w:t>
      </w:r>
      <w:r>
        <w:rPr>
          <w:rFonts w:ascii="Arial"/>
          <w:color w:val="010202"/>
          <w:spacing w:val="-13"/>
          <w:sz w:val="21"/>
        </w:rPr>
        <w:t> </w:t>
      </w:r>
      <w:r>
        <w:rPr>
          <w:rFonts w:ascii="Arial"/>
          <w:color w:val="010202"/>
          <w:spacing w:val="-1"/>
          <w:sz w:val="21"/>
        </w:rPr>
        <w:t>assessing</w:t>
      </w:r>
      <w:r>
        <w:rPr>
          <w:rFonts w:ascii="Arial"/>
          <w:color w:val="010202"/>
          <w:spacing w:val="-12"/>
          <w:sz w:val="21"/>
        </w:rPr>
        <w:t> </w:t>
      </w:r>
      <w:r>
        <w:rPr>
          <w:rFonts w:ascii="Arial"/>
          <w:color w:val="010202"/>
          <w:spacing w:val="-1"/>
          <w:sz w:val="21"/>
        </w:rPr>
        <w:t>program</w:t>
      </w:r>
      <w:r>
        <w:rPr>
          <w:rFonts w:ascii="Arial"/>
          <w:color w:val="010202"/>
          <w:spacing w:val="-13"/>
          <w:sz w:val="21"/>
        </w:rPr>
        <w:t> </w:t>
      </w:r>
      <w:r>
        <w:rPr>
          <w:rFonts w:ascii="Arial"/>
          <w:color w:val="010202"/>
          <w:spacing w:val="-1"/>
          <w:sz w:val="21"/>
        </w:rPr>
        <w:t>or</w:t>
      </w:r>
      <w:r>
        <w:rPr>
          <w:rFonts w:ascii="Arial"/>
          <w:color w:val="010202"/>
          <w:spacing w:val="-13"/>
          <w:sz w:val="21"/>
        </w:rPr>
        <w:t> </w:t>
      </w:r>
      <w:r>
        <w:rPr>
          <w:rFonts w:ascii="Arial"/>
          <w:color w:val="010202"/>
          <w:spacing w:val="-1"/>
          <w:sz w:val="21"/>
        </w:rPr>
        <w:t>practice</w:t>
      </w:r>
      <w:r>
        <w:rPr>
          <w:rFonts w:ascii="Arial"/>
          <w:color w:val="010202"/>
          <w:spacing w:val="-12"/>
          <w:sz w:val="21"/>
        </w:rPr>
        <w:t> </w:t>
      </w:r>
      <w:r>
        <w:rPr>
          <w:rFonts w:ascii="Arial"/>
          <w:color w:val="010202"/>
          <w:spacing w:val="-1"/>
          <w:sz w:val="21"/>
        </w:rPr>
        <w:t>implementation</w:t>
      </w:r>
      <w:r>
        <w:rPr>
          <w:rFonts w:ascii="Arial"/>
          <w:color w:val="010202"/>
          <w:spacing w:val="-13"/>
          <w:sz w:val="21"/>
        </w:rPr>
        <w:t> </w:t>
      </w:r>
      <w:r>
        <w:rPr>
          <w:rFonts w:ascii="Arial"/>
          <w:color w:val="010202"/>
          <w:spacing w:val="-1"/>
          <w:sz w:val="21"/>
        </w:rPr>
        <w:t>and</w:t>
      </w:r>
      <w:r>
        <w:rPr>
          <w:rFonts w:ascii="Arial"/>
          <w:color w:val="010202"/>
          <w:spacing w:val="-12"/>
          <w:sz w:val="21"/>
        </w:rPr>
        <w:t> </w:t>
      </w:r>
      <w:r>
        <w:rPr>
          <w:rFonts w:ascii="Arial"/>
          <w:color w:val="010202"/>
          <w:spacing w:val="-1"/>
          <w:sz w:val="21"/>
        </w:rPr>
        <w:t>short-term</w:t>
      </w:r>
      <w:r>
        <w:rPr>
          <w:rFonts w:ascii="Arial"/>
          <w:color w:val="010202"/>
          <w:spacing w:val="-13"/>
          <w:sz w:val="21"/>
        </w:rPr>
        <w:t> </w:t>
      </w:r>
      <w:r>
        <w:rPr>
          <w:rFonts w:ascii="Arial"/>
          <w:color w:val="010202"/>
          <w:spacing w:val="-1"/>
          <w:sz w:val="21"/>
        </w:rPr>
        <w:t>outcomes</w:t>
      </w:r>
      <w:r>
        <w:rPr>
          <w:rFonts w:ascii="Arial"/>
          <w:color w:val="010202"/>
          <w:spacing w:val="-12"/>
          <w:sz w:val="21"/>
        </w:rPr>
        <w:t> </w:t>
      </w:r>
      <w:r>
        <w:rPr>
          <w:rFonts w:ascii="Arial"/>
          <w:color w:val="010202"/>
          <w:spacing w:val="-1"/>
          <w:sz w:val="21"/>
        </w:rPr>
        <w:t>and</w:t>
      </w:r>
      <w:r>
        <w:rPr>
          <w:rFonts w:ascii="Arial"/>
          <w:color w:val="010202"/>
          <w:sz w:val="21"/>
        </w:rPr>
        <w:t> </w:t>
      </w:r>
      <w:r>
        <w:rPr>
          <w:rFonts w:ascii="Arial"/>
          <w:color w:val="010202"/>
          <w:spacing w:val="-2"/>
          <w:sz w:val="21"/>
        </w:rPr>
        <w:t>then involving program staff </w:t>
      </w:r>
      <w:r>
        <w:rPr>
          <w:rFonts w:ascii="Arial"/>
          <w:color w:val="010202"/>
          <w:spacing w:val="-1"/>
          <w:sz w:val="21"/>
        </w:rPr>
        <w:t>in identifying and implementing improvements in service delivery and organizational</w:t>
      </w:r>
      <w:r>
        <w:rPr>
          <w:rFonts w:ascii="Arial"/>
          <w:color w:val="010202"/>
          <w:sz w:val="21"/>
        </w:rPr>
        <w:t> </w:t>
      </w:r>
      <w:r>
        <w:rPr>
          <w:rFonts w:ascii="Arial"/>
          <w:color w:val="010202"/>
          <w:spacing w:val="-1"/>
          <w:sz w:val="21"/>
        </w:rPr>
        <w:t>systems</w:t>
      </w:r>
      <w:r>
        <w:rPr>
          <w:rFonts w:ascii="Arial"/>
          <w:color w:val="010202"/>
          <w:spacing w:val="-14"/>
          <w:sz w:val="21"/>
        </w:rPr>
        <w:t> </w:t>
      </w:r>
      <w:r>
        <w:rPr>
          <w:rFonts w:ascii="Arial"/>
          <w:color w:val="010202"/>
          <w:spacing w:val="-1"/>
          <w:sz w:val="21"/>
        </w:rPr>
        <w:t>to</w:t>
      </w:r>
      <w:r>
        <w:rPr>
          <w:rFonts w:ascii="Arial"/>
          <w:color w:val="010202"/>
          <w:spacing w:val="-13"/>
          <w:sz w:val="21"/>
        </w:rPr>
        <w:t> </w:t>
      </w:r>
      <w:r>
        <w:rPr>
          <w:rFonts w:ascii="Arial"/>
          <w:color w:val="010202"/>
          <w:spacing w:val="-1"/>
          <w:sz w:val="21"/>
        </w:rPr>
        <w:t>achieve</w:t>
      </w:r>
      <w:r>
        <w:rPr>
          <w:rFonts w:ascii="Arial"/>
          <w:color w:val="010202"/>
          <w:spacing w:val="-14"/>
          <w:sz w:val="21"/>
        </w:rPr>
        <w:t> </w:t>
      </w:r>
      <w:r>
        <w:rPr>
          <w:rFonts w:ascii="Arial"/>
          <w:color w:val="010202"/>
          <w:spacing w:val="-1"/>
          <w:sz w:val="21"/>
        </w:rPr>
        <w:t>better</w:t>
      </w:r>
      <w:r>
        <w:rPr>
          <w:rFonts w:ascii="Arial"/>
          <w:color w:val="010202"/>
          <w:spacing w:val="-13"/>
          <w:sz w:val="21"/>
        </w:rPr>
        <w:t> </w:t>
      </w:r>
      <w:r>
        <w:rPr>
          <w:rFonts w:ascii="Arial"/>
          <w:color w:val="010202"/>
          <w:spacing w:val="-1"/>
          <w:sz w:val="21"/>
        </w:rPr>
        <w:t>treatment</w:t>
      </w:r>
      <w:r>
        <w:rPr>
          <w:rFonts w:ascii="Arial"/>
          <w:color w:val="010202"/>
          <w:spacing w:val="-14"/>
          <w:sz w:val="21"/>
        </w:rPr>
        <w:t> </w:t>
      </w:r>
      <w:r>
        <w:rPr>
          <w:rFonts w:ascii="Arial"/>
          <w:color w:val="010202"/>
          <w:spacing w:val="-1"/>
          <w:sz w:val="21"/>
        </w:rPr>
        <w:t>outcomes.</w:t>
      </w:r>
      <w:r>
        <w:rPr>
          <w:rFonts w:ascii="Arial"/>
          <w:color w:val="010202"/>
          <w:spacing w:val="-13"/>
          <w:sz w:val="21"/>
        </w:rPr>
        <w:t> </w:t>
      </w:r>
      <w:r>
        <w:rPr>
          <w:rFonts w:ascii="Arial"/>
          <w:color w:val="010202"/>
          <w:spacing w:val="-1"/>
          <w:sz w:val="21"/>
        </w:rPr>
        <w:t>CQI</w:t>
      </w:r>
      <w:r>
        <w:rPr>
          <w:rFonts w:ascii="Arial"/>
          <w:color w:val="010202"/>
          <w:spacing w:val="-14"/>
          <w:sz w:val="21"/>
        </w:rPr>
        <w:t> </w:t>
      </w:r>
      <w:r>
        <w:rPr>
          <w:rFonts w:ascii="Arial"/>
          <w:color w:val="010202"/>
          <w:spacing w:val="-1"/>
          <w:sz w:val="21"/>
        </w:rPr>
        <w:t>helps</w:t>
      </w:r>
      <w:r>
        <w:rPr>
          <w:rFonts w:ascii="Arial"/>
          <w:color w:val="010202"/>
          <w:spacing w:val="-13"/>
          <w:sz w:val="21"/>
        </w:rPr>
        <w:t> </w:t>
      </w:r>
      <w:r>
        <w:rPr>
          <w:rFonts w:ascii="Arial"/>
          <w:color w:val="010202"/>
          <w:spacing w:val="-1"/>
          <w:sz w:val="21"/>
        </w:rPr>
        <w:t>assess</w:t>
      </w:r>
      <w:r>
        <w:rPr>
          <w:rFonts w:ascii="Arial"/>
          <w:color w:val="010202"/>
          <w:spacing w:val="-13"/>
          <w:sz w:val="21"/>
        </w:rPr>
        <w:t> </w:t>
      </w:r>
      <w:r>
        <w:rPr>
          <w:rFonts w:ascii="Arial"/>
          <w:color w:val="010202"/>
          <w:spacing w:val="-1"/>
          <w:sz w:val="21"/>
        </w:rPr>
        <w:t>practice</w:t>
      </w:r>
      <w:r>
        <w:rPr>
          <w:rFonts w:ascii="Arial"/>
          <w:color w:val="010202"/>
          <w:spacing w:val="-14"/>
          <w:sz w:val="21"/>
        </w:rPr>
        <w:t> </w:t>
      </w:r>
      <w:r>
        <w:rPr>
          <w:rFonts w:ascii="Arial"/>
          <w:color w:val="010202"/>
          <w:spacing w:val="-1"/>
          <w:sz w:val="21"/>
        </w:rPr>
        <w:t>fidelity,</w:t>
      </w:r>
      <w:r>
        <w:rPr>
          <w:rFonts w:ascii="Arial"/>
          <w:color w:val="010202"/>
          <w:spacing w:val="-13"/>
          <w:sz w:val="21"/>
        </w:rPr>
        <w:t> </w:t>
      </w:r>
      <w:r>
        <w:rPr>
          <w:rFonts w:ascii="Arial"/>
          <w:color w:val="010202"/>
          <w:spacing w:val="-1"/>
          <w:sz w:val="21"/>
        </w:rPr>
        <w:t>the</w:t>
      </w:r>
      <w:r>
        <w:rPr>
          <w:rFonts w:ascii="Arial"/>
          <w:color w:val="010202"/>
          <w:spacing w:val="-14"/>
          <w:sz w:val="21"/>
        </w:rPr>
        <w:t> </w:t>
      </w:r>
      <w:r>
        <w:rPr>
          <w:rFonts w:ascii="Arial"/>
          <w:color w:val="010202"/>
          <w:spacing w:val="-1"/>
          <w:sz w:val="21"/>
        </w:rPr>
        <w:t>degree</w:t>
      </w:r>
      <w:r>
        <w:rPr>
          <w:rFonts w:ascii="Arial"/>
          <w:color w:val="010202"/>
          <w:spacing w:val="-13"/>
          <w:sz w:val="21"/>
        </w:rPr>
        <w:t> </w:t>
      </w:r>
      <w:r>
        <w:rPr>
          <w:rFonts w:ascii="Arial"/>
          <w:color w:val="010202"/>
          <w:sz w:val="21"/>
        </w:rPr>
        <w:t>to</w:t>
      </w:r>
      <w:r>
        <w:rPr>
          <w:rFonts w:ascii="Arial"/>
          <w:color w:val="010202"/>
          <w:spacing w:val="-14"/>
          <w:sz w:val="21"/>
        </w:rPr>
        <w:t> </w:t>
      </w:r>
      <w:r>
        <w:rPr>
          <w:rFonts w:ascii="Arial"/>
          <w:color w:val="010202"/>
          <w:sz w:val="21"/>
        </w:rPr>
        <w:t>which</w:t>
      </w:r>
      <w:r>
        <w:rPr>
          <w:rFonts w:ascii="Arial"/>
          <w:color w:val="010202"/>
          <w:spacing w:val="-13"/>
          <w:sz w:val="21"/>
        </w:rPr>
        <w:t> </w:t>
      </w:r>
      <w:r>
        <w:rPr>
          <w:rFonts w:ascii="Arial"/>
          <w:color w:val="010202"/>
          <w:sz w:val="21"/>
        </w:rPr>
        <w:t>a</w:t>
      </w:r>
      <w:r>
        <w:rPr>
          <w:rFonts w:ascii="Arial"/>
          <w:color w:val="010202"/>
          <w:spacing w:val="-14"/>
          <w:sz w:val="21"/>
        </w:rPr>
        <w:t> </w:t>
      </w:r>
      <w:r>
        <w:rPr>
          <w:rFonts w:ascii="Arial"/>
          <w:color w:val="010202"/>
          <w:sz w:val="21"/>
        </w:rPr>
        <w:t>program</w:t>
      </w:r>
      <w:r>
        <w:rPr>
          <w:rFonts w:ascii="Arial"/>
          <w:color w:val="010202"/>
          <w:spacing w:val="1"/>
          <w:sz w:val="21"/>
        </w:rPr>
        <w:t> </w:t>
      </w:r>
      <w:r>
        <w:rPr>
          <w:rFonts w:ascii="Arial"/>
          <w:color w:val="010202"/>
          <w:spacing w:val="-2"/>
          <w:sz w:val="21"/>
        </w:rPr>
        <w:t>delivers a practice as intended. There are many potential CQI models and approaches (e.g., </w:t>
      </w:r>
      <w:hyperlink r:id="rId335">
        <w:r>
          <w:rPr>
            <w:rFonts w:ascii="Arial"/>
            <w:color w:val="3953A4"/>
            <w:spacing w:val="-2"/>
            <w:sz w:val="21"/>
            <w:u w:val="single" w:color="3953A4"/>
          </w:rPr>
          <w:t>https://www.healthit.</w:t>
        </w:r>
      </w:hyperlink>
      <w:r>
        <w:rPr>
          <w:rFonts w:ascii="Arial"/>
          <w:color w:val="3953A4"/>
          <w:spacing w:val="-1"/>
          <w:sz w:val="21"/>
        </w:rPr>
        <w:t> </w:t>
      </w:r>
      <w:hyperlink r:id="rId335">
        <w:r>
          <w:rPr>
            <w:rFonts w:ascii="Arial"/>
            <w:color w:val="3953A4"/>
            <w:sz w:val="21"/>
            <w:u w:val="single" w:color="3953A4"/>
          </w:rPr>
          <w:t>gov/faq/what-are-leading-continuous-quality-improvement-strategies-health-care-settings)</w:t>
        </w:r>
      </w:hyperlink>
      <w:r>
        <w:rPr>
          <w:rFonts w:ascii="Arial"/>
          <w:color w:val="010202"/>
          <w:sz w:val="21"/>
        </w:rPr>
        <w:t>.</w:t>
      </w:r>
    </w:p>
    <w:p>
      <w:pPr>
        <w:spacing w:line="259" w:lineRule="auto" w:before="129"/>
        <w:ind w:left="300" w:right="923" w:firstLine="0"/>
        <w:jc w:val="left"/>
        <w:rPr>
          <w:rFonts w:ascii="Arial"/>
          <w:sz w:val="21"/>
        </w:rPr>
      </w:pPr>
      <w:r>
        <w:rPr>
          <w:rFonts w:ascii="Arial"/>
          <w:color w:val="010202"/>
          <w:sz w:val="21"/>
        </w:rPr>
        <w:t>CQI differs from process evaluation in that it involves quick assessments of program performance, timely</w:t>
      </w:r>
      <w:r>
        <w:rPr>
          <w:rFonts w:ascii="Arial"/>
          <w:color w:val="010202"/>
          <w:spacing w:val="1"/>
          <w:sz w:val="21"/>
        </w:rPr>
        <w:t> </w:t>
      </w:r>
      <w:r>
        <w:rPr>
          <w:rFonts w:ascii="Arial"/>
          <w:color w:val="010202"/>
          <w:spacing w:val="-2"/>
          <w:sz w:val="21"/>
        </w:rPr>
        <w:t>identification</w:t>
      </w:r>
      <w:r>
        <w:rPr>
          <w:rFonts w:ascii="Arial"/>
          <w:color w:val="010202"/>
          <w:spacing w:val="-13"/>
          <w:sz w:val="21"/>
        </w:rPr>
        <w:t> </w:t>
      </w:r>
      <w:r>
        <w:rPr>
          <w:rFonts w:ascii="Arial"/>
          <w:color w:val="010202"/>
          <w:spacing w:val="-2"/>
          <w:sz w:val="21"/>
        </w:rPr>
        <w:t>of</w:t>
      </w:r>
      <w:r>
        <w:rPr>
          <w:rFonts w:ascii="Arial"/>
          <w:color w:val="010202"/>
          <w:spacing w:val="-12"/>
          <w:sz w:val="21"/>
        </w:rPr>
        <w:t> </w:t>
      </w:r>
      <w:r>
        <w:rPr>
          <w:rFonts w:ascii="Arial"/>
          <w:color w:val="010202"/>
          <w:spacing w:val="-2"/>
          <w:sz w:val="21"/>
        </w:rPr>
        <w:t>problems</w:t>
      </w:r>
      <w:r>
        <w:rPr>
          <w:rFonts w:ascii="Arial"/>
          <w:color w:val="010202"/>
          <w:spacing w:val="-13"/>
          <w:sz w:val="21"/>
        </w:rPr>
        <w:t> </w:t>
      </w:r>
      <w:r>
        <w:rPr>
          <w:rFonts w:ascii="Arial"/>
          <w:color w:val="010202"/>
          <w:spacing w:val="-2"/>
          <w:sz w:val="21"/>
        </w:rPr>
        <w:t>and</w:t>
      </w:r>
      <w:r>
        <w:rPr>
          <w:rFonts w:ascii="Arial"/>
          <w:color w:val="010202"/>
          <w:spacing w:val="-13"/>
          <w:sz w:val="21"/>
        </w:rPr>
        <w:t> </w:t>
      </w:r>
      <w:r>
        <w:rPr>
          <w:rFonts w:ascii="Arial"/>
          <w:color w:val="010202"/>
          <w:spacing w:val="-2"/>
          <w:sz w:val="21"/>
        </w:rPr>
        <w:t>potential</w:t>
      </w:r>
      <w:r>
        <w:rPr>
          <w:rFonts w:ascii="Arial"/>
          <w:color w:val="010202"/>
          <w:spacing w:val="-12"/>
          <w:sz w:val="21"/>
        </w:rPr>
        <w:t> </w:t>
      </w:r>
      <w:r>
        <w:rPr>
          <w:rFonts w:ascii="Arial"/>
          <w:color w:val="010202"/>
          <w:spacing w:val="-2"/>
          <w:sz w:val="21"/>
        </w:rPr>
        <w:t>solutions,</w:t>
      </w:r>
      <w:r>
        <w:rPr>
          <w:rFonts w:ascii="Arial"/>
          <w:color w:val="010202"/>
          <w:spacing w:val="-13"/>
          <w:sz w:val="21"/>
        </w:rPr>
        <w:t> </w:t>
      </w:r>
      <w:r>
        <w:rPr>
          <w:rFonts w:ascii="Arial"/>
          <w:color w:val="010202"/>
          <w:spacing w:val="-2"/>
          <w:sz w:val="21"/>
        </w:rPr>
        <w:t>and</w:t>
      </w:r>
      <w:r>
        <w:rPr>
          <w:rFonts w:ascii="Arial"/>
          <w:color w:val="010202"/>
          <w:spacing w:val="-12"/>
          <w:sz w:val="21"/>
        </w:rPr>
        <w:t> </w:t>
      </w:r>
      <w:r>
        <w:rPr>
          <w:rFonts w:ascii="Arial"/>
          <w:color w:val="010202"/>
          <w:spacing w:val="-1"/>
          <w:sz w:val="21"/>
        </w:rPr>
        <w:t>implementation</w:t>
      </w:r>
      <w:r>
        <w:rPr>
          <w:rFonts w:ascii="Arial"/>
          <w:color w:val="010202"/>
          <w:spacing w:val="-13"/>
          <w:sz w:val="21"/>
        </w:rPr>
        <w:t> </w:t>
      </w:r>
      <w:r>
        <w:rPr>
          <w:rFonts w:ascii="Arial"/>
          <w:color w:val="010202"/>
          <w:spacing w:val="-1"/>
          <w:sz w:val="21"/>
        </w:rPr>
        <w:t>of</w:t>
      </w:r>
      <w:r>
        <w:rPr>
          <w:rFonts w:ascii="Arial"/>
          <w:color w:val="010202"/>
          <w:spacing w:val="-12"/>
          <w:sz w:val="21"/>
        </w:rPr>
        <w:t> </w:t>
      </w:r>
      <w:r>
        <w:rPr>
          <w:rFonts w:ascii="Arial"/>
          <w:color w:val="010202"/>
          <w:spacing w:val="-1"/>
          <w:sz w:val="21"/>
        </w:rPr>
        <w:t>small</w:t>
      </w:r>
      <w:r>
        <w:rPr>
          <w:rFonts w:ascii="Arial"/>
          <w:color w:val="010202"/>
          <w:spacing w:val="-13"/>
          <w:sz w:val="21"/>
        </w:rPr>
        <w:t> </w:t>
      </w:r>
      <w:r>
        <w:rPr>
          <w:rFonts w:ascii="Arial"/>
          <w:color w:val="010202"/>
          <w:spacing w:val="-1"/>
          <w:sz w:val="21"/>
        </w:rPr>
        <w:t>improvements</w:t>
      </w:r>
      <w:r>
        <w:rPr>
          <w:rFonts w:ascii="Arial"/>
          <w:color w:val="010202"/>
          <w:spacing w:val="-12"/>
          <w:sz w:val="21"/>
        </w:rPr>
        <w:t> </w:t>
      </w:r>
      <w:r>
        <w:rPr>
          <w:rFonts w:ascii="Arial"/>
          <w:color w:val="010202"/>
          <w:spacing w:val="-1"/>
          <w:sz w:val="21"/>
        </w:rPr>
        <w:t>to</w:t>
      </w:r>
      <w:r>
        <w:rPr>
          <w:rFonts w:ascii="Arial"/>
          <w:color w:val="010202"/>
          <w:spacing w:val="-13"/>
          <w:sz w:val="21"/>
        </w:rPr>
        <w:t> </w:t>
      </w:r>
      <w:r>
        <w:rPr>
          <w:rFonts w:ascii="Arial"/>
          <w:color w:val="010202"/>
          <w:spacing w:val="-1"/>
          <w:sz w:val="21"/>
        </w:rPr>
        <w:t>enhance</w:t>
      </w:r>
      <w:r>
        <w:rPr>
          <w:rFonts w:ascii="Arial"/>
          <w:color w:val="010202"/>
          <w:spacing w:val="-12"/>
          <w:sz w:val="21"/>
        </w:rPr>
        <w:t> </w:t>
      </w:r>
      <w:r>
        <w:rPr>
          <w:rFonts w:ascii="Arial"/>
          <w:color w:val="010202"/>
          <w:spacing w:val="-1"/>
          <w:sz w:val="21"/>
        </w:rPr>
        <w:t>treatment</w:t>
      </w:r>
      <w:r>
        <w:rPr>
          <w:rFonts w:ascii="Arial"/>
          <w:color w:val="010202"/>
          <w:sz w:val="21"/>
        </w:rPr>
        <w:t> </w:t>
      </w:r>
      <w:r>
        <w:rPr>
          <w:rFonts w:ascii="Arial"/>
          <w:color w:val="010202"/>
          <w:spacing w:val="-1"/>
          <w:sz w:val="21"/>
        </w:rPr>
        <w:t>quality. CQI is usually conducted by internal staff. Process evaluation involves longer-term </w:t>
      </w:r>
      <w:r>
        <w:rPr>
          <w:rFonts w:ascii="Arial"/>
          <w:color w:val="010202"/>
          <w:sz w:val="21"/>
        </w:rPr>
        <w:t>assessments and is</w:t>
      </w:r>
      <w:r>
        <w:rPr>
          <w:rFonts w:ascii="Arial"/>
          <w:color w:val="010202"/>
          <w:spacing w:val="1"/>
          <w:sz w:val="21"/>
        </w:rPr>
        <w:t> </w:t>
      </w:r>
      <w:r>
        <w:rPr>
          <w:rFonts w:ascii="Arial"/>
          <w:color w:val="010202"/>
          <w:sz w:val="21"/>
        </w:rPr>
        <w:t>best</w:t>
      </w:r>
      <w:r>
        <w:rPr>
          <w:rFonts w:ascii="Arial"/>
          <w:color w:val="010202"/>
          <w:spacing w:val="-6"/>
          <w:sz w:val="21"/>
        </w:rPr>
        <w:t> </w:t>
      </w:r>
      <w:r>
        <w:rPr>
          <w:rFonts w:ascii="Arial"/>
          <w:color w:val="010202"/>
          <w:sz w:val="21"/>
        </w:rPr>
        <w:t>conducted</w:t>
      </w:r>
      <w:r>
        <w:rPr>
          <w:rFonts w:ascii="Arial"/>
          <w:color w:val="010202"/>
          <w:spacing w:val="-6"/>
          <w:sz w:val="21"/>
        </w:rPr>
        <w:t> </w:t>
      </w:r>
      <w:r>
        <w:rPr>
          <w:rFonts w:ascii="Arial"/>
          <w:color w:val="010202"/>
          <w:sz w:val="21"/>
        </w:rPr>
        <w:t>by</w:t>
      </w:r>
      <w:r>
        <w:rPr>
          <w:rFonts w:ascii="Arial"/>
          <w:color w:val="010202"/>
          <w:spacing w:val="-6"/>
          <w:sz w:val="21"/>
        </w:rPr>
        <w:t> </w:t>
      </w:r>
      <w:r>
        <w:rPr>
          <w:rFonts w:ascii="Arial"/>
          <w:color w:val="010202"/>
          <w:sz w:val="21"/>
        </w:rPr>
        <w:t>an</w:t>
      </w:r>
      <w:r>
        <w:rPr>
          <w:rFonts w:ascii="Arial"/>
          <w:color w:val="010202"/>
          <w:spacing w:val="-5"/>
          <w:sz w:val="21"/>
        </w:rPr>
        <w:t> </w:t>
      </w:r>
      <w:r>
        <w:rPr>
          <w:rFonts w:ascii="Arial"/>
          <w:color w:val="010202"/>
          <w:sz w:val="21"/>
        </w:rPr>
        <w:t>external</w:t>
      </w:r>
      <w:r>
        <w:rPr>
          <w:rFonts w:ascii="Arial"/>
          <w:color w:val="010202"/>
          <w:spacing w:val="-6"/>
          <w:sz w:val="21"/>
        </w:rPr>
        <w:t> </w:t>
      </w:r>
      <w:r>
        <w:rPr>
          <w:rFonts w:ascii="Arial"/>
          <w:color w:val="010202"/>
          <w:sz w:val="21"/>
        </w:rPr>
        <w:t>evaluator.</w:t>
      </w:r>
    </w:p>
    <w:p>
      <w:pPr>
        <w:spacing w:line="259" w:lineRule="auto" w:before="130"/>
        <w:ind w:left="300" w:right="689" w:firstLine="0"/>
        <w:jc w:val="left"/>
        <w:rPr>
          <w:rFonts w:ascii="Arial" w:hAnsi="Arial"/>
          <w:sz w:val="21"/>
        </w:rPr>
      </w:pPr>
      <w:r>
        <w:rPr>
          <w:rFonts w:ascii="Arial" w:hAnsi="Arial"/>
          <w:color w:val="010202"/>
          <w:spacing w:val="-3"/>
          <w:sz w:val="21"/>
        </w:rPr>
        <w:t>The </w:t>
      </w:r>
      <w:hyperlink r:id="rId336">
        <w:r>
          <w:rPr>
            <w:rFonts w:ascii="Arial" w:hAnsi="Arial"/>
            <w:color w:val="3953A4"/>
            <w:spacing w:val="-3"/>
            <w:sz w:val="21"/>
            <w:u w:val="single" w:color="3953A4"/>
          </w:rPr>
          <w:t>Network for Improvement of Addiction Treatment (NIATx)</w:t>
        </w:r>
      </w:hyperlink>
      <w:r>
        <w:rPr>
          <w:rFonts w:ascii="Arial" w:hAnsi="Arial"/>
          <w:color w:val="010202"/>
          <w:spacing w:val="-3"/>
          <w:sz w:val="21"/>
        </w:rPr>
        <w:t>, a project originally funded by SAMHSA’s Center </w:t>
      </w:r>
      <w:r>
        <w:rPr>
          <w:rFonts w:ascii="Arial" w:hAnsi="Arial"/>
          <w:color w:val="010202"/>
          <w:spacing w:val="-2"/>
          <w:sz w:val="21"/>
        </w:rPr>
        <w:t>for</w:t>
      </w:r>
      <w:r>
        <w:rPr>
          <w:rFonts w:ascii="Arial" w:hAnsi="Arial"/>
          <w:color w:val="010202"/>
          <w:spacing w:val="-1"/>
          <w:sz w:val="21"/>
        </w:rPr>
        <w:t> </w:t>
      </w:r>
      <w:r>
        <w:rPr>
          <w:rFonts w:ascii="Arial" w:hAnsi="Arial"/>
          <w:color w:val="010202"/>
          <w:spacing w:val="-3"/>
          <w:sz w:val="21"/>
        </w:rPr>
        <w:t>Substance Abuse Treatment, offers tools to conduct CQI and improve services </w:t>
      </w:r>
      <w:r>
        <w:rPr>
          <w:rFonts w:ascii="Arial" w:hAnsi="Arial"/>
          <w:color w:val="010202"/>
          <w:spacing w:val="-2"/>
          <w:sz w:val="21"/>
        </w:rPr>
        <w:t>in substance use disorder treatment</w:t>
      </w:r>
      <w:r>
        <w:rPr>
          <w:rFonts w:ascii="Arial" w:hAnsi="Arial"/>
          <w:color w:val="010202"/>
          <w:spacing w:val="-56"/>
          <w:sz w:val="21"/>
        </w:rPr>
        <w:t> </w:t>
      </w:r>
      <w:r>
        <w:rPr>
          <w:rFonts w:ascii="Arial" w:hAnsi="Arial"/>
          <w:color w:val="010202"/>
          <w:spacing w:val="-1"/>
          <w:sz w:val="21"/>
        </w:rPr>
        <w:t>settings. NIATx is based on the principle of program </w:t>
      </w:r>
      <w:r>
        <w:rPr>
          <w:rFonts w:ascii="Arial" w:hAnsi="Arial"/>
          <w:color w:val="010202"/>
          <w:sz w:val="21"/>
        </w:rPr>
        <w:t>improvement through a series of small changes, tested and</w:t>
      </w:r>
      <w:r>
        <w:rPr>
          <w:rFonts w:ascii="Arial" w:hAnsi="Arial"/>
          <w:color w:val="010202"/>
          <w:spacing w:val="1"/>
          <w:sz w:val="21"/>
        </w:rPr>
        <w:t> </w:t>
      </w:r>
      <w:r>
        <w:rPr>
          <w:rFonts w:ascii="Arial" w:hAnsi="Arial"/>
          <w:color w:val="010202"/>
          <w:sz w:val="21"/>
        </w:rPr>
        <w:t>implemented</w:t>
      </w:r>
      <w:r>
        <w:rPr>
          <w:rFonts w:ascii="Arial" w:hAnsi="Arial"/>
          <w:color w:val="010202"/>
          <w:spacing w:val="-7"/>
          <w:sz w:val="21"/>
        </w:rPr>
        <w:t> </w:t>
      </w:r>
      <w:r>
        <w:rPr>
          <w:rFonts w:ascii="Arial" w:hAnsi="Arial"/>
          <w:color w:val="010202"/>
          <w:sz w:val="21"/>
        </w:rPr>
        <w:t>one</w:t>
      </w:r>
      <w:r>
        <w:rPr>
          <w:rFonts w:ascii="Arial" w:hAnsi="Arial"/>
          <w:color w:val="010202"/>
          <w:spacing w:val="-6"/>
          <w:sz w:val="21"/>
        </w:rPr>
        <w:t> </w:t>
      </w:r>
      <w:r>
        <w:rPr>
          <w:rFonts w:ascii="Arial" w:hAnsi="Arial"/>
          <w:color w:val="010202"/>
          <w:sz w:val="21"/>
        </w:rPr>
        <w:t>at</w:t>
      </w:r>
      <w:r>
        <w:rPr>
          <w:rFonts w:ascii="Arial" w:hAnsi="Arial"/>
          <w:color w:val="010202"/>
          <w:spacing w:val="-7"/>
          <w:sz w:val="21"/>
        </w:rPr>
        <w:t> </w:t>
      </w:r>
      <w:r>
        <w:rPr>
          <w:rFonts w:ascii="Arial" w:hAnsi="Arial"/>
          <w:color w:val="010202"/>
          <w:sz w:val="21"/>
        </w:rPr>
        <w:t>a</w:t>
      </w:r>
      <w:r>
        <w:rPr>
          <w:rFonts w:ascii="Arial" w:hAnsi="Arial"/>
          <w:color w:val="010202"/>
          <w:spacing w:val="-6"/>
          <w:sz w:val="21"/>
        </w:rPr>
        <w:t> </w:t>
      </w:r>
      <w:r>
        <w:rPr>
          <w:rFonts w:ascii="Arial" w:hAnsi="Arial"/>
          <w:color w:val="010202"/>
          <w:sz w:val="21"/>
        </w:rPr>
        <w:t>time,</w:t>
      </w:r>
      <w:r>
        <w:rPr>
          <w:rFonts w:ascii="Arial" w:hAnsi="Arial"/>
          <w:color w:val="010202"/>
          <w:spacing w:val="-7"/>
          <w:sz w:val="21"/>
        </w:rPr>
        <w:t> </w:t>
      </w:r>
      <w:r>
        <w:rPr>
          <w:rFonts w:ascii="Arial" w:hAnsi="Arial"/>
          <w:color w:val="010202"/>
          <w:sz w:val="21"/>
        </w:rPr>
        <w:t>that</w:t>
      </w:r>
      <w:r>
        <w:rPr>
          <w:rFonts w:ascii="Arial" w:hAnsi="Arial"/>
          <w:color w:val="010202"/>
          <w:spacing w:val="-6"/>
          <w:sz w:val="21"/>
        </w:rPr>
        <w:t> </w:t>
      </w:r>
      <w:r>
        <w:rPr>
          <w:rFonts w:ascii="Arial" w:hAnsi="Arial"/>
          <w:color w:val="010202"/>
          <w:sz w:val="21"/>
        </w:rPr>
        <w:t>in</w:t>
      </w:r>
      <w:r>
        <w:rPr>
          <w:rFonts w:ascii="Arial" w:hAnsi="Arial"/>
          <w:color w:val="010202"/>
          <w:spacing w:val="-7"/>
          <w:sz w:val="21"/>
        </w:rPr>
        <w:t> </w:t>
      </w:r>
      <w:r>
        <w:rPr>
          <w:rFonts w:ascii="Arial" w:hAnsi="Arial"/>
          <w:color w:val="010202"/>
          <w:sz w:val="21"/>
        </w:rPr>
        <w:t>the</w:t>
      </w:r>
      <w:r>
        <w:rPr>
          <w:rFonts w:ascii="Arial" w:hAnsi="Arial"/>
          <w:color w:val="010202"/>
          <w:spacing w:val="-6"/>
          <w:sz w:val="21"/>
        </w:rPr>
        <w:t> </w:t>
      </w:r>
      <w:r>
        <w:rPr>
          <w:rFonts w:ascii="Arial" w:hAnsi="Arial"/>
          <w:color w:val="010202"/>
          <w:sz w:val="21"/>
        </w:rPr>
        <w:t>end</w:t>
      </w:r>
      <w:r>
        <w:rPr>
          <w:rFonts w:ascii="Arial" w:hAnsi="Arial"/>
          <w:color w:val="010202"/>
          <w:spacing w:val="-6"/>
          <w:sz w:val="21"/>
        </w:rPr>
        <w:t> </w:t>
      </w:r>
      <w:r>
        <w:rPr>
          <w:rFonts w:ascii="Arial" w:hAnsi="Arial"/>
          <w:color w:val="010202"/>
          <w:sz w:val="21"/>
        </w:rPr>
        <w:t>have</w:t>
      </w:r>
      <w:r>
        <w:rPr>
          <w:rFonts w:ascii="Arial" w:hAnsi="Arial"/>
          <w:color w:val="010202"/>
          <w:spacing w:val="-7"/>
          <w:sz w:val="21"/>
        </w:rPr>
        <w:t> </w:t>
      </w:r>
      <w:r>
        <w:rPr>
          <w:rFonts w:ascii="Arial" w:hAnsi="Arial"/>
          <w:color w:val="010202"/>
          <w:sz w:val="21"/>
        </w:rPr>
        <w:t>a</w:t>
      </w:r>
      <w:r>
        <w:rPr>
          <w:rFonts w:ascii="Arial" w:hAnsi="Arial"/>
          <w:color w:val="010202"/>
          <w:spacing w:val="-6"/>
          <w:sz w:val="21"/>
        </w:rPr>
        <w:t> </w:t>
      </w:r>
      <w:r>
        <w:rPr>
          <w:rFonts w:ascii="Arial" w:hAnsi="Arial"/>
          <w:color w:val="010202"/>
          <w:sz w:val="21"/>
        </w:rPr>
        <w:t>cumulative</w:t>
      </w:r>
      <w:r>
        <w:rPr>
          <w:rFonts w:ascii="Arial" w:hAnsi="Arial"/>
          <w:color w:val="010202"/>
          <w:spacing w:val="-7"/>
          <w:sz w:val="21"/>
        </w:rPr>
        <w:t> </w:t>
      </w:r>
      <w:r>
        <w:rPr>
          <w:rFonts w:ascii="Arial" w:hAnsi="Arial"/>
          <w:color w:val="010202"/>
          <w:sz w:val="21"/>
        </w:rPr>
        <w:t>effect.</w:t>
      </w:r>
    </w:p>
    <w:p>
      <w:pPr>
        <w:spacing w:line="259" w:lineRule="auto" w:before="130"/>
        <w:ind w:left="300" w:right="1103" w:firstLine="0"/>
        <w:jc w:val="left"/>
        <w:rPr>
          <w:rFonts w:ascii="Arial" w:hAnsi="Arial"/>
          <w:sz w:val="21"/>
        </w:rPr>
      </w:pPr>
      <w:r>
        <w:rPr>
          <w:rFonts w:ascii="Arial" w:hAnsi="Arial"/>
          <w:color w:val="010202"/>
          <w:spacing w:val="-3"/>
          <w:sz w:val="21"/>
        </w:rPr>
        <w:t>The </w:t>
      </w:r>
      <w:hyperlink r:id="rId337">
        <w:r>
          <w:rPr>
            <w:rFonts w:ascii="Arial" w:hAnsi="Arial"/>
            <w:color w:val="3953A4"/>
            <w:spacing w:val="-3"/>
            <w:sz w:val="21"/>
            <w:u w:val="single" w:color="3953A4"/>
          </w:rPr>
          <w:t>Institute for Healthcare Improvement’s PDSA Model for Improvement</w:t>
        </w:r>
        <w:r>
          <w:rPr>
            <w:rFonts w:ascii="Arial" w:hAnsi="Arial"/>
            <w:color w:val="3953A4"/>
            <w:spacing w:val="-3"/>
            <w:sz w:val="21"/>
          </w:rPr>
          <w:t> </w:t>
        </w:r>
      </w:hyperlink>
      <w:r>
        <w:rPr>
          <w:rFonts w:ascii="Arial" w:hAnsi="Arial"/>
          <w:color w:val="010202"/>
          <w:spacing w:val="-2"/>
          <w:sz w:val="21"/>
        </w:rPr>
        <w:t>identifies a scientific method for testing</w:t>
      </w:r>
      <w:r>
        <w:rPr>
          <w:rFonts w:ascii="Arial" w:hAnsi="Arial"/>
          <w:color w:val="010202"/>
          <w:spacing w:val="-56"/>
          <w:sz w:val="21"/>
        </w:rPr>
        <w:t> </w:t>
      </w:r>
      <w:r>
        <w:rPr>
          <w:rFonts w:ascii="Arial" w:hAnsi="Arial"/>
          <w:color w:val="010202"/>
          <w:spacing w:val="-2"/>
          <w:sz w:val="21"/>
        </w:rPr>
        <w:t>small-scale </w:t>
      </w:r>
      <w:r>
        <w:rPr>
          <w:rFonts w:ascii="Arial" w:hAnsi="Arial"/>
          <w:color w:val="010202"/>
          <w:spacing w:val="-1"/>
          <w:sz w:val="21"/>
        </w:rPr>
        <w:t>changes in an action-oriented, cyclical manner. The stages are: planning it (Plan), trying it (Do),</w:t>
      </w:r>
      <w:r>
        <w:rPr>
          <w:rFonts w:ascii="Arial" w:hAnsi="Arial"/>
          <w:color w:val="010202"/>
          <w:sz w:val="21"/>
        </w:rPr>
        <w:t> observing</w:t>
      </w:r>
      <w:r>
        <w:rPr>
          <w:rFonts w:ascii="Arial" w:hAnsi="Arial"/>
          <w:color w:val="010202"/>
          <w:spacing w:val="-7"/>
          <w:sz w:val="21"/>
        </w:rPr>
        <w:t> </w:t>
      </w:r>
      <w:r>
        <w:rPr>
          <w:rFonts w:ascii="Arial" w:hAnsi="Arial"/>
          <w:color w:val="010202"/>
          <w:sz w:val="21"/>
        </w:rPr>
        <w:t>the</w:t>
      </w:r>
      <w:r>
        <w:rPr>
          <w:rFonts w:ascii="Arial" w:hAnsi="Arial"/>
          <w:color w:val="010202"/>
          <w:spacing w:val="-7"/>
          <w:sz w:val="21"/>
        </w:rPr>
        <w:t> </w:t>
      </w:r>
      <w:r>
        <w:rPr>
          <w:rFonts w:ascii="Arial" w:hAnsi="Arial"/>
          <w:color w:val="010202"/>
          <w:sz w:val="21"/>
        </w:rPr>
        <w:t>results</w:t>
      </w:r>
      <w:r>
        <w:rPr>
          <w:rFonts w:ascii="Arial" w:hAnsi="Arial"/>
          <w:color w:val="010202"/>
          <w:spacing w:val="-6"/>
          <w:sz w:val="21"/>
        </w:rPr>
        <w:t> </w:t>
      </w:r>
      <w:r>
        <w:rPr>
          <w:rFonts w:ascii="Arial" w:hAnsi="Arial"/>
          <w:color w:val="010202"/>
          <w:sz w:val="21"/>
        </w:rPr>
        <w:t>(Study),</w:t>
      </w:r>
      <w:r>
        <w:rPr>
          <w:rFonts w:ascii="Arial" w:hAnsi="Arial"/>
          <w:color w:val="010202"/>
          <w:spacing w:val="-7"/>
          <w:sz w:val="21"/>
        </w:rPr>
        <w:t> </w:t>
      </w:r>
      <w:r>
        <w:rPr>
          <w:rFonts w:ascii="Arial" w:hAnsi="Arial"/>
          <w:color w:val="010202"/>
          <w:sz w:val="21"/>
        </w:rPr>
        <w:t>and</w:t>
      </w:r>
      <w:r>
        <w:rPr>
          <w:rFonts w:ascii="Arial" w:hAnsi="Arial"/>
          <w:color w:val="010202"/>
          <w:spacing w:val="-6"/>
          <w:sz w:val="21"/>
        </w:rPr>
        <w:t> </w:t>
      </w:r>
      <w:r>
        <w:rPr>
          <w:rFonts w:ascii="Arial" w:hAnsi="Arial"/>
          <w:color w:val="010202"/>
          <w:sz w:val="21"/>
        </w:rPr>
        <w:t>acting</w:t>
      </w:r>
      <w:r>
        <w:rPr>
          <w:rFonts w:ascii="Arial" w:hAnsi="Arial"/>
          <w:color w:val="010202"/>
          <w:spacing w:val="-7"/>
          <w:sz w:val="21"/>
        </w:rPr>
        <w:t> </w:t>
      </w:r>
      <w:r>
        <w:rPr>
          <w:rFonts w:ascii="Arial" w:hAnsi="Arial"/>
          <w:color w:val="010202"/>
          <w:sz w:val="21"/>
        </w:rPr>
        <w:t>on</w:t>
      </w:r>
      <w:r>
        <w:rPr>
          <w:rFonts w:ascii="Arial" w:hAnsi="Arial"/>
          <w:color w:val="010202"/>
          <w:spacing w:val="-6"/>
          <w:sz w:val="21"/>
        </w:rPr>
        <w:t> </w:t>
      </w:r>
      <w:r>
        <w:rPr>
          <w:rFonts w:ascii="Arial" w:hAnsi="Arial"/>
          <w:color w:val="010202"/>
          <w:sz w:val="21"/>
        </w:rPr>
        <w:t>what</w:t>
      </w:r>
      <w:r>
        <w:rPr>
          <w:rFonts w:ascii="Arial" w:hAnsi="Arial"/>
          <w:color w:val="010202"/>
          <w:spacing w:val="-7"/>
          <w:sz w:val="21"/>
        </w:rPr>
        <w:t> </w:t>
      </w:r>
      <w:r>
        <w:rPr>
          <w:rFonts w:ascii="Arial" w:hAnsi="Arial"/>
          <w:color w:val="010202"/>
          <w:sz w:val="21"/>
        </w:rPr>
        <w:t>is</w:t>
      </w:r>
      <w:r>
        <w:rPr>
          <w:rFonts w:ascii="Arial" w:hAnsi="Arial"/>
          <w:color w:val="010202"/>
          <w:spacing w:val="-6"/>
          <w:sz w:val="21"/>
        </w:rPr>
        <w:t> </w:t>
      </w:r>
      <w:r>
        <w:rPr>
          <w:rFonts w:ascii="Arial" w:hAnsi="Arial"/>
          <w:color w:val="010202"/>
          <w:sz w:val="21"/>
        </w:rPr>
        <w:t>learned</w:t>
      </w:r>
      <w:r>
        <w:rPr>
          <w:rFonts w:ascii="Arial" w:hAnsi="Arial"/>
          <w:color w:val="010202"/>
          <w:spacing w:val="-7"/>
          <w:sz w:val="21"/>
        </w:rPr>
        <w:t> </w:t>
      </w:r>
      <w:r>
        <w:rPr>
          <w:rFonts w:ascii="Arial" w:hAnsi="Arial"/>
          <w:color w:val="010202"/>
          <w:sz w:val="21"/>
        </w:rPr>
        <w:t>(Act).</w:t>
      </w:r>
    </w:p>
    <w:p>
      <w:pPr>
        <w:spacing w:before="96"/>
        <w:ind w:left="300" w:right="0" w:firstLine="0"/>
        <w:jc w:val="left"/>
        <w:rPr>
          <w:rFonts w:ascii="Arial Black"/>
          <w:sz w:val="21"/>
        </w:rPr>
      </w:pPr>
      <w:r>
        <w:rPr>
          <w:rFonts w:ascii="Arial Black"/>
          <w:color w:val="CE372E"/>
          <w:sz w:val="21"/>
        </w:rPr>
        <w:t>Why</w:t>
      </w:r>
      <w:r>
        <w:rPr>
          <w:rFonts w:ascii="Arial Black"/>
          <w:color w:val="CE372E"/>
          <w:spacing w:val="1"/>
          <w:sz w:val="21"/>
        </w:rPr>
        <w:t> </w:t>
      </w:r>
      <w:r>
        <w:rPr>
          <w:rFonts w:ascii="Arial Black"/>
          <w:color w:val="CE372E"/>
          <w:sz w:val="21"/>
        </w:rPr>
        <w:t>use CQI?</w:t>
      </w:r>
    </w:p>
    <w:p>
      <w:pPr>
        <w:spacing w:line="259" w:lineRule="auto" w:before="131"/>
        <w:ind w:left="300" w:right="4520" w:firstLine="0"/>
        <w:jc w:val="left"/>
        <w:rPr>
          <w:rFonts w:ascii="Arial"/>
          <w:sz w:val="21"/>
        </w:rPr>
      </w:pPr>
      <w:r>
        <w:rPr>
          <w:rFonts w:ascii="Arial"/>
          <w:color w:val="010202"/>
          <w:sz w:val="21"/>
        </w:rPr>
        <w:t>CQI takes a broader look at the systems in which programs or practices</w:t>
      </w:r>
      <w:r>
        <w:rPr>
          <w:rFonts w:ascii="Arial"/>
          <w:color w:val="010202"/>
          <w:spacing w:val="1"/>
          <w:sz w:val="21"/>
        </w:rPr>
        <w:t> </w:t>
      </w:r>
      <w:r>
        <w:rPr>
          <w:rFonts w:ascii="Arial"/>
          <w:color w:val="010202"/>
          <w:sz w:val="21"/>
        </w:rPr>
        <w:t>operate.</w:t>
      </w:r>
      <w:r>
        <w:rPr>
          <w:rFonts w:ascii="Arial"/>
          <w:color w:val="010202"/>
          <w:spacing w:val="-2"/>
          <w:sz w:val="21"/>
        </w:rPr>
        <w:t> </w:t>
      </w:r>
      <w:r>
        <w:rPr>
          <w:rFonts w:ascii="Arial"/>
          <w:color w:val="010202"/>
          <w:sz w:val="21"/>
        </w:rPr>
        <w:t>Because</w:t>
      </w:r>
      <w:r>
        <w:rPr>
          <w:rFonts w:ascii="Arial"/>
          <w:color w:val="010202"/>
          <w:spacing w:val="-2"/>
          <w:sz w:val="21"/>
        </w:rPr>
        <w:t> </w:t>
      </w:r>
      <w:r>
        <w:rPr>
          <w:rFonts w:ascii="Arial"/>
          <w:color w:val="010202"/>
          <w:sz w:val="21"/>
        </w:rPr>
        <w:t>of</w:t>
      </w:r>
      <w:r>
        <w:rPr>
          <w:rFonts w:ascii="Arial"/>
          <w:color w:val="010202"/>
          <w:spacing w:val="-2"/>
          <w:sz w:val="21"/>
        </w:rPr>
        <w:t> </w:t>
      </w:r>
      <w:r>
        <w:rPr>
          <w:rFonts w:ascii="Arial"/>
          <w:color w:val="010202"/>
          <w:sz w:val="21"/>
        </w:rPr>
        <w:t>the</w:t>
      </w:r>
      <w:r>
        <w:rPr>
          <w:rFonts w:ascii="Arial"/>
          <w:color w:val="010202"/>
          <w:spacing w:val="-2"/>
          <w:sz w:val="21"/>
        </w:rPr>
        <w:t> </w:t>
      </w:r>
      <w:r>
        <w:rPr>
          <w:rFonts w:ascii="Arial"/>
          <w:color w:val="010202"/>
          <w:sz w:val="21"/>
        </w:rPr>
        <w:t>pivotal</w:t>
      </w:r>
      <w:r>
        <w:rPr>
          <w:rFonts w:ascii="Arial"/>
          <w:color w:val="010202"/>
          <w:spacing w:val="-1"/>
          <w:sz w:val="21"/>
        </w:rPr>
        <w:t> </w:t>
      </w:r>
      <w:r>
        <w:rPr>
          <w:rFonts w:ascii="Arial"/>
          <w:color w:val="010202"/>
          <w:sz w:val="21"/>
        </w:rPr>
        <w:t>role</w:t>
      </w:r>
      <w:r>
        <w:rPr>
          <w:rFonts w:ascii="Arial"/>
          <w:color w:val="010202"/>
          <w:spacing w:val="-2"/>
          <w:sz w:val="21"/>
        </w:rPr>
        <w:t> </w:t>
      </w:r>
      <w:r>
        <w:rPr>
          <w:rFonts w:ascii="Arial"/>
          <w:color w:val="010202"/>
          <w:sz w:val="21"/>
        </w:rPr>
        <w:t>it</w:t>
      </w:r>
      <w:r>
        <w:rPr>
          <w:rFonts w:ascii="Arial"/>
          <w:color w:val="010202"/>
          <w:spacing w:val="-2"/>
          <w:sz w:val="21"/>
        </w:rPr>
        <w:t> </w:t>
      </w:r>
      <w:r>
        <w:rPr>
          <w:rFonts w:ascii="Arial"/>
          <w:color w:val="010202"/>
          <w:sz w:val="21"/>
        </w:rPr>
        <w:t>plays</w:t>
      </w:r>
      <w:r>
        <w:rPr>
          <w:rFonts w:ascii="Arial"/>
          <w:color w:val="010202"/>
          <w:spacing w:val="-2"/>
          <w:sz w:val="21"/>
        </w:rPr>
        <w:t> </w:t>
      </w:r>
      <w:r>
        <w:rPr>
          <w:rFonts w:ascii="Arial"/>
          <w:color w:val="010202"/>
          <w:sz w:val="21"/>
        </w:rPr>
        <w:t>in</w:t>
      </w:r>
      <w:r>
        <w:rPr>
          <w:rFonts w:ascii="Arial"/>
          <w:color w:val="010202"/>
          <w:spacing w:val="-1"/>
          <w:sz w:val="21"/>
        </w:rPr>
        <w:t> </w:t>
      </w:r>
      <w:r>
        <w:rPr>
          <w:rFonts w:ascii="Arial"/>
          <w:color w:val="010202"/>
          <w:sz w:val="21"/>
        </w:rPr>
        <w:t>performance</w:t>
      </w:r>
      <w:r>
        <w:rPr>
          <w:rFonts w:ascii="Arial"/>
          <w:color w:val="010202"/>
          <w:spacing w:val="-2"/>
          <w:sz w:val="21"/>
        </w:rPr>
        <w:t> </w:t>
      </w:r>
      <w:r>
        <w:rPr>
          <w:rFonts w:ascii="Arial"/>
          <w:color w:val="010202"/>
          <w:sz w:val="21"/>
        </w:rPr>
        <w:t>management,</w:t>
      </w:r>
      <w:r>
        <w:rPr>
          <w:rFonts w:ascii="Arial"/>
          <w:color w:val="010202"/>
          <w:spacing w:val="-56"/>
          <w:sz w:val="21"/>
        </w:rPr>
        <w:t> </w:t>
      </w:r>
      <w:r>
        <w:rPr>
          <w:rFonts w:ascii="Arial"/>
          <w:color w:val="010202"/>
          <w:sz w:val="21"/>
        </w:rPr>
        <w:t>organizations implementing telehealth-delivered services with people</w:t>
      </w:r>
      <w:r>
        <w:rPr>
          <w:rFonts w:ascii="Arial"/>
          <w:color w:val="010202"/>
          <w:spacing w:val="1"/>
          <w:sz w:val="21"/>
        </w:rPr>
        <w:t> </w:t>
      </w:r>
      <w:r>
        <w:rPr>
          <w:rFonts w:ascii="Arial"/>
          <w:color w:val="010202"/>
          <w:sz w:val="21"/>
        </w:rPr>
        <w:t>experiencing SMI and/or SUD are encouraged to implement CQI</w:t>
      </w:r>
      <w:r>
        <w:rPr>
          <w:rFonts w:ascii="Arial"/>
          <w:color w:val="010202"/>
          <w:spacing w:val="1"/>
          <w:sz w:val="21"/>
        </w:rPr>
        <w:t> </w:t>
      </w:r>
      <w:r>
        <w:rPr>
          <w:rFonts w:ascii="Arial"/>
          <w:color w:val="010202"/>
          <w:sz w:val="21"/>
        </w:rPr>
        <w:t>procedures.</w:t>
      </w:r>
    </w:p>
    <w:p>
      <w:pPr>
        <w:spacing w:before="95"/>
        <w:ind w:left="300" w:right="0" w:firstLine="0"/>
        <w:jc w:val="left"/>
        <w:rPr>
          <w:rFonts w:ascii="Arial Black"/>
          <w:sz w:val="21"/>
        </w:rPr>
      </w:pPr>
      <w:r>
        <w:rPr>
          <w:rFonts w:ascii="Arial Black"/>
          <w:color w:val="CE372E"/>
          <w:sz w:val="21"/>
        </w:rPr>
        <w:t>What</w:t>
      </w:r>
      <w:r>
        <w:rPr>
          <w:rFonts w:ascii="Arial Black"/>
          <w:color w:val="CE372E"/>
          <w:spacing w:val="-3"/>
          <w:sz w:val="21"/>
        </w:rPr>
        <w:t> </w:t>
      </w:r>
      <w:r>
        <w:rPr>
          <w:rFonts w:ascii="Arial Black"/>
          <w:color w:val="CE372E"/>
          <w:sz w:val="21"/>
        </w:rPr>
        <w:t>are</w:t>
      </w:r>
      <w:r>
        <w:rPr>
          <w:rFonts w:ascii="Arial Black"/>
          <w:color w:val="CE372E"/>
          <w:spacing w:val="-3"/>
          <w:sz w:val="21"/>
        </w:rPr>
        <w:t> </w:t>
      </w:r>
      <w:r>
        <w:rPr>
          <w:rFonts w:ascii="Arial Black"/>
          <w:color w:val="CE372E"/>
          <w:sz w:val="21"/>
        </w:rPr>
        <w:t>the</w:t>
      </w:r>
      <w:r>
        <w:rPr>
          <w:rFonts w:ascii="Arial Black"/>
          <w:color w:val="CE372E"/>
          <w:spacing w:val="-3"/>
          <w:sz w:val="21"/>
        </w:rPr>
        <w:t> </w:t>
      </w:r>
      <w:r>
        <w:rPr>
          <w:rFonts w:ascii="Arial Black"/>
          <w:color w:val="CE372E"/>
          <w:sz w:val="21"/>
        </w:rPr>
        <w:t>steps</w:t>
      </w:r>
      <w:r>
        <w:rPr>
          <w:rFonts w:ascii="Arial Black"/>
          <w:color w:val="CE372E"/>
          <w:spacing w:val="-3"/>
          <w:sz w:val="21"/>
        </w:rPr>
        <w:t> </w:t>
      </w:r>
      <w:r>
        <w:rPr>
          <w:rFonts w:ascii="Arial Black"/>
          <w:color w:val="CE372E"/>
          <w:sz w:val="21"/>
        </w:rPr>
        <w:t>involved</w:t>
      </w:r>
      <w:r>
        <w:rPr>
          <w:rFonts w:ascii="Arial Black"/>
          <w:color w:val="CE372E"/>
          <w:spacing w:val="-3"/>
          <w:sz w:val="21"/>
        </w:rPr>
        <w:t> </w:t>
      </w:r>
      <w:r>
        <w:rPr>
          <w:rFonts w:ascii="Arial Black"/>
          <w:color w:val="CE372E"/>
          <w:sz w:val="21"/>
        </w:rPr>
        <w:t>in</w:t>
      </w:r>
      <w:r>
        <w:rPr>
          <w:rFonts w:ascii="Arial Black"/>
          <w:color w:val="CE372E"/>
          <w:spacing w:val="-3"/>
          <w:sz w:val="21"/>
        </w:rPr>
        <w:t> </w:t>
      </w:r>
      <w:r>
        <w:rPr>
          <w:rFonts w:ascii="Arial Black"/>
          <w:color w:val="CE372E"/>
          <w:sz w:val="21"/>
        </w:rPr>
        <w:t>CQI?</w:t>
      </w:r>
    </w:p>
    <w:p>
      <w:pPr>
        <w:spacing w:line="259" w:lineRule="auto" w:before="132"/>
        <w:ind w:left="300" w:right="4614" w:firstLine="0"/>
        <w:jc w:val="left"/>
        <w:rPr>
          <w:rFonts w:ascii="Arial"/>
          <w:sz w:val="21"/>
        </w:rPr>
      </w:pPr>
      <w:r>
        <w:rPr>
          <w:rFonts w:ascii="Arial"/>
          <w:color w:val="010202"/>
          <w:sz w:val="21"/>
        </w:rPr>
        <w:t>Although</w:t>
      </w:r>
      <w:r>
        <w:rPr>
          <w:rFonts w:ascii="Arial"/>
          <w:color w:val="010202"/>
          <w:spacing w:val="-2"/>
          <w:sz w:val="21"/>
        </w:rPr>
        <w:t> </w:t>
      </w:r>
      <w:r>
        <w:rPr>
          <w:rFonts w:ascii="Arial"/>
          <w:color w:val="010202"/>
          <w:sz w:val="21"/>
        </w:rPr>
        <w:t>steps</w:t>
      </w:r>
      <w:r>
        <w:rPr>
          <w:rFonts w:ascii="Arial"/>
          <w:color w:val="010202"/>
          <w:spacing w:val="-2"/>
          <w:sz w:val="21"/>
        </w:rPr>
        <w:t> </w:t>
      </w:r>
      <w:r>
        <w:rPr>
          <w:rFonts w:ascii="Arial"/>
          <w:color w:val="010202"/>
          <w:sz w:val="21"/>
        </w:rPr>
        <w:t>in</w:t>
      </w:r>
      <w:r>
        <w:rPr>
          <w:rFonts w:ascii="Arial"/>
          <w:color w:val="010202"/>
          <w:spacing w:val="-1"/>
          <w:sz w:val="21"/>
        </w:rPr>
        <w:t> </w:t>
      </w:r>
      <w:r>
        <w:rPr>
          <w:rFonts w:ascii="Arial"/>
          <w:color w:val="010202"/>
          <w:sz w:val="21"/>
        </w:rPr>
        <w:t>the</w:t>
      </w:r>
      <w:r>
        <w:rPr>
          <w:rFonts w:ascii="Arial"/>
          <w:color w:val="010202"/>
          <w:spacing w:val="-2"/>
          <w:sz w:val="21"/>
        </w:rPr>
        <w:t> </w:t>
      </w:r>
      <w:r>
        <w:rPr>
          <w:rFonts w:ascii="Arial"/>
          <w:color w:val="010202"/>
          <w:sz w:val="21"/>
        </w:rPr>
        <w:t>CQI</w:t>
      </w:r>
      <w:r>
        <w:rPr>
          <w:rFonts w:ascii="Arial"/>
          <w:color w:val="010202"/>
          <w:spacing w:val="-2"/>
          <w:sz w:val="21"/>
        </w:rPr>
        <w:t> </w:t>
      </w:r>
      <w:r>
        <w:rPr>
          <w:rFonts w:ascii="Arial"/>
          <w:color w:val="010202"/>
          <w:sz w:val="21"/>
        </w:rPr>
        <w:t>process</w:t>
      </w:r>
      <w:r>
        <w:rPr>
          <w:rFonts w:ascii="Arial"/>
          <w:color w:val="010202"/>
          <w:spacing w:val="-1"/>
          <w:sz w:val="21"/>
        </w:rPr>
        <w:t> </w:t>
      </w:r>
      <w:r>
        <w:rPr>
          <w:rFonts w:ascii="Arial"/>
          <w:color w:val="010202"/>
          <w:sz w:val="21"/>
        </w:rPr>
        <w:t>may</w:t>
      </w:r>
      <w:r>
        <w:rPr>
          <w:rFonts w:ascii="Arial"/>
          <w:color w:val="010202"/>
          <w:spacing w:val="-2"/>
          <w:sz w:val="21"/>
        </w:rPr>
        <w:t> </w:t>
      </w:r>
      <w:r>
        <w:rPr>
          <w:rFonts w:ascii="Arial"/>
          <w:color w:val="010202"/>
          <w:sz w:val="21"/>
        </w:rPr>
        <w:t>vary</w:t>
      </w:r>
      <w:r>
        <w:rPr>
          <w:rFonts w:ascii="Arial"/>
          <w:color w:val="010202"/>
          <w:spacing w:val="-1"/>
          <w:sz w:val="21"/>
        </w:rPr>
        <w:t> </w:t>
      </w:r>
      <w:r>
        <w:rPr>
          <w:rFonts w:ascii="Arial"/>
          <w:color w:val="010202"/>
          <w:sz w:val="21"/>
        </w:rPr>
        <w:t>based</w:t>
      </w:r>
      <w:r>
        <w:rPr>
          <w:rFonts w:ascii="Arial"/>
          <w:color w:val="010202"/>
          <w:spacing w:val="-2"/>
          <w:sz w:val="21"/>
        </w:rPr>
        <w:t> </w:t>
      </w:r>
      <w:r>
        <w:rPr>
          <w:rFonts w:ascii="Arial"/>
          <w:color w:val="010202"/>
          <w:sz w:val="21"/>
        </w:rPr>
        <w:t>on</w:t>
      </w:r>
      <w:r>
        <w:rPr>
          <w:rFonts w:ascii="Arial"/>
          <w:color w:val="010202"/>
          <w:spacing w:val="-2"/>
          <w:sz w:val="21"/>
        </w:rPr>
        <w:t> </w:t>
      </w:r>
      <w:r>
        <w:rPr>
          <w:rFonts w:ascii="Arial"/>
          <w:color w:val="010202"/>
          <w:sz w:val="21"/>
        </w:rPr>
        <w:t>objectives,</w:t>
      </w:r>
      <w:r>
        <w:rPr>
          <w:rFonts w:ascii="Arial"/>
          <w:color w:val="010202"/>
          <w:spacing w:val="-1"/>
          <w:sz w:val="21"/>
        </w:rPr>
        <w:t> </w:t>
      </w:r>
      <w:r>
        <w:rPr>
          <w:rFonts w:ascii="Arial"/>
          <w:color w:val="010202"/>
          <w:sz w:val="21"/>
        </w:rPr>
        <w:t>typical</w:t>
      </w:r>
      <w:r>
        <w:rPr>
          <w:rFonts w:ascii="Arial"/>
          <w:color w:val="010202"/>
          <w:spacing w:val="-56"/>
          <w:sz w:val="21"/>
        </w:rPr>
        <w:t> </w:t>
      </w:r>
      <w:r>
        <w:rPr>
          <w:rFonts w:ascii="Arial"/>
          <w:color w:val="010202"/>
          <w:sz w:val="21"/>
        </w:rPr>
        <w:t>CQI steps include:</w:t>
      </w:r>
    </w:p>
    <w:p>
      <w:pPr>
        <w:pStyle w:val="ListParagraph"/>
        <w:numPr>
          <w:ilvl w:val="0"/>
          <w:numId w:val="67"/>
        </w:numPr>
        <w:tabs>
          <w:tab w:pos="659" w:val="left" w:leader="none"/>
          <w:tab w:pos="660" w:val="left" w:leader="none"/>
        </w:tabs>
        <w:spacing w:line="256" w:lineRule="auto" w:before="118" w:after="0"/>
        <w:ind w:left="659" w:right="4441" w:hanging="360"/>
        <w:jc w:val="left"/>
        <w:rPr>
          <w:rFonts w:ascii="Arial" w:hAnsi="Arial"/>
          <w:sz w:val="21"/>
        </w:rPr>
      </w:pPr>
      <w:r>
        <w:rPr>
          <w:rFonts w:ascii="Arial" w:hAnsi="Arial"/>
          <w:color w:val="010202"/>
          <w:sz w:val="21"/>
        </w:rPr>
        <w:t>Identify a program or practice issue needing improvement and a target</w:t>
      </w:r>
      <w:r>
        <w:rPr>
          <w:rFonts w:ascii="Arial" w:hAnsi="Arial"/>
          <w:color w:val="010202"/>
          <w:spacing w:val="-56"/>
          <w:sz w:val="21"/>
        </w:rPr>
        <w:t> </w:t>
      </w:r>
      <w:r>
        <w:rPr>
          <w:rFonts w:ascii="Arial" w:hAnsi="Arial"/>
          <w:color w:val="010202"/>
          <w:sz w:val="21"/>
        </w:rPr>
        <w:t>improvement goal</w:t>
      </w:r>
    </w:p>
    <w:p>
      <w:pPr>
        <w:pStyle w:val="ListParagraph"/>
        <w:numPr>
          <w:ilvl w:val="0"/>
          <w:numId w:val="67"/>
        </w:numPr>
        <w:tabs>
          <w:tab w:pos="659" w:val="left" w:leader="none"/>
          <w:tab w:pos="660" w:val="left" w:leader="none"/>
        </w:tabs>
        <w:spacing w:line="244" w:lineRule="exact" w:before="0" w:after="0"/>
        <w:ind w:left="659" w:right="0" w:hanging="360"/>
        <w:jc w:val="left"/>
        <w:rPr>
          <w:rFonts w:ascii="Arial" w:hAnsi="Arial"/>
          <w:sz w:val="21"/>
        </w:rPr>
      </w:pPr>
      <w:r>
        <w:rPr>
          <w:rFonts w:ascii="Arial" w:hAnsi="Arial"/>
          <w:color w:val="010202"/>
          <w:sz w:val="21"/>
        </w:rPr>
        <w:t>Analyze</w:t>
      </w:r>
      <w:r>
        <w:rPr>
          <w:rFonts w:ascii="Arial" w:hAnsi="Arial"/>
          <w:color w:val="010202"/>
          <w:spacing w:val="-1"/>
          <w:sz w:val="21"/>
        </w:rPr>
        <w:t> </w:t>
      </w:r>
      <w:r>
        <w:rPr>
          <w:rFonts w:ascii="Arial" w:hAnsi="Arial"/>
          <w:color w:val="010202"/>
          <w:sz w:val="21"/>
        </w:rPr>
        <w:t>the issue and its root causes</w:t>
      </w:r>
    </w:p>
    <w:p>
      <w:pPr>
        <w:pStyle w:val="ListParagraph"/>
        <w:numPr>
          <w:ilvl w:val="0"/>
          <w:numId w:val="67"/>
        </w:numPr>
        <w:tabs>
          <w:tab w:pos="659" w:val="left" w:leader="none"/>
          <w:tab w:pos="660" w:val="left" w:leader="none"/>
        </w:tabs>
        <w:spacing w:line="240" w:lineRule="auto" w:before="2" w:after="0"/>
        <w:ind w:left="659" w:right="0" w:hanging="360"/>
        <w:jc w:val="left"/>
        <w:rPr>
          <w:rFonts w:ascii="Arial" w:hAnsi="Arial"/>
          <w:sz w:val="21"/>
        </w:rPr>
      </w:pPr>
      <w:r>
        <w:rPr>
          <w:rFonts w:ascii="Arial" w:hAnsi="Arial"/>
          <w:color w:val="010202"/>
          <w:sz w:val="21"/>
        </w:rPr>
        <w:t>Develop</w:t>
      </w:r>
      <w:r>
        <w:rPr>
          <w:rFonts w:ascii="Arial" w:hAnsi="Arial"/>
          <w:color w:val="010202"/>
          <w:spacing w:val="-1"/>
          <w:sz w:val="21"/>
        </w:rPr>
        <w:t> </w:t>
      </w:r>
      <w:r>
        <w:rPr>
          <w:rFonts w:ascii="Arial" w:hAnsi="Arial"/>
          <w:color w:val="010202"/>
          <w:sz w:val="21"/>
        </w:rPr>
        <w:t>an action plan to correct the root causes of the problem,</w:t>
      </w:r>
    </w:p>
    <w:p>
      <w:pPr>
        <w:spacing w:before="17"/>
        <w:ind w:left="659" w:right="0" w:firstLine="0"/>
        <w:jc w:val="left"/>
        <w:rPr>
          <w:rFonts w:ascii="Arial"/>
          <w:sz w:val="21"/>
        </w:rPr>
      </w:pPr>
      <w:r>
        <w:rPr>
          <w:rFonts w:ascii="Arial"/>
          <w:color w:val="010202"/>
          <w:sz w:val="21"/>
        </w:rPr>
        <w:t>including</w:t>
      </w:r>
      <w:r>
        <w:rPr>
          <w:rFonts w:ascii="Arial"/>
          <w:color w:val="010202"/>
          <w:spacing w:val="-4"/>
          <w:sz w:val="21"/>
        </w:rPr>
        <w:t> </w:t>
      </w:r>
      <w:r>
        <w:rPr>
          <w:rFonts w:ascii="Arial"/>
          <w:color w:val="010202"/>
          <w:sz w:val="21"/>
        </w:rPr>
        <w:t>specific</w:t>
      </w:r>
      <w:r>
        <w:rPr>
          <w:rFonts w:ascii="Arial"/>
          <w:color w:val="010202"/>
          <w:spacing w:val="-2"/>
          <w:sz w:val="21"/>
        </w:rPr>
        <w:t> </w:t>
      </w:r>
      <w:r>
        <w:rPr>
          <w:rFonts w:ascii="Arial"/>
          <w:color w:val="010202"/>
          <w:sz w:val="21"/>
        </w:rPr>
        <w:t>actions</w:t>
      </w:r>
      <w:r>
        <w:rPr>
          <w:rFonts w:ascii="Arial"/>
          <w:color w:val="010202"/>
          <w:spacing w:val="-4"/>
          <w:sz w:val="21"/>
        </w:rPr>
        <w:t> </w:t>
      </w:r>
      <w:r>
        <w:rPr>
          <w:rFonts w:ascii="Arial"/>
          <w:color w:val="010202"/>
          <w:sz w:val="21"/>
        </w:rPr>
        <w:t>to</w:t>
      </w:r>
      <w:r>
        <w:rPr>
          <w:rFonts w:ascii="Arial"/>
          <w:color w:val="010202"/>
          <w:spacing w:val="-2"/>
          <w:sz w:val="21"/>
        </w:rPr>
        <w:t> </w:t>
      </w:r>
      <w:r>
        <w:rPr>
          <w:rFonts w:ascii="Arial"/>
          <w:color w:val="010202"/>
          <w:sz w:val="21"/>
        </w:rPr>
        <w:t>be</w:t>
      </w:r>
      <w:r>
        <w:rPr>
          <w:rFonts w:ascii="Arial"/>
          <w:color w:val="010202"/>
          <w:spacing w:val="-4"/>
          <w:sz w:val="21"/>
        </w:rPr>
        <w:t> </w:t>
      </w:r>
      <w:r>
        <w:rPr>
          <w:rFonts w:ascii="Arial"/>
          <w:color w:val="010202"/>
          <w:sz w:val="21"/>
        </w:rPr>
        <w:t>taken</w:t>
      </w:r>
    </w:p>
    <w:p>
      <w:pPr>
        <w:pStyle w:val="ListParagraph"/>
        <w:numPr>
          <w:ilvl w:val="0"/>
          <w:numId w:val="67"/>
        </w:numPr>
        <w:tabs>
          <w:tab w:pos="659" w:val="left" w:leader="none"/>
          <w:tab w:pos="660" w:val="left" w:leader="none"/>
        </w:tabs>
        <w:spacing w:line="240" w:lineRule="auto" w:before="4" w:after="0"/>
        <w:ind w:left="659" w:right="0" w:hanging="360"/>
        <w:jc w:val="left"/>
        <w:rPr>
          <w:rFonts w:ascii="Arial" w:hAnsi="Arial"/>
          <w:sz w:val="21"/>
        </w:rPr>
      </w:pPr>
      <w:r>
        <w:rPr>
          <w:rFonts w:ascii="Arial" w:hAnsi="Arial"/>
          <w:color w:val="010202"/>
          <w:sz w:val="21"/>
        </w:rPr>
        <w:t>Implement</w:t>
      </w:r>
      <w:r>
        <w:rPr>
          <w:rFonts w:ascii="Arial" w:hAnsi="Arial"/>
          <w:color w:val="010202"/>
          <w:spacing w:val="-1"/>
          <w:sz w:val="21"/>
        </w:rPr>
        <w:t> </w:t>
      </w:r>
      <w:r>
        <w:rPr>
          <w:rFonts w:ascii="Arial" w:hAnsi="Arial"/>
          <w:color w:val="010202"/>
          <w:sz w:val="21"/>
        </w:rPr>
        <w:t>the actions in the action plan</w:t>
      </w:r>
    </w:p>
    <w:p>
      <w:pPr>
        <w:pStyle w:val="ListParagraph"/>
        <w:numPr>
          <w:ilvl w:val="0"/>
          <w:numId w:val="67"/>
        </w:numPr>
        <w:tabs>
          <w:tab w:pos="659" w:val="left" w:leader="none"/>
          <w:tab w:pos="660" w:val="left" w:leader="none"/>
        </w:tabs>
        <w:spacing w:line="240" w:lineRule="auto" w:before="3" w:after="0"/>
        <w:ind w:left="659" w:right="0" w:hanging="360"/>
        <w:jc w:val="left"/>
        <w:rPr>
          <w:rFonts w:ascii="Arial" w:hAnsi="Arial"/>
          <w:sz w:val="21"/>
        </w:rPr>
      </w:pPr>
      <w:r>
        <w:rPr>
          <w:rFonts w:ascii="Arial" w:hAnsi="Arial"/>
          <w:color w:val="010202"/>
          <w:sz w:val="21"/>
        </w:rPr>
        <w:t>Review</w:t>
      </w:r>
      <w:r>
        <w:rPr>
          <w:rFonts w:ascii="Arial" w:hAnsi="Arial"/>
          <w:color w:val="010202"/>
          <w:spacing w:val="-3"/>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results</w:t>
      </w:r>
      <w:r>
        <w:rPr>
          <w:rFonts w:ascii="Arial" w:hAnsi="Arial"/>
          <w:color w:val="010202"/>
          <w:spacing w:val="-2"/>
          <w:sz w:val="21"/>
        </w:rPr>
        <w:t> </w:t>
      </w:r>
      <w:r>
        <w:rPr>
          <w:rFonts w:ascii="Arial" w:hAnsi="Arial"/>
          <w:color w:val="010202"/>
          <w:sz w:val="21"/>
        </w:rPr>
        <w:t>to</w:t>
      </w:r>
      <w:r>
        <w:rPr>
          <w:rFonts w:ascii="Arial" w:hAnsi="Arial"/>
          <w:color w:val="010202"/>
          <w:spacing w:val="-2"/>
          <w:sz w:val="21"/>
        </w:rPr>
        <w:t> </w:t>
      </w:r>
      <w:r>
        <w:rPr>
          <w:rFonts w:ascii="Arial" w:hAnsi="Arial"/>
          <w:color w:val="010202"/>
          <w:sz w:val="21"/>
        </w:rPr>
        <w:t>confirm</w:t>
      </w:r>
      <w:r>
        <w:rPr>
          <w:rFonts w:ascii="Arial" w:hAnsi="Arial"/>
          <w:color w:val="010202"/>
          <w:spacing w:val="-1"/>
          <w:sz w:val="21"/>
        </w:rPr>
        <w:t> </w:t>
      </w:r>
      <w:r>
        <w:rPr>
          <w:rFonts w:ascii="Arial" w:hAnsi="Arial"/>
          <w:color w:val="010202"/>
          <w:sz w:val="21"/>
        </w:rPr>
        <w:t>that</w:t>
      </w:r>
      <w:r>
        <w:rPr>
          <w:rFonts w:ascii="Arial" w:hAnsi="Arial"/>
          <w:color w:val="010202"/>
          <w:spacing w:val="-2"/>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issue</w:t>
      </w:r>
      <w:r>
        <w:rPr>
          <w:rFonts w:ascii="Arial" w:hAnsi="Arial"/>
          <w:color w:val="010202"/>
          <w:spacing w:val="-3"/>
          <w:sz w:val="21"/>
        </w:rPr>
        <w:t> </w:t>
      </w:r>
      <w:r>
        <w:rPr>
          <w:rFonts w:ascii="Arial" w:hAnsi="Arial"/>
          <w:color w:val="010202"/>
          <w:sz w:val="21"/>
        </w:rPr>
        <w:t>and</w:t>
      </w:r>
      <w:r>
        <w:rPr>
          <w:rFonts w:ascii="Arial" w:hAnsi="Arial"/>
          <w:color w:val="010202"/>
          <w:spacing w:val="-2"/>
          <w:sz w:val="21"/>
        </w:rPr>
        <w:t> </w:t>
      </w:r>
      <w:r>
        <w:rPr>
          <w:rFonts w:ascii="Arial" w:hAnsi="Arial"/>
          <w:color w:val="010202"/>
          <w:sz w:val="21"/>
        </w:rPr>
        <w:t>its</w:t>
      </w:r>
      <w:r>
        <w:rPr>
          <w:rFonts w:ascii="Arial" w:hAnsi="Arial"/>
          <w:color w:val="010202"/>
          <w:spacing w:val="-3"/>
          <w:sz w:val="21"/>
        </w:rPr>
        <w:t> </w:t>
      </w:r>
      <w:r>
        <w:rPr>
          <w:rFonts w:ascii="Arial" w:hAnsi="Arial"/>
          <w:color w:val="010202"/>
          <w:sz w:val="21"/>
        </w:rPr>
        <w:t>root</w:t>
      </w:r>
      <w:r>
        <w:rPr>
          <w:rFonts w:ascii="Arial" w:hAnsi="Arial"/>
          <w:color w:val="010202"/>
          <w:spacing w:val="-2"/>
          <w:sz w:val="21"/>
        </w:rPr>
        <w:t> </w:t>
      </w:r>
      <w:r>
        <w:rPr>
          <w:rFonts w:ascii="Arial" w:hAnsi="Arial"/>
          <w:color w:val="010202"/>
          <w:sz w:val="21"/>
        </w:rPr>
        <w:t>causes</w:t>
      </w:r>
      <w:r>
        <w:rPr>
          <w:rFonts w:ascii="Arial" w:hAnsi="Arial"/>
          <w:color w:val="010202"/>
          <w:spacing w:val="-2"/>
          <w:sz w:val="21"/>
        </w:rPr>
        <w:t> </w:t>
      </w:r>
      <w:r>
        <w:rPr>
          <w:rFonts w:ascii="Arial" w:hAnsi="Arial"/>
          <w:color w:val="010202"/>
          <w:sz w:val="21"/>
        </w:rPr>
        <w:t>have</w:t>
      </w:r>
      <w:r>
        <w:rPr>
          <w:rFonts w:ascii="Arial" w:hAnsi="Arial"/>
          <w:color w:val="010202"/>
          <w:spacing w:val="-2"/>
          <w:sz w:val="21"/>
        </w:rPr>
        <w:t> </w:t>
      </w:r>
      <w:r>
        <w:rPr>
          <w:rFonts w:ascii="Arial" w:hAnsi="Arial"/>
          <w:color w:val="010202"/>
          <w:sz w:val="21"/>
        </w:rPr>
        <w:t>been</w:t>
      </w:r>
      <w:r>
        <w:rPr>
          <w:rFonts w:ascii="Arial" w:hAnsi="Arial"/>
          <w:color w:val="010202"/>
          <w:spacing w:val="-3"/>
          <w:sz w:val="21"/>
        </w:rPr>
        <w:t> </w:t>
      </w:r>
      <w:r>
        <w:rPr>
          <w:rFonts w:ascii="Arial" w:hAnsi="Arial"/>
          <w:color w:val="010202"/>
          <w:sz w:val="21"/>
        </w:rPr>
        <w:t>addressed</w:t>
      </w:r>
      <w:r>
        <w:rPr>
          <w:rFonts w:ascii="Arial" w:hAnsi="Arial"/>
          <w:color w:val="010202"/>
          <w:spacing w:val="-3"/>
          <w:sz w:val="21"/>
        </w:rPr>
        <w:t> </w:t>
      </w:r>
      <w:r>
        <w:rPr>
          <w:rFonts w:ascii="Arial" w:hAnsi="Arial"/>
          <w:color w:val="010202"/>
          <w:sz w:val="21"/>
        </w:rPr>
        <w:t>and</w:t>
      </w:r>
      <w:r>
        <w:rPr>
          <w:rFonts w:ascii="Arial" w:hAnsi="Arial"/>
          <w:color w:val="010202"/>
          <w:spacing w:val="-3"/>
          <w:sz w:val="21"/>
        </w:rPr>
        <w:t> </w:t>
      </w:r>
      <w:r>
        <w:rPr>
          <w:rFonts w:ascii="Arial" w:hAnsi="Arial"/>
          <w:color w:val="010202"/>
          <w:sz w:val="21"/>
        </w:rPr>
        <w:t>short-term</w:t>
      </w:r>
      <w:r>
        <w:rPr>
          <w:rFonts w:ascii="Arial" w:hAnsi="Arial"/>
          <w:color w:val="010202"/>
          <w:spacing w:val="-1"/>
          <w:sz w:val="21"/>
        </w:rPr>
        <w:t> </w:t>
      </w:r>
      <w:r>
        <w:rPr>
          <w:rFonts w:ascii="Arial" w:hAnsi="Arial"/>
          <w:color w:val="010202"/>
          <w:sz w:val="21"/>
        </w:rPr>
        <w:t>and</w:t>
      </w:r>
    </w:p>
    <w:p>
      <w:pPr>
        <w:spacing w:before="17"/>
        <w:ind w:left="659" w:right="0" w:firstLine="0"/>
        <w:jc w:val="left"/>
        <w:rPr>
          <w:rFonts w:ascii="Arial"/>
          <w:sz w:val="21"/>
        </w:rPr>
      </w:pPr>
      <w:r>
        <w:rPr>
          <w:rFonts w:ascii="Arial"/>
          <w:color w:val="010202"/>
          <w:sz w:val="21"/>
        </w:rPr>
        <w:t>long-term</w:t>
      </w:r>
      <w:r>
        <w:rPr>
          <w:rFonts w:ascii="Arial"/>
          <w:color w:val="010202"/>
          <w:spacing w:val="-1"/>
          <w:sz w:val="21"/>
        </w:rPr>
        <w:t> </w:t>
      </w:r>
      <w:r>
        <w:rPr>
          <w:rFonts w:ascii="Arial"/>
          <w:color w:val="010202"/>
          <w:sz w:val="21"/>
        </w:rPr>
        <w:t>treatment outcomes have improved</w:t>
      </w:r>
    </w:p>
    <w:p>
      <w:pPr>
        <w:pStyle w:val="ListParagraph"/>
        <w:numPr>
          <w:ilvl w:val="0"/>
          <w:numId w:val="67"/>
        </w:numPr>
        <w:tabs>
          <w:tab w:pos="659" w:val="left" w:leader="none"/>
          <w:tab w:pos="660" w:val="left" w:leader="none"/>
        </w:tabs>
        <w:spacing w:line="240" w:lineRule="auto" w:before="4" w:after="0"/>
        <w:ind w:left="659" w:right="0" w:hanging="360"/>
        <w:jc w:val="left"/>
        <w:rPr>
          <w:rFonts w:ascii="Arial" w:hAnsi="Arial"/>
          <w:sz w:val="21"/>
        </w:rPr>
      </w:pPr>
      <w:r>
        <w:rPr>
          <w:rFonts w:ascii="Arial" w:hAnsi="Arial"/>
          <w:color w:val="010202"/>
          <w:sz w:val="21"/>
        </w:rPr>
        <w:t>Repeat</w:t>
      </w:r>
      <w:r>
        <w:rPr>
          <w:rFonts w:ascii="Arial" w:hAnsi="Arial"/>
          <w:color w:val="010202"/>
          <w:spacing w:val="-1"/>
          <w:sz w:val="21"/>
        </w:rPr>
        <w:t> </w:t>
      </w:r>
      <w:r>
        <w:rPr>
          <w:rFonts w:ascii="Arial" w:hAnsi="Arial"/>
          <w:color w:val="010202"/>
          <w:sz w:val="21"/>
        </w:rPr>
        <w:t>these steps to identify and address other issues as they arise</w:t>
      </w:r>
    </w:p>
    <w:p>
      <w:pPr>
        <w:pStyle w:val="BodyText"/>
        <w:rPr>
          <w:rFonts w:ascii="Arial"/>
          <w:sz w:val="26"/>
        </w:rPr>
      </w:pPr>
    </w:p>
    <w:p>
      <w:pPr>
        <w:pStyle w:val="BodyText"/>
        <w:spacing w:before="6"/>
        <w:rPr>
          <w:rFonts w:ascii="Arial"/>
          <w:sz w:val="27"/>
        </w:rPr>
      </w:pPr>
    </w:p>
    <w:p>
      <w:pPr>
        <w:spacing w:line="312" w:lineRule="auto" w:before="0"/>
        <w:ind w:left="1789" w:right="899" w:hanging="1379"/>
        <w:jc w:val="right"/>
        <w:rPr>
          <w:rFonts w:ascii="Arial Narrow"/>
          <w:sz w:val="16"/>
        </w:rPr>
      </w:pPr>
      <w:r>
        <w:rPr>
          <w:rFonts w:ascii="Arial Narrow"/>
          <w:color w:val="231F20"/>
          <w:spacing w:val="-3"/>
          <w:sz w:val="16"/>
        </w:rPr>
        <w:t>Institute for Healthcare </w:t>
      </w:r>
      <w:r>
        <w:rPr>
          <w:rFonts w:ascii="Arial Narrow"/>
          <w:color w:val="231F20"/>
          <w:spacing w:val="-2"/>
          <w:sz w:val="16"/>
        </w:rPr>
        <w:t>Improvement. (n.d.). </w:t>
      </w:r>
      <w:r>
        <w:rPr>
          <w:rFonts w:ascii="Arial Narrow"/>
          <w:i/>
          <w:color w:val="231F20"/>
          <w:spacing w:val="-2"/>
          <w:sz w:val="16"/>
        </w:rPr>
        <w:t>Science of improvement: Testing changes</w:t>
      </w:r>
      <w:r>
        <w:rPr>
          <w:rFonts w:ascii="Arial Narrow"/>
          <w:color w:val="231F20"/>
          <w:spacing w:val="-2"/>
          <w:sz w:val="16"/>
        </w:rPr>
        <w:t>. </w:t>
      </w:r>
      <w:hyperlink r:id="rId338">
        <w:r>
          <w:rPr>
            <w:rFonts w:ascii="Arial Narrow"/>
            <w:color w:val="3953A4"/>
            <w:spacing w:val="-2"/>
            <w:sz w:val="16"/>
            <w:u w:val="single" w:color="3953A4"/>
          </w:rPr>
          <w:t>http://www.ihi.org/resources/Pages/HowtoImprove/ScienceofImprovementTestingChanges.aspx</w:t>
        </w:r>
      </w:hyperlink>
      <w:r>
        <w:rPr>
          <w:rFonts w:ascii="Arial Narrow"/>
          <w:color w:val="3953A4"/>
          <w:spacing w:val="-1"/>
          <w:sz w:val="16"/>
        </w:rPr>
        <w:t> </w:t>
      </w:r>
      <w:r>
        <w:rPr>
          <w:rFonts w:ascii="Arial Narrow"/>
          <w:color w:val="231F20"/>
          <w:spacing w:val="-2"/>
          <w:sz w:val="16"/>
        </w:rPr>
        <w:t>New</w:t>
      </w:r>
      <w:r>
        <w:rPr>
          <w:rFonts w:ascii="Arial Narrow"/>
          <w:color w:val="231F20"/>
          <w:spacing w:val="-7"/>
          <w:sz w:val="16"/>
        </w:rPr>
        <w:t> </w:t>
      </w:r>
      <w:r>
        <w:rPr>
          <w:rFonts w:ascii="Arial Narrow"/>
          <w:color w:val="231F20"/>
          <w:spacing w:val="-2"/>
          <w:sz w:val="16"/>
        </w:rPr>
        <w:t>Jersey</w:t>
      </w:r>
      <w:r>
        <w:rPr>
          <w:rFonts w:ascii="Arial Narrow"/>
          <w:color w:val="231F20"/>
          <w:spacing w:val="-7"/>
          <w:sz w:val="16"/>
        </w:rPr>
        <w:t> </w:t>
      </w:r>
      <w:r>
        <w:rPr>
          <w:rFonts w:ascii="Arial Narrow"/>
          <w:color w:val="231F20"/>
          <w:spacing w:val="-2"/>
          <w:sz w:val="16"/>
        </w:rPr>
        <w:t>Department</w:t>
      </w:r>
      <w:r>
        <w:rPr>
          <w:rFonts w:ascii="Arial Narrow"/>
          <w:color w:val="231F20"/>
          <w:spacing w:val="-7"/>
          <w:sz w:val="16"/>
        </w:rPr>
        <w:t> </w:t>
      </w:r>
      <w:r>
        <w:rPr>
          <w:rFonts w:ascii="Arial Narrow"/>
          <w:color w:val="231F20"/>
          <w:spacing w:val="-2"/>
          <w:sz w:val="16"/>
        </w:rPr>
        <w:t>of</w:t>
      </w:r>
      <w:r>
        <w:rPr>
          <w:rFonts w:ascii="Arial Narrow"/>
          <w:color w:val="231F20"/>
          <w:spacing w:val="-7"/>
          <w:sz w:val="16"/>
        </w:rPr>
        <w:t> </w:t>
      </w:r>
      <w:r>
        <w:rPr>
          <w:rFonts w:ascii="Arial Narrow"/>
          <w:color w:val="231F20"/>
          <w:spacing w:val="-2"/>
          <w:sz w:val="16"/>
        </w:rPr>
        <w:t>Children</w:t>
      </w:r>
      <w:r>
        <w:rPr>
          <w:rFonts w:ascii="Arial Narrow"/>
          <w:color w:val="231F20"/>
          <w:spacing w:val="-6"/>
          <w:sz w:val="16"/>
        </w:rPr>
        <w:t> </w:t>
      </w:r>
      <w:r>
        <w:rPr>
          <w:rFonts w:ascii="Arial Narrow"/>
          <w:color w:val="231F20"/>
          <w:spacing w:val="-2"/>
          <w:sz w:val="16"/>
        </w:rPr>
        <w:t>and</w:t>
      </w:r>
      <w:r>
        <w:rPr>
          <w:rFonts w:ascii="Arial Narrow"/>
          <w:color w:val="231F20"/>
          <w:spacing w:val="-7"/>
          <w:sz w:val="16"/>
        </w:rPr>
        <w:t> </w:t>
      </w:r>
      <w:r>
        <w:rPr>
          <w:rFonts w:ascii="Arial Narrow"/>
          <w:color w:val="231F20"/>
          <w:spacing w:val="-2"/>
          <w:sz w:val="16"/>
        </w:rPr>
        <w:t>Families.</w:t>
      </w:r>
      <w:r>
        <w:rPr>
          <w:rFonts w:ascii="Arial Narrow"/>
          <w:color w:val="231F20"/>
          <w:spacing w:val="-7"/>
          <w:sz w:val="16"/>
        </w:rPr>
        <w:t> </w:t>
      </w:r>
      <w:r>
        <w:rPr>
          <w:rFonts w:ascii="Arial Narrow"/>
          <w:color w:val="231F20"/>
          <w:spacing w:val="-2"/>
          <w:sz w:val="16"/>
        </w:rPr>
        <w:t>(n.d.).</w:t>
      </w:r>
      <w:r>
        <w:rPr>
          <w:rFonts w:ascii="Arial Narrow"/>
          <w:color w:val="231F20"/>
          <w:spacing w:val="-7"/>
          <w:sz w:val="16"/>
        </w:rPr>
        <w:t> </w:t>
      </w:r>
      <w:r>
        <w:rPr>
          <w:rFonts w:ascii="Arial Narrow"/>
          <w:i/>
          <w:color w:val="231F20"/>
          <w:spacing w:val="-2"/>
          <w:sz w:val="16"/>
        </w:rPr>
        <w:t>Five</w:t>
      </w:r>
      <w:r>
        <w:rPr>
          <w:rFonts w:ascii="Arial Narrow"/>
          <w:i/>
          <w:color w:val="231F20"/>
          <w:spacing w:val="-6"/>
          <w:sz w:val="16"/>
        </w:rPr>
        <w:t> </w:t>
      </w:r>
      <w:r>
        <w:rPr>
          <w:rFonts w:ascii="Arial Narrow"/>
          <w:i/>
          <w:color w:val="231F20"/>
          <w:spacing w:val="-2"/>
          <w:sz w:val="16"/>
        </w:rPr>
        <w:t>Stages</w:t>
      </w:r>
      <w:r>
        <w:rPr>
          <w:rFonts w:ascii="Arial Narrow"/>
          <w:i/>
          <w:color w:val="231F20"/>
          <w:spacing w:val="-7"/>
          <w:sz w:val="16"/>
        </w:rPr>
        <w:t> </w:t>
      </w:r>
      <w:r>
        <w:rPr>
          <w:rFonts w:ascii="Arial Narrow"/>
          <w:i/>
          <w:color w:val="231F20"/>
          <w:spacing w:val="-2"/>
          <w:sz w:val="16"/>
        </w:rPr>
        <w:t>of</w:t>
      </w:r>
      <w:r>
        <w:rPr>
          <w:rFonts w:ascii="Arial Narrow"/>
          <w:i/>
          <w:color w:val="231F20"/>
          <w:spacing w:val="-7"/>
          <w:sz w:val="16"/>
        </w:rPr>
        <w:t> </w:t>
      </w:r>
      <w:r>
        <w:rPr>
          <w:rFonts w:ascii="Arial Narrow"/>
          <w:i/>
          <w:color w:val="231F20"/>
          <w:spacing w:val="-2"/>
          <w:sz w:val="16"/>
        </w:rPr>
        <w:t>Continuous</w:t>
      </w:r>
      <w:r>
        <w:rPr>
          <w:rFonts w:ascii="Arial Narrow"/>
          <w:i/>
          <w:color w:val="231F20"/>
          <w:spacing w:val="-7"/>
          <w:sz w:val="16"/>
        </w:rPr>
        <w:t> </w:t>
      </w:r>
      <w:r>
        <w:rPr>
          <w:rFonts w:ascii="Arial Narrow"/>
          <w:i/>
          <w:color w:val="231F20"/>
          <w:spacing w:val="-2"/>
          <w:sz w:val="16"/>
        </w:rPr>
        <w:t>Quality</w:t>
      </w:r>
      <w:r>
        <w:rPr>
          <w:rFonts w:ascii="Arial Narrow"/>
          <w:i/>
          <w:color w:val="231F20"/>
          <w:spacing w:val="-6"/>
          <w:sz w:val="16"/>
        </w:rPr>
        <w:t> </w:t>
      </w:r>
      <w:r>
        <w:rPr>
          <w:rFonts w:ascii="Arial Narrow"/>
          <w:i/>
          <w:color w:val="231F20"/>
          <w:spacing w:val="-1"/>
          <w:sz w:val="16"/>
        </w:rPr>
        <w:t>Improvement</w:t>
      </w:r>
      <w:r>
        <w:rPr>
          <w:rFonts w:ascii="Arial Narrow"/>
          <w:color w:val="231F20"/>
          <w:spacing w:val="-1"/>
          <w:sz w:val="16"/>
        </w:rPr>
        <w:t>.</w:t>
      </w:r>
      <w:r>
        <w:rPr>
          <w:rFonts w:ascii="Arial Narrow"/>
          <w:color w:val="231F20"/>
          <w:spacing w:val="-7"/>
          <w:sz w:val="16"/>
        </w:rPr>
        <w:t> </w:t>
      </w:r>
      <w:hyperlink r:id="rId339">
        <w:r>
          <w:rPr>
            <w:rFonts w:ascii="Arial Narrow"/>
            <w:color w:val="3953A4"/>
            <w:spacing w:val="-1"/>
            <w:sz w:val="16"/>
            <w:u w:val="single" w:color="3953A4"/>
          </w:rPr>
          <w:t>https://www.nj.gov/dcf/about/divisions/opma/cqi.htm</w:t>
        </w:r>
        <w:r>
          <w:rPr>
            <w:rFonts w:ascii="Arial Narrow"/>
            <w:color w:val="3953A4"/>
            <w:spacing w:val="-1"/>
            <w:sz w:val="16"/>
          </w:rPr>
          <w:t>l</w:t>
        </w:r>
      </w:hyperlink>
      <w:r>
        <w:rPr>
          <w:rFonts w:ascii="Arial Narrow"/>
          <w:color w:val="3953A4"/>
          <w:sz w:val="16"/>
        </w:rPr>
        <w:t> </w:t>
      </w:r>
      <w:r>
        <w:rPr>
          <w:rFonts w:ascii="Arial Narrow"/>
          <w:color w:val="231F20"/>
          <w:sz w:val="16"/>
        </w:rPr>
        <w:t>University</w:t>
      </w:r>
      <w:r>
        <w:rPr>
          <w:rFonts w:ascii="Arial Narrow"/>
          <w:color w:val="231F20"/>
          <w:spacing w:val="-8"/>
          <w:sz w:val="16"/>
        </w:rPr>
        <w:t> </w:t>
      </w:r>
      <w:r>
        <w:rPr>
          <w:rFonts w:ascii="Arial Narrow"/>
          <w:color w:val="231F20"/>
          <w:sz w:val="16"/>
        </w:rPr>
        <w:t>of</w:t>
      </w:r>
      <w:r>
        <w:rPr>
          <w:rFonts w:ascii="Arial Narrow"/>
          <w:color w:val="231F20"/>
          <w:spacing w:val="-7"/>
          <w:sz w:val="16"/>
        </w:rPr>
        <w:t> </w:t>
      </w:r>
      <w:r>
        <w:rPr>
          <w:rFonts w:ascii="Arial Narrow"/>
          <w:color w:val="231F20"/>
          <w:sz w:val="16"/>
        </w:rPr>
        <w:t>Wisconsin-Madison,</w:t>
      </w:r>
      <w:r>
        <w:rPr>
          <w:rFonts w:ascii="Arial Narrow"/>
          <w:color w:val="231F20"/>
          <w:spacing w:val="-7"/>
          <w:sz w:val="16"/>
        </w:rPr>
        <w:t> </w:t>
      </w:r>
      <w:r>
        <w:rPr>
          <w:rFonts w:ascii="Arial Narrow"/>
          <w:color w:val="231F20"/>
          <w:sz w:val="16"/>
        </w:rPr>
        <w:t>NIATx</w:t>
      </w:r>
      <w:r>
        <w:rPr>
          <w:rFonts w:ascii="Arial Narrow"/>
          <w:color w:val="231F20"/>
          <w:spacing w:val="-7"/>
          <w:sz w:val="16"/>
        </w:rPr>
        <w:t> </w:t>
      </w:r>
      <w:r>
        <w:rPr>
          <w:rFonts w:ascii="Arial Narrow"/>
          <w:color w:val="231F20"/>
          <w:sz w:val="16"/>
        </w:rPr>
        <w:t>National</w:t>
      </w:r>
      <w:r>
        <w:rPr>
          <w:rFonts w:ascii="Arial Narrow"/>
          <w:color w:val="231F20"/>
          <w:spacing w:val="-7"/>
          <w:sz w:val="16"/>
        </w:rPr>
        <w:t> </w:t>
      </w:r>
      <w:r>
        <w:rPr>
          <w:rFonts w:ascii="Arial Narrow"/>
          <w:color w:val="231F20"/>
          <w:sz w:val="16"/>
        </w:rPr>
        <w:t>Program</w:t>
      </w:r>
      <w:r>
        <w:rPr>
          <w:rFonts w:ascii="Arial Narrow"/>
          <w:color w:val="231F20"/>
          <w:spacing w:val="-7"/>
          <w:sz w:val="16"/>
        </w:rPr>
        <w:t> </w:t>
      </w:r>
      <w:r>
        <w:rPr>
          <w:rFonts w:ascii="Arial Narrow"/>
          <w:color w:val="231F20"/>
          <w:sz w:val="16"/>
        </w:rPr>
        <w:t>Office.</w:t>
      </w:r>
      <w:r>
        <w:rPr>
          <w:rFonts w:ascii="Arial Narrow"/>
          <w:color w:val="231F20"/>
          <w:spacing w:val="-7"/>
          <w:sz w:val="16"/>
        </w:rPr>
        <w:t> </w:t>
      </w:r>
      <w:r>
        <w:rPr>
          <w:rFonts w:ascii="Arial Narrow"/>
          <w:color w:val="231F20"/>
          <w:sz w:val="16"/>
        </w:rPr>
        <w:t>(n.d.).</w:t>
      </w:r>
      <w:r>
        <w:rPr>
          <w:rFonts w:ascii="Arial Narrow"/>
          <w:color w:val="231F20"/>
          <w:spacing w:val="-8"/>
          <w:sz w:val="16"/>
        </w:rPr>
        <w:t> </w:t>
      </w:r>
      <w:r>
        <w:rPr>
          <w:rFonts w:ascii="Arial Narrow"/>
          <w:i/>
          <w:color w:val="231F20"/>
          <w:sz w:val="16"/>
        </w:rPr>
        <w:t>What</w:t>
      </w:r>
      <w:r>
        <w:rPr>
          <w:rFonts w:ascii="Arial Narrow"/>
          <w:i/>
          <w:color w:val="231F20"/>
          <w:spacing w:val="-7"/>
          <w:sz w:val="16"/>
        </w:rPr>
        <w:t> </w:t>
      </w:r>
      <w:r>
        <w:rPr>
          <w:rFonts w:ascii="Arial Narrow"/>
          <w:i/>
          <w:color w:val="231F20"/>
          <w:sz w:val="16"/>
        </w:rPr>
        <w:t>is</w:t>
      </w:r>
      <w:r>
        <w:rPr>
          <w:rFonts w:ascii="Arial Narrow"/>
          <w:i/>
          <w:color w:val="231F20"/>
          <w:spacing w:val="-8"/>
          <w:sz w:val="16"/>
        </w:rPr>
        <w:t> </w:t>
      </w:r>
      <w:r>
        <w:rPr>
          <w:rFonts w:ascii="Arial Narrow"/>
          <w:i/>
          <w:color w:val="231F20"/>
          <w:sz w:val="16"/>
        </w:rPr>
        <w:t>NIATx?</w:t>
      </w:r>
      <w:r>
        <w:rPr>
          <w:rFonts w:ascii="Arial Narrow"/>
          <w:i/>
          <w:color w:val="231F20"/>
          <w:spacing w:val="-7"/>
          <w:sz w:val="16"/>
        </w:rPr>
        <w:t> </w:t>
      </w:r>
      <w:hyperlink r:id="rId336">
        <w:r>
          <w:rPr>
            <w:rFonts w:ascii="Arial Narrow"/>
            <w:color w:val="3953A4"/>
            <w:sz w:val="16"/>
            <w:u w:val="single" w:color="3953A4"/>
          </w:rPr>
          <w:t>https://www.niatx.net/what-is-niatx</w:t>
        </w:r>
        <w:r>
          <w:rPr>
            <w:rFonts w:ascii="Arial Narrow"/>
            <w:color w:val="3953A4"/>
            <w:sz w:val="16"/>
          </w:rPr>
          <w:t>/</w:t>
        </w:r>
      </w:hyperlink>
    </w:p>
    <w:p>
      <w:pPr>
        <w:spacing w:before="1"/>
        <w:ind w:left="0" w:right="897" w:firstLine="0"/>
        <w:jc w:val="right"/>
        <w:rPr>
          <w:rFonts w:ascii="Arial Narrow"/>
          <w:sz w:val="16"/>
        </w:rPr>
      </w:pPr>
      <w:r>
        <w:rPr>
          <w:rFonts w:ascii="Arial Narrow"/>
          <w:color w:val="231F20"/>
          <w:spacing w:val="-2"/>
          <w:sz w:val="16"/>
        </w:rPr>
        <w:t>U.S.</w:t>
      </w:r>
      <w:r>
        <w:rPr>
          <w:rFonts w:ascii="Arial Narrow"/>
          <w:color w:val="231F20"/>
          <w:spacing w:val="-4"/>
          <w:sz w:val="16"/>
        </w:rPr>
        <w:t> </w:t>
      </w:r>
      <w:r>
        <w:rPr>
          <w:rFonts w:ascii="Arial Narrow"/>
          <w:color w:val="231F20"/>
          <w:spacing w:val="-2"/>
          <w:sz w:val="16"/>
        </w:rPr>
        <w:t>Department</w:t>
      </w:r>
      <w:r>
        <w:rPr>
          <w:rFonts w:ascii="Arial Narrow"/>
          <w:color w:val="231F20"/>
          <w:spacing w:val="-4"/>
          <w:sz w:val="16"/>
        </w:rPr>
        <w:t> </w:t>
      </w:r>
      <w:r>
        <w:rPr>
          <w:rFonts w:ascii="Arial Narrow"/>
          <w:color w:val="231F20"/>
          <w:spacing w:val="-2"/>
          <w:sz w:val="16"/>
        </w:rPr>
        <w:t>of</w:t>
      </w:r>
      <w:r>
        <w:rPr>
          <w:rFonts w:ascii="Arial Narrow"/>
          <w:color w:val="231F20"/>
          <w:spacing w:val="-4"/>
          <w:sz w:val="16"/>
        </w:rPr>
        <w:t> </w:t>
      </w:r>
      <w:r>
        <w:rPr>
          <w:rFonts w:ascii="Arial Narrow"/>
          <w:color w:val="231F20"/>
          <w:spacing w:val="-2"/>
          <w:sz w:val="16"/>
        </w:rPr>
        <w:t>Health</w:t>
      </w:r>
      <w:r>
        <w:rPr>
          <w:rFonts w:ascii="Arial Narrow"/>
          <w:color w:val="231F20"/>
          <w:spacing w:val="-4"/>
          <w:sz w:val="16"/>
        </w:rPr>
        <w:t> </w:t>
      </w:r>
      <w:r>
        <w:rPr>
          <w:rFonts w:ascii="Arial Narrow"/>
          <w:color w:val="231F20"/>
          <w:spacing w:val="-2"/>
          <w:sz w:val="16"/>
        </w:rPr>
        <w:t>&amp;</w:t>
      </w:r>
      <w:r>
        <w:rPr>
          <w:rFonts w:ascii="Arial Narrow"/>
          <w:color w:val="231F20"/>
          <w:spacing w:val="-4"/>
          <w:sz w:val="16"/>
        </w:rPr>
        <w:t> </w:t>
      </w:r>
      <w:r>
        <w:rPr>
          <w:rFonts w:ascii="Arial Narrow"/>
          <w:color w:val="231F20"/>
          <w:spacing w:val="-2"/>
          <w:sz w:val="16"/>
        </w:rPr>
        <w:t>Human</w:t>
      </w:r>
      <w:r>
        <w:rPr>
          <w:rFonts w:ascii="Arial Narrow"/>
          <w:color w:val="231F20"/>
          <w:spacing w:val="-4"/>
          <w:sz w:val="16"/>
        </w:rPr>
        <w:t> </w:t>
      </w:r>
      <w:r>
        <w:rPr>
          <w:rFonts w:ascii="Arial Narrow"/>
          <w:color w:val="231F20"/>
          <w:spacing w:val="-2"/>
          <w:sz w:val="16"/>
        </w:rPr>
        <w:t>Services</w:t>
      </w:r>
      <w:r>
        <w:rPr>
          <w:rFonts w:ascii="Arial Narrow"/>
          <w:color w:val="231F20"/>
          <w:spacing w:val="-4"/>
          <w:sz w:val="16"/>
        </w:rPr>
        <w:t> </w:t>
      </w:r>
      <w:r>
        <w:rPr>
          <w:rFonts w:ascii="Arial Narrow"/>
          <w:color w:val="231F20"/>
          <w:spacing w:val="-2"/>
          <w:sz w:val="16"/>
        </w:rPr>
        <w:t>Office</w:t>
      </w:r>
      <w:r>
        <w:rPr>
          <w:rFonts w:ascii="Arial Narrow"/>
          <w:color w:val="231F20"/>
          <w:spacing w:val="-4"/>
          <w:sz w:val="16"/>
        </w:rPr>
        <w:t> </w:t>
      </w:r>
      <w:r>
        <w:rPr>
          <w:rFonts w:ascii="Arial Narrow"/>
          <w:color w:val="231F20"/>
          <w:spacing w:val="-2"/>
          <w:sz w:val="16"/>
        </w:rPr>
        <w:t>of</w:t>
      </w:r>
      <w:r>
        <w:rPr>
          <w:rFonts w:ascii="Arial Narrow"/>
          <w:color w:val="231F20"/>
          <w:spacing w:val="-11"/>
          <w:sz w:val="16"/>
        </w:rPr>
        <w:t> </w:t>
      </w:r>
      <w:r>
        <w:rPr>
          <w:rFonts w:ascii="Arial Narrow"/>
          <w:color w:val="231F20"/>
          <w:spacing w:val="-2"/>
          <w:sz w:val="16"/>
        </w:rPr>
        <w:t>Adolescent</w:t>
      </w:r>
      <w:r>
        <w:rPr>
          <w:rFonts w:ascii="Arial Narrow"/>
          <w:color w:val="231F20"/>
          <w:spacing w:val="-4"/>
          <w:sz w:val="16"/>
        </w:rPr>
        <w:t> </w:t>
      </w:r>
      <w:r>
        <w:rPr>
          <w:rFonts w:ascii="Arial Narrow"/>
          <w:color w:val="231F20"/>
          <w:spacing w:val="-2"/>
          <w:sz w:val="16"/>
        </w:rPr>
        <w:t>Health.</w:t>
      </w:r>
      <w:r>
        <w:rPr>
          <w:rFonts w:ascii="Arial Narrow"/>
          <w:color w:val="231F20"/>
          <w:spacing w:val="-4"/>
          <w:sz w:val="16"/>
        </w:rPr>
        <w:t> </w:t>
      </w:r>
      <w:r>
        <w:rPr>
          <w:rFonts w:ascii="Arial Narrow"/>
          <w:color w:val="231F20"/>
          <w:spacing w:val="-2"/>
          <w:sz w:val="16"/>
        </w:rPr>
        <w:t>(n.d.).</w:t>
      </w:r>
      <w:r>
        <w:rPr>
          <w:rFonts w:ascii="Arial Narrow"/>
          <w:color w:val="231F20"/>
          <w:spacing w:val="-6"/>
          <w:sz w:val="16"/>
        </w:rPr>
        <w:t> </w:t>
      </w:r>
      <w:r>
        <w:rPr>
          <w:rFonts w:ascii="Arial Narrow"/>
          <w:i/>
          <w:color w:val="231F20"/>
          <w:spacing w:val="-2"/>
          <w:sz w:val="16"/>
        </w:rPr>
        <w:t>Continuous</w:t>
      </w:r>
      <w:r>
        <w:rPr>
          <w:rFonts w:ascii="Arial Narrow"/>
          <w:i/>
          <w:color w:val="231F20"/>
          <w:spacing w:val="-4"/>
          <w:sz w:val="16"/>
        </w:rPr>
        <w:t> </w:t>
      </w:r>
      <w:r>
        <w:rPr>
          <w:rFonts w:ascii="Arial Narrow"/>
          <w:i/>
          <w:color w:val="231F20"/>
          <w:spacing w:val="-2"/>
          <w:sz w:val="16"/>
        </w:rPr>
        <w:t>Quality</w:t>
      </w:r>
      <w:r>
        <w:rPr>
          <w:rFonts w:ascii="Arial Narrow"/>
          <w:i/>
          <w:color w:val="231F20"/>
          <w:spacing w:val="-4"/>
          <w:sz w:val="16"/>
        </w:rPr>
        <w:t> </w:t>
      </w:r>
      <w:r>
        <w:rPr>
          <w:rFonts w:ascii="Arial Narrow"/>
          <w:i/>
          <w:color w:val="231F20"/>
          <w:spacing w:val="-2"/>
          <w:sz w:val="16"/>
        </w:rPr>
        <w:t>Improvement,</w:t>
      </w:r>
      <w:r>
        <w:rPr>
          <w:rFonts w:ascii="Arial Narrow"/>
          <w:i/>
          <w:color w:val="231F20"/>
          <w:spacing w:val="-4"/>
          <w:sz w:val="16"/>
        </w:rPr>
        <w:t> </w:t>
      </w:r>
      <w:r>
        <w:rPr>
          <w:rFonts w:ascii="Arial Narrow"/>
          <w:i/>
          <w:color w:val="231F20"/>
          <w:spacing w:val="-1"/>
          <w:sz w:val="16"/>
        </w:rPr>
        <w:t>Part</w:t>
      </w:r>
      <w:r>
        <w:rPr>
          <w:rFonts w:ascii="Arial Narrow"/>
          <w:i/>
          <w:color w:val="231F20"/>
          <w:spacing w:val="-4"/>
          <w:sz w:val="16"/>
        </w:rPr>
        <w:t> </w:t>
      </w:r>
      <w:r>
        <w:rPr>
          <w:rFonts w:ascii="Arial Narrow"/>
          <w:i/>
          <w:color w:val="231F20"/>
          <w:spacing w:val="-1"/>
          <w:sz w:val="16"/>
        </w:rPr>
        <w:t>1:</w:t>
      </w:r>
      <w:r>
        <w:rPr>
          <w:rFonts w:ascii="Arial Narrow"/>
          <w:i/>
          <w:color w:val="231F20"/>
          <w:spacing w:val="-4"/>
          <w:sz w:val="16"/>
        </w:rPr>
        <w:t> </w:t>
      </w:r>
      <w:r>
        <w:rPr>
          <w:rFonts w:ascii="Arial Narrow"/>
          <w:i/>
          <w:color w:val="231F20"/>
          <w:spacing w:val="-1"/>
          <w:sz w:val="16"/>
        </w:rPr>
        <w:t>Basics</w:t>
      </w:r>
      <w:r>
        <w:rPr>
          <w:rFonts w:ascii="Arial Narrow"/>
          <w:i/>
          <w:color w:val="231F20"/>
          <w:spacing w:val="-4"/>
          <w:sz w:val="16"/>
        </w:rPr>
        <w:t> </w:t>
      </w:r>
      <w:r>
        <w:rPr>
          <w:rFonts w:ascii="Arial Narrow"/>
          <w:i/>
          <w:color w:val="231F20"/>
          <w:spacing w:val="-1"/>
          <w:sz w:val="16"/>
        </w:rPr>
        <w:t>for</w:t>
      </w:r>
      <w:r>
        <w:rPr>
          <w:rFonts w:ascii="Arial Narrow"/>
          <w:i/>
          <w:color w:val="231F20"/>
          <w:spacing w:val="-4"/>
          <w:sz w:val="16"/>
        </w:rPr>
        <w:t> </w:t>
      </w:r>
      <w:r>
        <w:rPr>
          <w:rFonts w:ascii="Arial Narrow"/>
          <w:i/>
          <w:color w:val="231F20"/>
          <w:spacing w:val="-1"/>
          <w:sz w:val="16"/>
        </w:rPr>
        <w:t>Pregnancy</w:t>
      </w:r>
      <w:r>
        <w:rPr>
          <w:rFonts w:ascii="Arial Narrow"/>
          <w:i/>
          <w:color w:val="231F20"/>
          <w:spacing w:val="-13"/>
          <w:sz w:val="16"/>
        </w:rPr>
        <w:t> </w:t>
      </w:r>
      <w:r>
        <w:rPr>
          <w:rFonts w:ascii="Arial Narrow"/>
          <w:i/>
          <w:color w:val="231F20"/>
          <w:spacing w:val="-1"/>
          <w:sz w:val="16"/>
        </w:rPr>
        <w:t>Assistance</w:t>
      </w:r>
      <w:r>
        <w:rPr>
          <w:rFonts w:ascii="Arial Narrow"/>
          <w:i/>
          <w:color w:val="231F20"/>
          <w:spacing w:val="-4"/>
          <w:sz w:val="16"/>
        </w:rPr>
        <w:t> </w:t>
      </w:r>
      <w:r>
        <w:rPr>
          <w:rFonts w:ascii="Arial Narrow"/>
          <w:i/>
          <w:color w:val="231F20"/>
          <w:spacing w:val="-1"/>
          <w:sz w:val="16"/>
        </w:rPr>
        <w:t>Fund</w:t>
      </w:r>
      <w:r>
        <w:rPr>
          <w:rFonts w:ascii="Arial Narrow"/>
          <w:i/>
          <w:color w:val="231F20"/>
          <w:spacing w:val="-4"/>
          <w:sz w:val="16"/>
        </w:rPr>
        <w:t> </w:t>
      </w:r>
      <w:r>
        <w:rPr>
          <w:rFonts w:ascii="Arial Narrow"/>
          <w:i/>
          <w:color w:val="231F20"/>
          <w:spacing w:val="-1"/>
          <w:sz w:val="16"/>
        </w:rPr>
        <w:t>Programs</w:t>
      </w:r>
      <w:r>
        <w:rPr>
          <w:rFonts w:ascii="Arial Narrow"/>
          <w:color w:val="231F20"/>
          <w:spacing w:val="-1"/>
          <w:sz w:val="16"/>
        </w:rPr>
        <w:t>.</w:t>
      </w:r>
    </w:p>
    <w:p>
      <w:pPr>
        <w:spacing w:before="8"/>
        <w:ind w:left="0" w:right="899" w:firstLine="0"/>
        <w:jc w:val="right"/>
        <w:rPr>
          <w:rFonts w:ascii="Arial Narrow"/>
          <w:sz w:val="16"/>
        </w:rPr>
      </w:pPr>
      <w:hyperlink r:id="rId340">
        <w:r>
          <w:rPr>
            <w:rFonts w:ascii="Arial Narrow"/>
            <w:color w:val="3953A4"/>
            <w:sz w:val="16"/>
            <w:u w:val="single" w:color="3953A4"/>
          </w:rPr>
          <w:t>https://www.hhs.gov/ash/oah/sites/default/files/cqi-intro.pd</w:t>
        </w:r>
        <w:r>
          <w:rPr>
            <w:rFonts w:ascii="Arial Narrow"/>
            <w:color w:val="3953A4"/>
            <w:sz w:val="16"/>
          </w:rPr>
          <w:t>f</w:t>
        </w:r>
      </w:hyperlink>
    </w:p>
    <w:p>
      <w:pPr>
        <w:spacing w:after="0"/>
        <w:jc w:val="right"/>
        <w:rPr>
          <w:rFonts w:ascii="Arial Narrow"/>
          <w:sz w:val="16"/>
        </w:rPr>
        <w:sectPr>
          <w:type w:val="continuous"/>
          <w:pgSz w:w="12240" w:h="15840"/>
          <w:pgMar w:header="0" w:footer="666" w:top="1500" w:bottom="0" w:left="600" w:right="0"/>
        </w:sectPr>
      </w:pPr>
    </w:p>
    <w:p>
      <w:pPr>
        <w:pStyle w:val="BodyText"/>
        <w:rPr>
          <w:rFonts w:ascii="Arial Narrow"/>
          <w:sz w:val="20"/>
        </w:rPr>
      </w:pPr>
    </w:p>
    <w:p>
      <w:pPr>
        <w:pStyle w:val="BodyText"/>
        <w:spacing w:before="3"/>
        <w:rPr>
          <w:rFonts w:ascii="Arial Narrow"/>
          <w:sz w:val="27"/>
        </w:rPr>
      </w:pPr>
    </w:p>
    <w:p>
      <w:pPr>
        <w:spacing w:after="0"/>
        <w:rPr>
          <w:rFonts w:ascii="Arial Narrow"/>
          <w:sz w:val="27"/>
        </w:rPr>
        <w:sectPr>
          <w:pgSz w:w="12240" w:h="15840"/>
          <w:pgMar w:header="0" w:footer="666" w:top="380" w:bottom="860" w:left="600" w:right="0"/>
        </w:sectPr>
      </w:pPr>
    </w:p>
    <w:p>
      <w:pPr>
        <w:pStyle w:val="Heading5"/>
        <w:spacing w:before="98"/>
      </w:pPr>
      <w:r>
        <w:rPr>
          <w:color w:val="CE384B"/>
        </w:rPr>
        <w:t>Outcome Evaluations</w:t>
      </w:r>
    </w:p>
    <w:p>
      <w:pPr>
        <w:pStyle w:val="BodyText"/>
        <w:spacing w:line="266" w:lineRule="auto" w:before="208"/>
        <w:ind w:left="120" w:right="338"/>
      </w:pPr>
      <w:r>
        <w:rPr>
          <w:color w:val="231F20"/>
        </w:rPr>
        <w:t>The table below provides a list of potential outcomes,</w:t>
      </w:r>
      <w:r>
        <w:rPr>
          <w:color w:val="231F20"/>
          <w:spacing w:val="-52"/>
        </w:rPr>
        <w:t> </w:t>
      </w:r>
      <w:r>
        <w:rPr>
          <w:color w:val="231F20"/>
        </w:rPr>
        <w:t>illustrative outcome indicators, and qualitative and</w:t>
      </w:r>
      <w:r>
        <w:rPr>
          <w:color w:val="231F20"/>
          <w:spacing w:val="1"/>
        </w:rPr>
        <w:t> </w:t>
      </w:r>
      <w:r>
        <w:rPr>
          <w:color w:val="231F20"/>
        </w:rPr>
        <w:t>quantitative data sources that program managers,</w:t>
      </w:r>
      <w:r>
        <w:rPr>
          <w:color w:val="231F20"/>
          <w:spacing w:val="1"/>
        </w:rPr>
        <w:t> </w:t>
      </w:r>
      <w:r>
        <w:rPr>
          <w:color w:val="231F20"/>
        </w:rPr>
        <w:t>clinicians, and others may use to evaluate practices</w:t>
      </w:r>
      <w:r>
        <w:rPr>
          <w:color w:val="231F20"/>
          <w:spacing w:val="1"/>
        </w:rPr>
        <w:t> </w:t>
      </w:r>
      <w:r>
        <w:rPr>
          <w:color w:val="231F20"/>
        </w:rPr>
        <w:t>identified</w:t>
      </w:r>
      <w:r>
        <w:rPr>
          <w:color w:val="231F20"/>
          <w:spacing w:val="-1"/>
        </w:rPr>
        <w:t> </w:t>
      </w:r>
      <w:r>
        <w:rPr>
          <w:color w:val="231F20"/>
        </w:rPr>
        <w:t>in Chapter 2.</w:t>
      </w:r>
    </w:p>
    <w:p>
      <w:pPr>
        <w:pStyle w:val="BodyText"/>
        <w:spacing w:line="266" w:lineRule="auto" w:before="176"/>
        <w:ind w:left="119" w:right="36"/>
      </w:pPr>
      <w:r>
        <w:rPr>
          <w:color w:val="231F20"/>
        </w:rPr>
        <w:t>In Chapter 1, we introduced the Quadruple Aim</w:t>
      </w:r>
      <w:r>
        <w:rPr>
          <w:color w:val="231F20"/>
          <w:spacing w:val="1"/>
        </w:rPr>
        <w:t> </w:t>
      </w:r>
      <w:r>
        <w:rPr>
          <w:color w:val="231F20"/>
        </w:rPr>
        <w:t>Framework, which examines the impact of interventions</w:t>
      </w:r>
      <w:r>
        <w:rPr>
          <w:color w:val="231F20"/>
          <w:spacing w:val="1"/>
        </w:rPr>
        <w:t> </w:t>
      </w:r>
      <w:r>
        <w:rPr>
          <w:color w:val="231F20"/>
        </w:rPr>
        <w:t>with</w:t>
      </w:r>
      <w:r>
        <w:rPr>
          <w:color w:val="231F20"/>
          <w:spacing w:val="-3"/>
        </w:rPr>
        <w:t> </w:t>
      </w:r>
      <w:r>
        <w:rPr>
          <w:color w:val="231F20"/>
        </w:rPr>
        <w:t>the</w:t>
      </w:r>
      <w:r>
        <w:rPr>
          <w:color w:val="231F20"/>
          <w:spacing w:val="-3"/>
        </w:rPr>
        <w:t> </w:t>
      </w:r>
      <w:r>
        <w:rPr>
          <w:color w:val="231F20"/>
        </w:rPr>
        <w:t>goal</w:t>
      </w:r>
      <w:r>
        <w:rPr>
          <w:color w:val="231F20"/>
          <w:spacing w:val="-3"/>
        </w:rPr>
        <w:t> </w:t>
      </w:r>
      <w:r>
        <w:rPr>
          <w:color w:val="231F20"/>
        </w:rPr>
        <w:t>of</w:t>
      </w:r>
      <w:r>
        <w:rPr>
          <w:color w:val="231F20"/>
          <w:spacing w:val="-3"/>
        </w:rPr>
        <w:t> </w:t>
      </w:r>
      <w:r>
        <w:rPr>
          <w:color w:val="231F20"/>
        </w:rPr>
        <w:t>improving</w:t>
      </w:r>
      <w:r>
        <w:rPr>
          <w:color w:val="231F20"/>
          <w:spacing w:val="-3"/>
        </w:rPr>
        <w:t> </w:t>
      </w:r>
      <w:r>
        <w:rPr>
          <w:color w:val="231F20"/>
        </w:rPr>
        <w:t>patient</w:t>
      </w:r>
      <w:r>
        <w:rPr>
          <w:color w:val="231F20"/>
          <w:spacing w:val="-4"/>
        </w:rPr>
        <w:t> </w:t>
      </w:r>
      <w:r>
        <w:rPr>
          <w:color w:val="231F20"/>
        </w:rPr>
        <w:t>experience,</w:t>
      </w:r>
      <w:r>
        <w:rPr>
          <w:color w:val="231F20"/>
          <w:spacing w:val="-4"/>
        </w:rPr>
        <w:t> </w:t>
      </w:r>
      <w:r>
        <w:rPr>
          <w:color w:val="231F20"/>
        </w:rPr>
        <w:t>improving</w:t>
      </w:r>
      <w:r>
        <w:rPr>
          <w:color w:val="231F20"/>
          <w:spacing w:val="-52"/>
        </w:rPr>
        <w:t> </w:t>
      </w:r>
      <w:r>
        <w:rPr>
          <w:color w:val="231F20"/>
        </w:rPr>
        <w:t>provider experience, improving population health, and</w:t>
      </w:r>
      <w:r>
        <w:rPr>
          <w:color w:val="231F20"/>
          <w:spacing w:val="1"/>
        </w:rPr>
        <w:t> </w:t>
      </w:r>
      <w:r>
        <w:rPr>
          <w:color w:val="231F20"/>
          <w:w w:val="95"/>
        </w:rPr>
        <w:t>decreasing</w:t>
      </w:r>
      <w:r>
        <w:rPr>
          <w:color w:val="231F20"/>
          <w:spacing w:val="1"/>
          <w:w w:val="95"/>
        </w:rPr>
        <w:t> </w:t>
      </w:r>
      <w:r>
        <w:rPr>
          <w:color w:val="231F20"/>
          <w:w w:val="95"/>
        </w:rPr>
        <w:t>costs.</w:t>
      </w:r>
      <w:r>
        <w:rPr>
          <w:color w:val="231F20"/>
          <w:w w:val="95"/>
          <w:vertAlign w:val="superscript"/>
        </w:rPr>
        <w:t>1</w:t>
      </w:r>
      <w:r>
        <w:rPr>
          <w:color w:val="231F20"/>
          <w:spacing w:val="1"/>
          <w:w w:val="95"/>
          <w:vertAlign w:val="baseline"/>
        </w:rPr>
        <w:t> </w:t>
      </w:r>
      <w:r>
        <w:rPr>
          <w:color w:val="231F20"/>
          <w:w w:val="95"/>
          <w:vertAlign w:val="baseline"/>
        </w:rPr>
        <w:t>Using</w:t>
      </w:r>
      <w:r>
        <w:rPr>
          <w:color w:val="231F20"/>
          <w:spacing w:val="1"/>
          <w:w w:val="95"/>
          <w:vertAlign w:val="baseline"/>
        </w:rPr>
        <w:t> </w:t>
      </w:r>
      <w:r>
        <w:rPr>
          <w:color w:val="231F20"/>
          <w:w w:val="95"/>
          <w:vertAlign w:val="baseline"/>
        </w:rPr>
        <w:t>the</w:t>
      </w:r>
      <w:r>
        <w:rPr>
          <w:color w:val="231F20"/>
          <w:spacing w:val="1"/>
          <w:w w:val="95"/>
          <w:vertAlign w:val="baseline"/>
        </w:rPr>
        <w:t> </w:t>
      </w:r>
      <w:r>
        <w:rPr>
          <w:color w:val="231F20"/>
          <w:w w:val="95"/>
          <w:vertAlign w:val="baseline"/>
        </w:rPr>
        <w:t>Quadruple Aim</w:t>
      </w:r>
      <w:r>
        <w:rPr>
          <w:color w:val="231F20"/>
          <w:spacing w:val="49"/>
          <w:vertAlign w:val="baseline"/>
        </w:rPr>
        <w:t> </w:t>
      </w:r>
      <w:r>
        <w:rPr>
          <w:color w:val="231F20"/>
          <w:w w:val="95"/>
          <w:vertAlign w:val="baseline"/>
        </w:rPr>
        <w:t>Framework,</w:t>
      </w:r>
      <w:r>
        <w:rPr>
          <w:color w:val="231F20"/>
          <w:spacing w:val="-50"/>
          <w:w w:val="95"/>
          <w:vertAlign w:val="baseline"/>
        </w:rPr>
        <w:t> </w:t>
      </w:r>
      <w:r>
        <w:rPr>
          <w:color w:val="231F20"/>
          <w:vertAlign w:val="baseline"/>
        </w:rPr>
        <w:t>we identified specific outcomes, illustrative indicators,</w:t>
      </w:r>
      <w:r>
        <w:rPr>
          <w:color w:val="231F20"/>
          <w:spacing w:val="1"/>
          <w:vertAlign w:val="baseline"/>
        </w:rPr>
        <w:t> </w:t>
      </w:r>
      <w:r>
        <w:rPr>
          <w:color w:val="231F20"/>
          <w:vertAlign w:val="baseline"/>
        </w:rPr>
        <w:t>and illustrative data sources.</w:t>
      </w:r>
    </w:p>
    <w:p>
      <w:pPr>
        <w:pStyle w:val="BodyText"/>
        <w:spacing w:line="266" w:lineRule="auto" w:before="91"/>
        <w:ind w:left="119" w:right="751"/>
      </w:pPr>
      <w:r>
        <w:rPr/>
        <w:br w:type="column"/>
      </w:r>
      <w:r>
        <w:rPr>
          <w:color w:val="231F20"/>
        </w:rPr>
        <w:t>Patient health outcomes may be tracked at baseline and</w:t>
      </w:r>
      <w:r>
        <w:rPr>
          <w:color w:val="231F20"/>
          <w:spacing w:val="1"/>
        </w:rPr>
        <w:t> </w:t>
      </w:r>
      <w:r>
        <w:rPr>
          <w:color w:val="231F20"/>
        </w:rPr>
        <w:t>throughout the program duration through standardized</w:t>
      </w:r>
      <w:r>
        <w:rPr>
          <w:color w:val="231F20"/>
          <w:spacing w:val="1"/>
        </w:rPr>
        <w:t> </w:t>
      </w:r>
      <w:r>
        <w:rPr>
          <w:color w:val="231F20"/>
        </w:rPr>
        <w:t>screening, or through interviews with staff and clients.</w:t>
      </w:r>
      <w:r>
        <w:rPr>
          <w:color w:val="231F20"/>
          <w:spacing w:val="1"/>
        </w:rPr>
        <w:t> </w:t>
      </w:r>
      <w:r>
        <w:rPr>
          <w:color w:val="231F20"/>
        </w:rPr>
        <w:t>Telehealth-related</w:t>
      </w:r>
      <w:r>
        <w:rPr>
          <w:color w:val="231F20"/>
          <w:spacing w:val="-6"/>
        </w:rPr>
        <w:t> </w:t>
      </w:r>
      <w:r>
        <w:rPr>
          <w:color w:val="231F20"/>
        </w:rPr>
        <w:t>patient</w:t>
      </w:r>
      <w:r>
        <w:rPr>
          <w:color w:val="231F20"/>
          <w:spacing w:val="-6"/>
        </w:rPr>
        <w:t> </w:t>
      </w:r>
      <w:r>
        <w:rPr>
          <w:color w:val="231F20"/>
        </w:rPr>
        <w:t>outcomes,</w:t>
      </w:r>
      <w:r>
        <w:rPr>
          <w:color w:val="231F20"/>
          <w:spacing w:val="-6"/>
        </w:rPr>
        <w:t> </w:t>
      </w:r>
      <w:r>
        <w:rPr>
          <w:color w:val="231F20"/>
        </w:rPr>
        <w:t>such</w:t>
      </w:r>
      <w:r>
        <w:rPr>
          <w:color w:val="231F20"/>
          <w:spacing w:val="-6"/>
        </w:rPr>
        <w:t> </w:t>
      </w:r>
      <w:r>
        <w:rPr>
          <w:color w:val="231F20"/>
        </w:rPr>
        <w:t>as</w:t>
      </w:r>
      <w:r>
        <w:rPr>
          <w:color w:val="231F20"/>
          <w:spacing w:val="-6"/>
        </w:rPr>
        <w:t> </w:t>
      </w:r>
      <w:r>
        <w:rPr>
          <w:color w:val="231F20"/>
        </w:rPr>
        <w:t>engagement</w:t>
      </w:r>
      <w:r>
        <w:rPr>
          <w:color w:val="231F20"/>
          <w:spacing w:val="-52"/>
        </w:rPr>
        <w:t> </w:t>
      </w:r>
      <w:r>
        <w:rPr>
          <w:color w:val="231F20"/>
        </w:rPr>
        <w:t>and</w:t>
      </w:r>
      <w:r>
        <w:rPr>
          <w:color w:val="231F20"/>
          <w:spacing w:val="1"/>
        </w:rPr>
        <w:t> </w:t>
      </w:r>
      <w:r>
        <w:rPr>
          <w:color w:val="231F20"/>
        </w:rPr>
        <w:t>retention</w:t>
      </w:r>
      <w:r>
        <w:rPr>
          <w:color w:val="231F20"/>
          <w:spacing w:val="2"/>
        </w:rPr>
        <w:t> </w:t>
      </w:r>
      <w:r>
        <w:rPr>
          <w:color w:val="231F20"/>
        </w:rPr>
        <w:t>in</w:t>
      </w:r>
      <w:r>
        <w:rPr>
          <w:color w:val="231F20"/>
          <w:spacing w:val="2"/>
        </w:rPr>
        <w:t> </w:t>
      </w:r>
      <w:r>
        <w:rPr>
          <w:color w:val="231F20"/>
        </w:rPr>
        <w:t>telehealth,</w:t>
      </w:r>
      <w:r>
        <w:rPr>
          <w:color w:val="231F20"/>
          <w:spacing w:val="2"/>
        </w:rPr>
        <w:t> </w:t>
      </w:r>
      <w:r>
        <w:rPr>
          <w:color w:val="231F20"/>
        </w:rPr>
        <w:t>or</w:t>
      </w:r>
      <w:r>
        <w:rPr>
          <w:color w:val="231F20"/>
          <w:spacing w:val="2"/>
        </w:rPr>
        <w:t> </w:t>
      </w:r>
      <w:r>
        <w:rPr>
          <w:color w:val="231F20"/>
        </w:rPr>
        <w:t>therapeutic</w:t>
      </w:r>
      <w:r>
        <w:rPr>
          <w:color w:val="231F20"/>
          <w:spacing w:val="2"/>
        </w:rPr>
        <w:t> </w:t>
      </w:r>
      <w:r>
        <w:rPr>
          <w:color w:val="231F20"/>
        </w:rPr>
        <w:t>alliance</w:t>
      </w:r>
      <w:r>
        <w:rPr>
          <w:color w:val="231F20"/>
          <w:spacing w:val="2"/>
        </w:rPr>
        <w:t> </w:t>
      </w:r>
      <w:r>
        <w:rPr>
          <w:color w:val="231F20"/>
        </w:rPr>
        <w:t>may</w:t>
      </w:r>
      <w:r>
        <w:rPr>
          <w:color w:val="231F20"/>
          <w:spacing w:val="1"/>
        </w:rPr>
        <w:t> </w:t>
      </w:r>
      <w:r>
        <w:rPr>
          <w:color w:val="231F20"/>
        </w:rPr>
        <w:t>be obtained through administrative data, surveys, or</w:t>
      </w:r>
      <w:r>
        <w:rPr>
          <w:color w:val="231F20"/>
          <w:spacing w:val="1"/>
        </w:rPr>
        <w:t> </w:t>
      </w:r>
      <w:r>
        <w:rPr>
          <w:color w:val="231F20"/>
        </w:rPr>
        <w:t>interviews. Provider outcomes may be captured through</w:t>
      </w:r>
      <w:r>
        <w:rPr>
          <w:color w:val="231F20"/>
          <w:spacing w:val="1"/>
        </w:rPr>
        <w:t> </w:t>
      </w:r>
      <w:r>
        <w:rPr>
          <w:color w:val="231F20"/>
        </w:rPr>
        <w:t>surveys or interviews. Population health outcomes may</w:t>
      </w:r>
      <w:r>
        <w:rPr>
          <w:color w:val="231F20"/>
          <w:spacing w:val="1"/>
        </w:rPr>
        <w:t> </w:t>
      </w:r>
      <w:r>
        <w:rPr>
          <w:color w:val="231F20"/>
        </w:rPr>
        <w:t>be tracked through administrative data and interviews.</w:t>
      </w:r>
    </w:p>
    <w:p>
      <w:pPr>
        <w:pStyle w:val="BodyText"/>
        <w:spacing w:line="266" w:lineRule="auto"/>
        <w:ind w:left="119" w:right="937"/>
      </w:pPr>
      <w:r>
        <w:rPr>
          <w:color w:val="231F20"/>
        </w:rPr>
        <w:t>Finally,</w:t>
      </w:r>
      <w:r>
        <w:rPr>
          <w:color w:val="231F20"/>
          <w:spacing w:val="-5"/>
        </w:rPr>
        <w:t> </w:t>
      </w:r>
      <w:r>
        <w:rPr>
          <w:color w:val="231F20"/>
        </w:rPr>
        <w:t>cost-related</w:t>
      </w:r>
      <w:r>
        <w:rPr>
          <w:color w:val="231F20"/>
          <w:spacing w:val="-5"/>
        </w:rPr>
        <w:t> </w:t>
      </w:r>
      <w:r>
        <w:rPr>
          <w:color w:val="231F20"/>
        </w:rPr>
        <w:t>outcomes</w:t>
      </w:r>
      <w:r>
        <w:rPr>
          <w:color w:val="231F20"/>
          <w:spacing w:val="-5"/>
        </w:rPr>
        <w:t> </w:t>
      </w:r>
      <w:r>
        <w:rPr>
          <w:color w:val="231F20"/>
        </w:rPr>
        <w:t>can</w:t>
      </w:r>
      <w:r>
        <w:rPr>
          <w:color w:val="231F20"/>
          <w:spacing w:val="-5"/>
        </w:rPr>
        <w:t> </w:t>
      </w:r>
      <w:r>
        <w:rPr>
          <w:color w:val="231F20"/>
        </w:rPr>
        <w:t>be</w:t>
      </w:r>
      <w:r>
        <w:rPr>
          <w:color w:val="231F20"/>
          <w:spacing w:val="-4"/>
        </w:rPr>
        <w:t> </w:t>
      </w:r>
      <w:r>
        <w:rPr>
          <w:color w:val="231F20"/>
        </w:rPr>
        <w:t>captured</w:t>
      </w:r>
      <w:r>
        <w:rPr>
          <w:color w:val="231F20"/>
          <w:spacing w:val="-5"/>
        </w:rPr>
        <w:t> </w:t>
      </w:r>
      <w:r>
        <w:rPr>
          <w:color w:val="231F20"/>
        </w:rPr>
        <w:t>through</w:t>
      </w:r>
      <w:r>
        <w:rPr>
          <w:color w:val="231F20"/>
          <w:spacing w:val="-52"/>
        </w:rPr>
        <w:t> </w:t>
      </w:r>
      <w:r>
        <w:rPr>
          <w:color w:val="231F20"/>
        </w:rPr>
        <w:t>administrative data.</w:t>
      </w:r>
    </w:p>
    <w:p>
      <w:pPr>
        <w:spacing w:after="0" w:line="266" w:lineRule="auto"/>
        <w:sectPr>
          <w:type w:val="continuous"/>
          <w:pgSz w:w="12240" w:h="15840"/>
          <w:pgMar w:header="0" w:footer="666" w:top="1500" w:bottom="0" w:left="600" w:right="0"/>
          <w:cols w:num="2" w:equalWidth="0">
            <w:col w:w="5201" w:space="559"/>
            <w:col w:w="5880"/>
          </w:cols>
        </w:sectPr>
      </w:pPr>
    </w:p>
    <w:p>
      <w:pPr>
        <w:pStyle w:val="BodyText"/>
        <w:spacing w:before="10"/>
        <w:rPr>
          <w:sz w:val="20"/>
        </w:rPr>
      </w:pPr>
    </w:p>
    <w:tbl>
      <w:tblPr>
        <w:tblW w:w="0" w:type="auto"/>
        <w:jc w:val="left"/>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862"/>
        <w:gridCol w:w="3168"/>
        <w:gridCol w:w="5750"/>
      </w:tblGrid>
      <w:tr>
        <w:trPr>
          <w:trHeight w:val="295" w:hRule="atLeast"/>
        </w:trPr>
        <w:tc>
          <w:tcPr>
            <w:tcW w:w="1862" w:type="dxa"/>
            <w:tcBorders>
              <w:bottom w:val="single" w:sz="12" w:space="0" w:color="231F20"/>
            </w:tcBorders>
            <w:shd w:val="clear" w:color="auto" w:fill="44546A"/>
          </w:tcPr>
          <w:p>
            <w:pPr>
              <w:pStyle w:val="TableParagraph"/>
              <w:spacing w:line="251" w:lineRule="exact" w:before="24"/>
              <w:ind w:left="24" w:right="4"/>
              <w:jc w:val="center"/>
              <w:rPr>
                <w:b/>
                <w:sz w:val="22"/>
              </w:rPr>
            </w:pPr>
            <w:r>
              <w:rPr>
                <w:b/>
                <w:color w:val="FFFFFF"/>
                <w:sz w:val="22"/>
              </w:rPr>
              <w:t>Outcome</w:t>
            </w:r>
          </w:p>
        </w:tc>
        <w:tc>
          <w:tcPr>
            <w:tcW w:w="3168" w:type="dxa"/>
            <w:tcBorders>
              <w:bottom w:val="single" w:sz="12" w:space="0" w:color="231F20"/>
            </w:tcBorders>
            <w:shd w:val="clear" w:color="auto" w:fill="44546A"/>
          </w:tcPr>
          <w:p>
            <w:pPr>
              <w:pStyle w:val="TableParagraph"/>
              <w:spacing w:line="251" w:lineRule="exact" w:before="24"/>
              <w:ind w:left="477"/>
              <w:rPr>
                <w:b/>
                <w:sz w:val="22"/>
              </w:rPr>
            </w:pPr>
            <w:r>
              <w:rPr>
                <w:b/>
                <w:color w:val="FFFFFF"/>
                <w:sz w:val="22"/>
              </w:rPr>
              <w:t>Illustrative Indicators</w:t>
            </w:r>
          </w:p>
        </w:tc>
        <w:tc>
          <w:tcPr>
            <w:tcW w:w="5750" w:type="dxa"/>
            <w:tcBorders>
              <w:bottom w:val="single" w:sz="12" w:space="0" w:color="231F20"/>
            </w:tcBorders>
            <w:shd w:val="clear" w:color="auto" w:fill="44546A"/>
          </w:tcPr>
          <w:p>
            <w:pPr>
              <w:pStyle w:val="TableParagraph"/>
              <w:spacing w:line="251" w:lineRule="exact" w:before="24"/>
              <w:ind w:left="1591"/>
              <w:rPr>
                <w:b/>
                <w:sz w:val="22"/>
              </w:rPr>
            </w:pPr>
            <w:r>
              <w:rPr>
                <w:b/>
                <w:color w:val="FFFFFF"/>
                <w:sz w:val="22"/>
              </w:rPr>
              <w:t>Illustrative</w:t>
            </w:r>
            <w:r>
              <w:rPr>
                <w:b/>
                <w:color w:val="FFFFFF"/>
                <w:spacing w:val="-1"/>
                <w:sz w:val="22"/>
              </w:rPr>
              <w:t> </w:t>
            </w:r>
            <w:r>
              <w:rPr>
                <w:b/>
                <w:color w:val="FFFFFF"/>
                <w:sz w:val="22"/>
              </w:rPr>
              <w:t>Data Sources</w:t>
            </w:r>
          </w:p>
        </w:tc>
      </w:tr>
      <w:tr>
        <w:trPr>
          <w:trHeight w:val="295" w:hRule="atLeast"/>
        </w:trPr>
        <w:tc>
          <w:tcPr>
            <w:tcW w:w="10780" w:type="dxa"/>
            <w:gridSpan w:val="3"/>
            <w:tcBorders>
              <w:top w:val="single" w:sz="12" w:space="0" w:color="231F20"/>
            </w:tcBorders>
            <w:shd w:val="clear" w:color="auto" w:fill="BDD7EE"/>
          </w:tcPr>
          <w:p>
            <w:pPr>
              <w:pStyle w:val="TableParagraph"/>
              <w:spacing w:before="18"/>
              <w:ind w:left="80"/>
              <w:rPr>
                <w:b/>
                <w:sz w:val="22"/>
              </w:rPr>
            </w:pPr>
            <w:r>
              <w:rPr>
                <w:b/>
                <w:color w:val="231F20"/>
                <w:sz w:val="22"/>
              </w:rPr>
              <w:t>Client</w:t>
            </w:r>
            <w:r>
              <w:rPr>
                <w:b/>
                <w:color w:val="231F20"/>
                <w:spacing w:val="-1"/>
                <w:sz w:val="22"/>
              </w:rPr>
              <w:t> </w:t>
            </w:r>
            <w:r>
              <w:rPr>
                <w:b/>
                <w:color w:val="231F20"/>
                <w:sz w:val="22"/>
              </w:rPr>
              <w:t>Experience</w:t>
            </w:r>
          </w:p>
        </w:tc>
      </w:tr>
      <w:tr>
        <w:trPr>
          <w:trHeight w:val="295" w:hRule="atLeast"/>
        </w:trPr>
        <w:tc>
          <w:tcPr>
            <w:tcW w:w="10780" w:type="dxa"/>
            <w:gridSpan w:val="3"/>
            <w:shd w:val="clear" w:color="auto" w:fill="DEEAF6"/>
          </w:tcPr>
          <w:p>
            <w:pPr>
              <w:pStyle w:val="TableParagraph"/>
              <w:spacing w:before="38"/>
              <w:ind w:left="2622" w:right="2602"/>
              <w:jc w:val="center"/>
              <w:rPr>
                <w:b/>
                <w:sz w:val="20"/>
              </w:rPr>
            </w:pPr>
            <w:r>
              <w:rPr>
                <w:b/>
                <w:color w:val="231F20"/>
                <w:sz w:val="20"/>
              </w:rPr>
              <w:t>Clinical Outcomes</w:t>
            </w:r>
          </w:p>
        </w:tc>
      </w:tr>
      <w:tr>
        <w:trPr>
          <w:trHeight w:val="1541" w:hRule="atLeast"/>
        </w:trPr>
        <w:tc>
          <w:tcPr>
            <w:tcW w:w="1862" w:type="dxa"/>
          </w:tcPr>
          <w:p>
            <w:pPr>
              <w:pStyle w:val="TableParagraph"/>
              <w:spacing w:line="249" w:lineRule="auto" w:before="38"/>
              <w:ind w:left="42" w:right="568"/>
              <w:rPr>
                <w:b/>
                <w:sz w:val="20"/>
              </w:rPr>
            </w:pPr>
            <w:r>
              <w:rPr>
                <w:b/>
                <w:color w:val="231F20"/>
                <w:sz w:val="20"/>
              </w:rPr>
              <w:t>Reduction in</w:t>
            </w:r>
            <w:r>
              <w:rPr>
                <w:b/>
                <w:color w:val="231F20"/>
                <w:spacing w:val="-53"/>
                <w:sz w:val="20"/>
              </w:rPr>
              <w:t> </w:t>
            </w:r>
            <w:r>
              <w:rPr>
                <w:b/>
                <w:color w:val="231F20"/>
                <w:sz w:val="20"/>
              </w:rPr>
              <w:t>Depression</w:t>
            </w:r>
            <w:r>
              <w:rPr>
                <w:b/>
                <w:color w:val="231F20"/>
                <w:spacing w:val="1"/>
                <w:sz w:val="20"/>
              </w:rPr>
              <w:t> </w:t>
            </w:r>
            <w:r>
              <w:rPr>
                <w:b/>
                <w:color w:val="231F20"/>
                <w:sz w:val="20"/>
              </w:rPr>
              <w:t>Symptoms</w:t>
            </w:r>
          </w:p>
        </w:tc>
        <w:tc>
          <w:tcPr>
            <w:tcW w:w="3168" w:type="dxa"/>
          </w:tcPr>
          <w:p>
            <w:pPr>
              <w:pStyle w:val="TableParagraph"/>
              <w:numPr>
                <w:ilvl w:val="0"/>
                <w:numId w:val="68"/>
              </w:numPr>
              <w:tabs>
                <w:tab w:pos="402" w:val="left" w:leader="none"/>
                <w:tab w:pos="403" w:val="left" w:leader="none"/>
              </w:tabs>
              <w:spacing w:line="247" w:lineRule="auto" w:before="24" w:after="0"/>
              <w:ind w:left="402" w:right="97" w:hanging="360"/>
              <w:jc w:val="left"/>
              <w:rPr>
                <w:sz w:val="20"/>
              </w:rPr>
            </w:pPr>
            <w:r>
              <w:rPr>
                <w:color w:val="231F20"/>
                <w:sz w:val="20"/>
              </w:rPr>
              <w:t>Days of symptoms in the prior</w:t>
            </w:r>
            <w:r>
              <w:rPr>
                <w:color w:val="231F20"/>
                <w:spacing w:val="-53"/>
                <w:sz w:val="20"/>
              </w:rPr>
              <w:t> </w:t>
            </w:r>
            <w:r>
              <w:rPr>
                <w:color w:val="231F20"/>
                <w:sz w:val="20"/>
              </w:rPr>
              <w:t>30 days</w:t>
            </w:r>
          </w:p>
          <w:p>
            <w:pPr>
              <w:pStyle w:val="TableParagraph"/>
              <w:numPr>
                <w:ilvl w:val="0"/>
                <w:numId w:val="68"/>
              </w:numPr>
              <w:tabs>
                <w:tab w:pos="402" w:val="left" w:leader="none"/>
                <w:tab w:pos="403" w:val="left" w:leader="none"/>
              </w:tabs>
              <w:spacing w:line="240" w:lineRule="auto" w:before="81" w:after="0"/>
              <w:ind w:left="402" w:right="0" w:hanging="361"/>
              <w:jc w:val="left"/>
              <w:rPr>
                <w:sz w:val="20"/>
              </w:rPr>
            </w:pPr>
            <w:r>
              <w:rPr>
                <w:color w:val="231F20"/>
                <w:sz w:val="20"/>
              </w:rPr>
              <w:t>Severity of symptoms</w:t>
            </w:r>
          </w:p>
        </w:tc>
        <w:tc>
          <w:tcPr>
            <w:tcW w:w="5750" w:type="dxa"/>
          </w:tcPr>
          <w:p>
            <w:pPr>
              <w:pStyle w:val="TableParagraph"/>
              <w:numPr>
                <w:ilvl w:val="0"/>
                <w:numId w:val="69"/>
              </w:numPr>
              <w:tabs>
                <w:tab w:pos="402" w:val="left" w:leader="none"/>
                <w:tab w:pos="403" w:val="left" w:leader="none"/>
              </w:tabs>
              <w:spacing w:line="249" w:lineRule="auto" w:before="24" w:after="0"/>
              <w:ind w:left="402" w:right="33" w:hanging="360"/>
              <w:jc w:val="left"/>
              <w:rPr>
                <w:sz w:val="20"/>
              </w:rPr>
            </w:pPr>
            <w:r>
              <w:rPr>
                <w:color w:val="231F20"/>
                <w:sz w:val="20"/>
              </w:rPr>
              <w:t>Structured</w:t>
            </w:r>
            <w:r>
              <w:rPr>
                <w:color w:val="231F20"/>
                <w:spacing w:val="1"/>
                <w:sz w:val="20"/>
              </w:rPr>
              <w:t> </w:t>
            </w:r>
            <w:r>
              <w:rPr>
                <w:color w:val="231F20"/>
                <w:sz w:val="20"/>
              </w:rPr>
              <w:t>scales</w:t>
            </w:r>
            <w:r>
              <w:rPr>
                <w:color w:val="231F20"/>
                <w:spacing w:val="1"/>
                <w:sz w:val="20"/>
              </w:rPr>
              <w:t> </w:t>
            </w:r>
            <w:r>
              <w:rPr>
                <w:color w:val="231F20"/>
                <w:sz w:val="20"/>
              </w:rPr>
              <w:t>and</w:t>
            </w:r>
            <w:r>
              <w:rPr>
                <w:color w:val="231F20"/>
                <w:spacing w:val="55"/>
                <w:sz w:val="20"/>
              </w:rPr>
              <w:t> </w:t>
            </w:r>
            <w:r>
              <w:rPr>
                <w:color w:val="231F20"/>
                <w:sz w:val="20"/>
              </w:rPr>
              <w:t>assessments</w:t>
            </w:r>
            <w:r>
              <w:rPr>
                <w:color w:val="231F20"/>
                <w:spacing w:val="56"/>
                <w:sz w:val="20"/>
              </w:rPr>
              <w:t> </w:t>
            </w:r>
            <w:r>
              <w:rPr>
                <w:color w:val="231F20"/>
                <w:sz w:val="20"/>
              </w:rPr>
              <w:t>(e.g.,</w:t>
            </w:r>
            <w:r>
              <w:rPr>
                <w:color w:val="3953A4"/>
                <w:spacing w:val="55"/>
                <w:sz w:val="20"/>
              </w:rPr>
              <w:t> </w:t>
            </w:r>
            <w:hyperlink r:id="rId341">
              <w:r>
                <w:rPr>
                  <w:color w:val="3953A4"/>
                  <w:sz w:val="20"/>
                  <w:u w:val="single" w:color="3953A4"/>
                </w:rPr>
                <w:t>Beck</w:t>
              </w:r>
            </w:hyperlink>
            <w:r>
              <w:rPr>
                <w:color w:val="3953A4"/>
                <w:spacing w:val="1"/>
                <w:sz w:val="20"/>
              </w:rPr>
              <w:t> </w:t>
            </w:r>
            <w:hyperlink r:id="rId341">
              <w:r>
                <w:rPr>
                  <w:color w:val="3953A4"/>
                  <w:sz w:val="20"/>
                  <w:u w:val="single" w:color="3953A4"/>
                </w:rPr>
                <w:t>Depression Inventory – 2</w:t>
              </w:r>
              <w:r>
                <w:rPr>
                  <w:color w:val="3953A4"/>
                  <w:position w:val="7"/>
                  <w:sz w:val="11"/>
                  <w:u w:val="single" w:color="3953A4"/>
                </w:rPr>
                <w:t>nd</w:t>
              </w:r>
              <w:r>
                <w:rPr>
                  <w:color w:val="3953A4"/>
                  <w:spacing w:val="1"/>
                  <w:sz w:val="11"/>
                  <w:u w:val="single" w:color="3953A4"/>
                </w:rPr>
                <w:t> </w:t>
              </w:r>
              <w:r>
                <w:rPr>
                  <w:color w:val="3953A4"/>
                  <w:sz w:val="20"/>
                  <w:u w:val="single" w:color="3953A4"/>
                </w:rPr>
                <w:t>Edition</w:t>
              </w:r>
            </w:hyperlink>
            <w:r>
              <w:rPr>
                <w:color w:val="2764B0"/>
                <w:sz w:val="20"/>
              </w:rPr>
              <w:t>,</w:t>
            </w:r>
            <w:r>
              <w:rPr>
                <w:color w:val="3953A4"/>
                <w:sz w:val="20"/>
              </w:rPr>
              <w:t> </w:t>
            </w:r>
            <w:hyperlink r:id="rId342">
              <w:r>
                <w:rPr>
                  <w:color w:val="3953A4"/>
                  <w:sz w:val="20"/>
                  <w:u w:val="single" w:color="3953A4"/>
                </w:rPr>
                <w:t>Geriatric Depression</w:t>
              </w:r>
            </w:hyperlink>
            <w:r>
              <w:rPr>
                <w:color w:val="3953A4"/>
                <w:spacing w:val="1"/>
                <w:sz w:val="20"/>
              </w:rPr>
              <w:t> </w:t>
            </w:r>
            <w:hyperlink r:id="rId342">
              <w:r>
                <w:rPr>
                  <w:color w:val="3953A4"/>
                  <w:sz w:val="20"/>
                  <w:u w:val="single" w:color="3953A4"/>
                </w:rPr>
                <w:t>Scale</w:t>
              </w:r>
            </w:hyperlink>
            <w:r>
              <w:rPr>
                <w:color w:val="2764B0"/>
                <w:sz w:val="20"/>
              </w:rPr>
              <w:t>,</w:t>
            </w:r>
            <w:r>
              <w:rPr>
                <w:color w:val="3953A4"/>
                <w:sz w:val="20"/>
              </w:rPr>
              <w:t> </w:t>
            </w:r>
            <w:hyperlink r:id="rId343">
              <w:r>
                <w:rPr>
                  <w:color w:val="3953A4"/>
                  <w:sz w:val="20"/>
                  <w:u w:val="single" w:color="3953A4"/>
                </w:rPr>
                <w:t>Structured Clinical Interview for DSM-IV (MDD</w:t>
              </w:r>
            </w:hyperlink>
            <w:r>
              <w:rPr>
                <w:color w:val="3953A4"/>
                <w:spacing w:val="1"/>
                <w:sz w:val="20"/>
              </w:rPr>
              <w:t> </w:t>
            </w:r>
            <w:hyperlink r:id="rId343">
              <w:r>
                <w:rPr>
                  <w:color w:val="3953A4"/>
                  <w:sz w:val="20"/>
                  <w:u w:val="single" w:color="3953A4"/>
                </w:rPr>
                <w:t>module)</w:t>
              </w:r>
            </w:hyperlink>
            <w:r>
              <w:rPr>
                <w:color w:val="2764B0"/>
                <w:sz w:val="20"/>
              </w:rPr>
              <w:t>,</w:t>
            </w:r>
            <w:r>
              <w:rPr>
                <w:color w:val="3953A4"/>
                <w:sz w:val="20"/>
              </w:rPr>
              <w:t> </w:t>
            </w:r>
            <w:hyperlink r:id="rId344">
              <w:r>
                <w:rPr>
                  <w:color w:val="3953A4"/>
                  <w:sz w:val="20"/>
                  <w:u w:val="single" w:color="3953A4"/>
                </w:rPr>
                <w:t>Hamilton Depression Rating Scale</w:t>
              </w:r>
            </w:hyperlink>
            <w:r>
              <w:rPr>
                <w:color w:val="2764B0"/>
                <w:sz w:val="20"/>
              </w:rPr>
              <w:t>,</w:t>
            </w:r>
            <w:r>
              <w:rPr>
                <w:color w:val="3953A4"/>
                <w:sz w:val="20"/>
              </w:rPr>
              <w:t> </w:t>
            </w:r>
            <w:hyperlink r:id="rId345">
              <w:r>
                <w:rPr>
                  <w:color w:val="3953A4"/>
                  <w:sz w:val="20"/>
                  <w:u w:val="single" w:color="3953A4"/>
                </w:rPr>
                <w:t>Center for</w:t>
              </w:r>
            </w:hyperlink>
            <w:r>
              <w:rPr>
                <w:color w:val="3953A4"/>
                <w:spacing w:val="1"/>
                <w:sz w:val="20"/>
              </w:rPr>
              <w:t> </w:t>
            </w:r>
            <w:hyperlink r:id="rId345">
              <w:r>
                <w:rPr>
                  <w:color w:val="3953A4"/>
                  <w:sz w:val="20"/>
                  <w:u w:val="single" w:color="3953A4"/>
                </w:rPr>
                <w:t>Epidemiological Studies - Depression Scale</w:t>
              </w:r>
            </w:hyperlink>
            <w:r>
              <w:rPr>
                <w:color w:val="231F20"/>
                <w:sz w:val="20"/>
              </w:rPr>
              <w:t>,</w:t>
            </w:r>
            <w:r>
              <w:rPr>
                <w:color w:val="3953A4"/>
                <w:sz w:val="20"/>
              </w:rPr>
              <w:t> </w:t>
            </w:r>
            <w:hyperlink r:id="rId346">
              <w:r>
                <w:rPr>
                  <w:color w:val="3953A4"/>
                  <w:sz w:val="20"/>
                  <w:u w:val="single" w:color="3953A4"/>
                </w:rPr>
                <w:t>Patient Health</w:t>
              </w:r>
            </w:hyperlink>
            <w:r>
              <w:rPr>
                <w:color w:val="3953A4"/>
                <w:spacing w:val="1"/>
                <w:sz w:val="20"/>
              </w:rPr>
              <w:t> </w:t>
            </w:r>
            <w:hyperlink r:id="rId346">
              <w:r>
                <w:rPr>
                  <w:color w:val="3953A4"/>
                  <w:sz w:val="20"/>
                  <w:u w:val="single" w:color="3953A4"/>
                </w:rPr>
                <w:t>Questionnaire-9 (PHQ-9)</w:t>
              </w:r>
            </w:hyperlink>
            <w:r>
              <w:rPr>
                <w:color w:val="231F20"/>
                <w:sz w:val="20"/>
              </w:rPr>
              <w:t>)</w:t>
            </w:r>
          </w:p>
        </w:tc>
      </w:tr>
      <w:tr>
        <w:trPr>
          <w:trHeight w:val="1038" w:hRule="atLeast"/>
        </w:trPr>
        <w:tc>
          <w:tcPr>
            <w:tcW w:w="1862" w:type="dxa"/>
          </w:tcPr>
          <w:p>
            <w:pPr>
              <w:pStyle w:val="TableParagraph"/>
              <w:spacing w:line="249" w:lineRule="auto" w:before="38"/>
              <w:ind w:left="42" w:right="181"/>
              <w:rPr>
                <w:b/>
                <w:sz w:val="20"/>
              </w:rPr>
            </w:pPr>
            <w:r>
              <w:rPr>
                <w:b/>
                <w:color w:val="231F20"/>
                <w:sz w:val="20"/>
              </w:rPr>
              <w:t>Reduction in</w:t>
            </w:r>
            <w:r>
              <w:rPr>
                <w:b/>
                <w:color w:val="231F20"/>
                <w:spacing w:val="1"/>
                <w:sz w:val="20"/>
              </w:rPr>
              <w:t> </w:t>
            </w:r>
            <w:r>
              <w:rPr>
                <w:b/>
                <w:color w:val="231F20"/>
                <w:sz w:val="20"/>
              </w:rPr>
              <w:t>PTSD</w:t>
            </w:r>
            <w:r>
              <w:rPr>
                <w:b/>
                <w:color w:val="231F20"/>
                <w:spacing w:val="-13"/>
                <w:sz w:val="20"/>
              </w:rPr>
              <w:t> </w:t>
            </w:r>
            <w:r>
              <w:rPr>
                <w:b/>
                <w:color w:val="231F20"/>
                <w:sz w:val="20"/>
              </w:rPr>
              <w:t>Symptoms</w:t>
            </w:r>
          </w:p>
        </w:tc>
        <w:tc>
          <w:tcPr>
            <w:tcW w:w="3168" w:type="dxa"/>
          </w:tcPr>
          <w:p>
            <w:pPr>
              <w:pStyle w:val="TableParagraph"/>
              <w:numPr>
                <w:ilvl w:val="0"/>
                <w:numId w:val="70"/>
              </w:numPr>
              <w:tabs>
                <w:tab w:pos="402" w:val="left" w:leader="none"/>
                <w:tab w:pos="403" w:val="left" w:leader="none"/>
              </w:tabs>
              <w:spacing w:line="247" w:lineRule="auto" w:before="24" w:after="0"/>
              <w:ind w:left="402" w:right="97" w:hanging="360"/>
              <w:jc w:val="left"/>
              <w:rPr>
                <w:sz w:val="20"/>
              </w:rPr>
            </w:pPr>
            <w:r>
              <w:rPr>
                <w:color w:val="231F20"/>
                <w:sz w:val="20"/>
              </w:rPr>
              <w:t>Days of symptoms in the prior</w:t>
            </w:r>
            <w:r>
              <w:rPr>
                <w:color w:val="231F20"/>
                <w:spacing w:val="-53"/>
                <w:sz w:val="20"/>
              </w:rPr>
              <w:t> </w:t>
            </w:r>
            <w:r>
              <w:rPr>
                <w:color w:val="231F20"/>
                <w:sz w:val="20"/>
              </w:rPr>
              <w:t>30 days</w:t>
            </w:r>
          </w:p>
          <w:p>
            <w:pPr>
              <w:pStyle w:val="TableParagraph"/>
              <w:numPr>
                <w:ilvl w:val="0"/>
                <w:numId w:val="70"/>
              </w:numPr>
              <w:tabs>
                <w:tab w:pos="402" w:val="left" w:leader="none"/>
                <w:tab w:pos="403" w:val="left" w:leader="none"/>
              </w:tabs>
              <w:spacing w:line="236" w:lineRule="exact" w:before="0" w:after="0"/>
              <w:ind w:left="402" w:right="0" w:hanging="361"/>
              <w:jc w:val="left"/>
              <w:rPr>
                <w:sz w:val="20"/>
              </w:rPr>
            </w:pPr>
            <w:r>
              <w:rPr>
                <w:color w:val="231F20"/>
                <w:sz w:val="20"/>
              </w:rPr>
              <w:t>Severity of symptoms</w:t>
            </w:r>
          </w:p>
        </w:tc>
        <w:tc>
          <w:tcPr>
            <w:tcW w:w="5750" w:type="dxa"/>
          </w:tcPr>
          <w:p>
            <w:pPr>
              <w:pStyle w:val="TableParagraph"/>
              <w:numPr>
                <w:ilvl w:val="0"/>
                <w:numId w:val="71"/>
              </w:numPr>
              <w:tabs>
                <w:tab w:pos="402" w:val="left" w:leader="none"/>
                <w:tab w:pos="403" w:val="left" w:leader="none"/>
              </w:tabs>
              <w:spacing w:line="243" w:lineRule="exact" w:before="24" w:after="0"/>
              <w:ind w:left="403" w:right="0" w:hanging="361"/>
              <w:jc w:val="left"/>
              <w:rPr>
                <w:sz w:val="20"/>
              </w:rPr>
            </w:pPr>
            <w:r>
              <w:rPr>
                <w:color w:val="231F20"/>
                <w:sz w:val="20"/>
              </w:rPr>
              <w:t>Medical records</w:t>
            </w:r>
          </w:p>
          <w:p>
            <w:pPr>
              <w:pStyle w:val="TableParagraph"/>
              <w:numPr>
                <w:ilvl w:val="0"/>
                <w:numId w:val="71"/>
              </w:numPr>
              <w:tabs>
                <w:tab w:pos="402" w:val="left" w:leader="none"/>
                <w:tab w:pos="403" w:val="left" w:leader="none"/>
              </w:tabs>
              <w:spacing w:line="243" w:lineRule="exact" w:before="0" w:after="0"/>
              <w:ind w:left="403" w:right="0" w:hanging="361"/>
              <w:jc w:val="left"/>
              <w:rPr>
                <w:sz w:val="20"/>
              </w:rPr>
            </w:pPr>
            <w:r>
              <w:rPr>
                <w:color w:val="231F20"/>
                <w:sz w:val="20"/>
              </w:rPr>
              <w:t>Structured</w:t>
            </w:r>
            <w:r>
              <w:rPr>
                <w:color w:val="231F20"/>
                <w:spacing w:val="-1"/>
                <w:sz w:val="20"/>
              </w:rPr>
              <w:t> </w:t>
            </w:r>
            <w:r>
              <w:rPr>
                <w:color w:val="231F20"/>
                <w:sz w:val="20"/>
              </w:rPr>
              <w:t>scales and assessments (e.g.,</w:t>
            </w:r>
            <w:r>
              <w:rPr>
                <w:color w:val="3953A4"/>
                <w:sz w:val="20"/>
              </w:rPr>
              <w:t> </w:t>
            </w:r>
            <w:hyperlink r:id="rId347">
              <w:r>
                <w:rPr>
                  <w:color w:val="3953A4"/>
                  <w:sz w:val="20"/>
                  <w:u w:val="single" w:color="3953A4"/>
                </w:rPr>
                <w:t>PTSD Checklist </w:t>
              </w:r>
            </w:hyperlink>
          </w:p>
          <w:p>
            <w:pPr>
              <w:pStyle w:val="TableParagraph"/>
              <w:spacing w:line="249" w:lineRule="auto" w:before="9"/>
              <w:ind w:left="402"/>
              <w:rPr>
                <w:sz w:val="20"/>
              </w:rPr>
            </w:pPr>
            <w:hyperlink r:id="rId347">
              <w:r>
                <w:rPr>
                  <w:color w:val="3953A4"/>
                  <w:sz w:val="20"/>
                  <w:u w:val="single" w:color="3953A4"/>
                </w:rPr>
                <w:t>- Specific (PCL-S)</w:t>
              </w:r>
            </w:hyperlink>
            <w:r>
              <w:rPr>
                <w:color w:val="2764B0"/>
                <w:sz w:val="20"/>
              </w:rPr>
              <w:t>,</w:t>
            </w:r>
            <w:r>
              <w:rPr>
                <w:color w:val="3953A4"/>
                <w:sz w:val="20"/>
              </w:rPr>
              <w:t> </w:t>
            </w:r>
            <w:hyperlink r:id="rId348">
              <w:r>
                <w:rPr>
                  <w:color w:val="3953A4"/>
                  <w:sz w:val="20"/>
                  <w:u w:val="single" w:color="3953A4"/>
                </w:rPr>
                <w:t>Clinician-Administered PTSD Scale</w:t>
              </w:r>
            </w:hyperlink>
            <w:r>
              <w:rPr>
                <w:color w:val="3953A4"/>
                <w:spacing w:val="1"/>
                <w:sz w:val="20"/>
              </w:rPr>
              <w:t> </w:t>
            </w:r>
            <w:hyperlink r:id="rId348">
              <w:r>
                <w:rPr>
                  <w:color w:val="3953A4"/>
                  <w:sz w:val="20"/>
                  <w:u w:val="single" w:color="3953A4"/>
                </w:rPr>
                <w:t>(CAPS)</w:t>
              </w:r>
            </w:hyperlink>
            <w:r>
              <w:rPr>
                <w:color w:val="231F20"/>
                <w:sz w:val="20"/>
              </w:rPr>
              <w:t>,</w:t>
            </w:r>
            <w:r>
              <w:rPr>
                <w:color w:val="3953A4"/>
                <w:spacing w:val="-1"/>
                <w:sz w:val="20"/>
              </w:rPr>
              <w:t> </w:t>
            </w:r>
            <w:hyperlink r:id="rId349">
              <w:r>
                <w:rPr>
                  <w:color w:val="3953A4"/>
                  <w:sz w:val="20"/>
                  <w:u w:val="single" w:color="3953A4"/>
                </w:rPr>
                <w:t>PTSD Symptom Scale – Interview (PSS-I)</w:t>
              </w:r>
            </w:hyperlink>
            <w:r>
              <w:rPr>
                <w:color w:val="231F20"/>
                <w:sz w:val="20"/>
              </w:rPr>
              <w:t>)</w:t>
            </w:r>
          </w:p>
        </w:tc>
      </w:tr>
      <w:tr>
        <w:trPr>
          <w:trHeight w:val="877" w:hRule="atLeast"/>
        </w:trPr>
        <w:tc>
          <w:tcPr>
            <w:tcW w:w="1862" w:type="dxa"/>
          </w:tcPr>
          <w:p>
            <w:pPr>
              <w:pStyle w:val="TableParagraph"/>
              <w:spacing w:line="249" w:lineRule="auto" w:before="38"/>
              <w:ind w:left="42" w:right="774"/>
              <w:jc w:val="both"/>
              <w:rPr>
                <w:b/>
                <w:sz w:val="20"/>
              </w:rPr>
            </w:pPr>
            <w:r>
              <w:rPr>
                <w:b/>
                <w:color w:val="231F20"/>
                <w:sz w:val="20"/>
              </w:rPr>
              <w:t>Reduction</w:t>
            </w:r>
            <w:r>
              <w:rPr>
                <w:b/>
                <w:color w:val="231F20"/>
                <w:spacing w:val="-54"/>
                <w:sz w:val="20"/>
              </w:rPr>
              <w:t> </w:t>
            </w:r>
            <w:r>
              <w:rPr>
                <w:b/>
                <w:color w:val="231F20"/>
                <w:sz w:val="20"/>
              </w:rPr>
              <w:t>in Anxiety</w:t>
            </w:r>
            <w:r>
              <w:rPr>
                <w:b/>
                <w:color w:val="231F20"/>
                <w:spacing w:val="1"/>
                <w:sz w:val="20"/>
              </w:rPr>
              <w:t> </w:t>
            </w:r>
            <w:r>
              <w:rPr>
                <w:b/>
                <w:color w:val="231F20"/>
                <w:sz w:val="20"/>
              </w:rPr>
              <w:t>Symptoms</w:t>
            </w:r>
          </w:p>
        </w:tc>
        <w:tc>
          <w:tcPr>
            <w:tcW w:w="3168" w:type="dxa"/>
          </w:tcPr>
          <w:p>
            <w:pPr>
              <w:pStyle w:val="TableParagraph"/>
              <w:numPr>
                <w:ilvl w:val="0"/>
                <w:numId w:val="72"/>
              </w:numPr>
              <w:tabs>
                <w:tab w:pos="402" w:val="left" w:leader="none"/>
                <w:tab w:pos="403" w:val="left" w:leader="none"/>
              </w:tabs>
              <w:spacing w:line="247" w:lineRule="auto" w:before="24" w:after="0"/>
              <w:ind w:left="403" w:right="97" w:hanging="360"/>
              <w:jc w:val="left"/>
              <w:rPr>
                <w:sz w:val="20"/>
              </w:rPr>
            </w:pPr>
            <w:r>
              <w:rPr>
                <w:color w:val="231F20"/>
                <w:sz w:val="20"/>
              </w:rPr>
              <w:t>Days of symptoms in the prior</w:t>
            </w:r>
            <w:r>
              <w:rPr>
                <w:color w:val="231F20"/>
                <w:spacing w:val="-54"/>
                <w:sz w:val="20"/>
              </w:rPr>
              <w:t> </w:t>
            </w:r>
            <w:r>
              <w:rPr>
                <w:color w:val="231F20"/>
                <w:sz w:val="20"/>
              </w:rPr>
              <w:t>30 days</w:t>
            </w:r>
          </w:p>
          <w:p>
            <w:pPr>
              <w:pStyle w:val="TableParagraph"/>
              <w:numPr>
                <w:ilvl w:val="0"/>
                <w:numId w:val="72"/>
              </w:numPr>
              <w:tabs>
                <w:tab w:pos="402" w:val="left" w:leader="none"/>
                <w:tab w:pos="403" w:val="left" w:leader="none"/>
              </w:tabs>
              <w:spacing w:line="236" w:lineRule="exact" w:before="0" w:after="0"/>
              <w:ind w:left="403" w:right="0" w:hanging="360"/>
              <w:jc w:val="left"/>
              <w:rPr>
                <w:sz w:val="20"/>
              </w:rPr>
            </w:pPr>
            <w:r>
              <w:rPr>
                <w:color w:val="231F20"/>
                <w:sz w:val="20"/>
              </w:rPr>
              <w:t>Severity of symptoms</w:t>
            </w:r>
          </w:p>
        </w:tc>
        <w:tc>
          <w:tcPr>
            <w:tcW w:w="5750" w:type="dxa"/>
          </w:tcPr>
          <w:p>
            <w:pPr>
              <w:pStyle w:val="TableParagraph"/>
              <w:numPr>
                <w:ilvl w:val="0"/>
                <w:numId w:val="73"/>
              </w:numPr>
              <w:tabs>
                <w:tab w:pos="402" w:val="left" w:leader="none"/>
                <w:tab w:pos="403" w:val="left" w:leader="none"/>
              </w:tabs>
              <w:spacing w:line="243" w:lineRule="exact" w:before="24" w:after="0"/>
              <w:ind w:left="403" w:right="0" w:hanging="361"/>
              <w:jc w:val="left"/>
              <w:rPr>
                <w:sz w:val="20"/>
              </w:rPr>
            </w:pPr>
            <w:r>
              <w:rPr>
                <w:color w:val="231F20"/>
                <w:sz w:val="20"/>
              </w:rPr>
              <w:t>Medical records</w:t>
            </w:r>
          </w:p>
          <w:p>
            <w:pPr>
              <w:pStyle w:val="TableParagraph"/>
              <w:numPr>
                <w:ilvl w:val="0"/>
                <w:numId w:val="73"/>
              </w:numPr>
              <w:tabs>
                <w:tab w:pos="402" w:val="left" w:leader="none"/>
                <w:tab w:pos="403" w:val="left" w:leader="none"/>
              </w:tabs>
              <w:spacing w:line="247" w:lineRule="auto" w:before="0" w:after="0"/>
              <w:ind w:left="402" w:right="400" w:hanging="360"/>
              <w:jc w:val="left"/>
              <w:rPr>
                <w:sz w:val="20"/>
              </w:rPr>
            </w:pPr>
            <w:r>
              <w:rPr>
                <w:color w:val="231F20"/>
                <w:sz w:val="20"/>
              </w:rPr>
              <w:t>Structured scales and assessments (e.g.,</w:t>
            </w:r>
            <w:r>
              <w:rPr>
                <w:color w:val="3953A4"/>
                <w:sz w:val="20"/>
              </w:rPr>
              <w:t> </w:t>
            </w:r>
            <w:hyperlink r:id="rId350">
              <w:r>
                <w:rPr>
                  <w:color w:val="3953A4"/>
                  <w:sz w:val="20"/>
                  <w:u w:val="single" w:color="3953A4"/>
                </w:rPr>
                <w:t>Beck Anxiety</w:t>
              </w:r>
            </w:hyperlink>
            <w:r>
              <w:rPr>
                <w:color w:val="3953A4"/>
                <w:spacing w:val="-53"/>
                <w:sz w:val="20"/>
              </w:rPr>
              <w:t> </w:t>
            </w:r>
            <w:hyperlink r:id="rId350">
              <w:r>
                <w:rPr>
                  <w:color w:val="3953A4"/>
                  <w:sz w:val="20"/>
                  <w:u w:val="single" w:color="3953A4"/>
                </w:rPr>
                <w:t>Inventory</w:t>
              </w:r>
            </w:hyperlink>
            <w:r>
              <w:rPr>
                <w:color w:val="2764B0"/>
                <w:sz w:val="20"/>
              </w:rPr>
              <w:t>,</w:t>
            </w:r>
            <w:r>
              <w:rPr>
                <w:color w:val="3953A4"/>
                <w:spacing w:val="-1"/>
                <w:sz w:val="20"/>
              </w:rPr>
              <w:t> </w:t>
            </w:r>
            <w:hyperlink r:id="rId351">
              <w:r>
                <w:rPr>
                  <w:color w:val="3953A4"/>
                  <w:sz w:val="20"/>
                  <w:u w:val="single" w:color="3953A4"/>
                </w:rPr>
                <w:t>Four</w:t>
              </w:r>
              <w:r>
                <w:rPr>
                  <w:color w:val="3953A4"/>
                  <w:spacing w:val="-1"/>
                  <w:sz w:val="20"/>
                  <w:u w:val="single" w:color="3953A4"/>
                </w:rPr>
                <w:t> </w:t>
              </w:r>
              <w:r>
                <w:rPr>
                  <w:color w:val="3953A4"/>
                  <w:sz w:val="20"/>
                  <w:u w:val="single" w:color="3953A4"/>
                </w:rPr>
                <w:t>Dimensional</w:t>
              </w:r>
              <w:r>
                <w:rPr>
                  <w:color w:val="3953A4"/>
                  <w:spacing w:val="-11"/>
                  <w:sz w:val="20"/>
                  <w:u w:val="single" w:color="3953A4"/>
                </w:rPr>
                <w:t> </w:t>
              </w:r>
              <w:r>
                <w:rPr>
                  <w:color w:val="3953A4"/>
                  <w:sz w:val="20"/>
                  <w:u w:val="single" w:color="3953A4"/>
                </w:rPr>
                <w:t>Anxiety</w:t>
              </w:r>
              <w:r>
                <w:rPr>
                  <w:color w:val="3953A4"/>
                  <w:spacing w:val="-1"/>
                  <w:sz w:val="20"/>
                  <w:u w:val="single" w:color="3953A4"/>
                </w:rPr>
                <w:t> </w:t>
              </w:r>
              <w:r>
                <w:rPr>
                  <w:color w:val="3953A4"/>
                  <w:sz w:val="20"/>
                  <w:u w:val="single" w:color="3953A4"/>
                </w:rPr>
                <w:t>Scale</w:t>
              </w:r>
              <w:r>
                <w:rPr>
                  <w:color w:val="010202"/>
                  <w:sz w:val="20"/>
                </w:rPr>
                <w:t>)</w:t>
              </w:r>
            </w:hyperlink>
          </w:p>
        </w:tc>
      </w:tr>
      <w:tr>
        <w:trPr>
          <w:trHeight w:val="1041" w:hRule="atLeast"/>
        </w:trPr>
        <w:tc>
          <w:tcPr>
            <w:tcW w:w="1862" w:type="dxa"/>
          </w:tcPr>
          <w:p>
            <w:pPr>
              <w:pStyle w:val="TableParagraph"/>
              <w:spacing w:line="249" w:lineRule="auto" w:before="38"/>
              <w:ind w:left="42" w:right="346"/>
              <w:rPr>
                <w:b/>
                <w:sz w:val="20"/>
              </w:rPr>
            </w:pPr>
            <w:r>
              <w:rPr>
                <w:b/>
                <w:color w:val="231F20"/>
                <w:sz w:val="20"/>
              </w:rPr>
              <w:t>Substance Use</w:t>
            </w:r>
            <w:r>
              <w:rPr>
                <w:b/>
                <w:color w:val="231F20"/>
                <w:spacing w:val="-53"/>
                <w:sz w:val="20"/>
              </w:rPr>
              <w:t> </w:t>
            </w:r>
            <w:r>
              <w:rPr>
                <w:b/>
                <w:color w:val="231F20"/>
                <w:sz w:val="20"/>
              </w:rPr>
              <w:t>Disorder</w:t>
            </w:r>
          </w:p>
        </w:tc>
        <w:tc>
          <w:tcPr>
            <w:tcW w:w="3168" w:type="dxa"/>
          </w:tcPr>
          <w:p>
            <w:pPr>
              <w:pStyle w:val="TableParagraph"/>
              <w:numPr>
                <w:ilvl w:val="0"/>
                <w:numId w:val="74"/>
              </w:numPr>
              <w:tabs>
                <w:tab w:pos="402" w:val="left" w:leader="none"/>
                <w:tab w:pos="403" w:val="left" w:leader="none"/>
              </w:tabs>
              <w:spacing w:line="243" w:lineRule="exact" w:before="24" w:after="0"/>
              <w:ind w:left="403" w:right="0" w:hanging="360"/>
              <w:jc w:val="left"/>
              <w:rPr>
                <w:sz w:val="20"/>
              </w:rPr>
            </w:pPr>
            <w:r>
              <w:rPr>
                <w:color w:val="231F20"/>
                <w:sz w:val="20"/>
              </w:rPr>
              <w:t>Substance</w:t>
            </w:r>
            <w:r>
              <w:rPr>
                <w:color w:val="231F20"/>
                <w:spacing w:val="-1"/>
                <w:sz w:val="20"/>
              </w:rPr>
              <w:t> </w:t>
            </w:r>
            <w:r>
              <w:rPr>
                <w:color w:val="231F20"/>
                <w:sz w:val="20"/>
              </w:rPr>
              <w:t>use</w:t>
            </w:r>
          </w:p>
          <w:p>
            <w:pPr>
              <w:pStyle w:val="TableParagraph"/>
              <w:numPr>
                <w:ilvl w:val="0"/>
                <w:numId w:val="74"/>
              </w:numPr>
              <w:tabs>
                <w:tab w:pos="402" w:val="left" w:leader="none"/>
                <w:tab w:pos="403" w:val="left" w:leader="none"/>
              </w:tabs>
              <w:spacing w:line="247" w:lineRule="auto" w:before="0" w:after="0"/>
              <w:ind w:left="403" w:right="176" w:hanging="360"/>
              <w:jc w:val="left"/>
              <w:rPr>
                <w:sz w:val="20"/>
              </w:rPr>
            </w:pPr>
            <w:r>
              <w:rPr>
                <w:color w:val="231F20"/>
                <w:sz w:val="20"/>
              </w:rPr>
              <w:t>Days</w:t>
            </w:r>
            <w:r>
              <w:rPr>
                <w:color w:val="231F20"/>
                <w:spacing w:val="-4"/>
                <w:sz w:val="20"/>
              </w:rPr>
              <w:t> </w:t>
            </w:r>
            <w:r>
              <w:rPr>
                <w:color w:val="231F20"/>
                <w:sz w:val="20"/>
              </w:rPr>
              <w:t>of</w:t>
            </w:r>
            <w:r>
              <w:rPr>
                <w:color w:val="231F20"/>
                <w:spacing w:val="-3"/>
                <w:sz w:val="20"/>
              </w:rPr>
              <w:t> </w:t>
            </w:r>
            <w:r>
              <w:rPr>
                <w:color w:val="231F20"/>
                <w:sz w:val="20"/>
              </w:rPr>
              <w:t>substance</w:t>
            </w:r>
            <w:r>
              <w:rPr>
                <w:color w:val="231F20"/>
                <w:spacing w:val="-4"/>
                <w:sz w:val="20"/>
              </w:rPr>
              <w:t> </w:t>
            </w:r>
            <w:r>
              <w:rPr>
                <w:color w:val="231F20"/>
                <w:sz w:val="20"/>
              </w:rPr>
              <w:t>use</w:t>
            </w:r>
            <w:r>
              <w:rPr>
                <w:color w:val="231F20"/>
                <w:spacing w:val="-3"/>
                <w:sz w:val="20"/>
              </w:rPr>
              <w:t> </w:t>
            </w:r>
            <w:r>
              <w:rPr>
                <w:color w:val="231F20"/>
                <w:sz w:val="20"/>
              </w:rPr>
              <w:t>in</w:t>
            </w:r>
            <w:r>
              <w:rPr>
                <w:color w:val="231F20"/>
                <w:spacing w:val="-4"/>
                <w:sz w:val="20"/>
              </w:rPr>
              <w:t> </w:t>
            </w:r>
            <w:r>
              <w:rPr>
                <w:color w:val="231F20"/>
                <w:sz w:val="20"/>
              </w:rPr>
              <w:t>the</w:t>
            </w:r>
            <w:r>
              <w:rPr>
                <w:color w:val="231F20"/>
                <w:spacing w:val="-52"/>
                <w:sz w:val="20"/>
              </w:rPr>
              <w:t> </w:t>
            </w:r>
            <w:r>
              <w:rPr>
                <w:color w:val="231F20"/>
                <w:sz w:val="20"/>
              </w:rPr>
              <w:t>prior 30</w:t>
            </w:r>
            <w:r>
              <w:rPr>
                <w:color w:val="231F20"/>
                <w:spacing w:val="-1"/>
                <w:sz w:val="20"/>
              </w:rPr>
              <w:t> </w:t>
            </w:r>
            <w:r>
              <w:rPr>
                <w:color w:val="231F20"/>
                <w:sz w:val="20"/>
              </w:rPr>
              <w:t>days</w:t>
            </w:r>
          </w:p>
        </w:tc>
        <w:tc>
          <w:tcPr>
            <w:tcW w:w="5750" w:type="dxa"/>
          </w:tcPr>
          <w:p>
            <w:pPr>
              <w:pStyle w:val="TableParagraph"/>
              <w:numPr>
                <w:ilvl w:val="0"/>
                <w:numId w:val="75"/>
              </w:numPr>
              <w:tabs>
                <w:tab w:pos="402" w:val="left" w:leader="none"/>
                <w:tab w:pos="403" w:val="left" w:leader="none"/>
              </w:tabs>
              <w:spacing w:line="243" w:lineRule="exact" w:before="24" w:after="0"/>
              <w:ind w:left="403" w:right="0" w:hanging="361"/>
              <w:jc w:val="left"/>
              <w:rPr>
                <w:sz w:val="20"/>
              </w:rPr>
            </w:pPr>
            <w:r>
              <w:rPr>
                <w:color w:val="231F20"/>
                <w:sz w:val="20"/>
              </w:rPr>
              <w:t>Qualitative</w:t>
            </w:r>
            <w:r>
              <w:rPr>
                <w:color w:val="231F20"/>
                <w:spacing w:val="-1"/>
                <w:sz w:val="20"/>
              </w:rPr>
              <w:t> </w:t>
            </w:r>
            <w:r>
              <w:rPr>
                <w:color w:val="231F20"/>
                <w:sz w:val="20"/>
              </w:rPr>
              <w:t>interviews (client)</w:t>
            </w:r>
          </w:p>
          <w:p>
            <w:pPr>
              <w:pStyle w:val="TableParagraph"/>
              <w:numPr>
                <w:ilvl w:val="0"/>
                <w:numId w:val="75"/>
              </w:numPr>
              <w:tabs>
                <w:tab w:pos="402" w:val="left" w:leader="none"/>
                <w:tab w:pos="403" w:val="left" w:leader="none"/>
              </w:tabs>
              <w:spacing w:line="240" w:lineRule="exact" w:before="0" w:after="0"/>
              <w:ind w:left="403" w:right="0" w:hanging="361"/>
              <w:jc w:val="left"/>
              <w:rPr>
                <w:sz w:val="20"/>
              </w:rPr>
            </w:pPr>
            <w:r>
              <w:rPr>
                <w:color w:val="231F20"/>
                <w:sz w:val="20"/>
              </w:rPr>
              <w:t>Urine</w:t>
            </w:r>
            <w:r>
              <w:rPr>
                <w:color w:val="231F20"/>
                <w:spacing w:val="-1"/>
                <w:sz w:val="20"/>
              </w:rPr>
              <w:t> </w:t>
            </w:r>
            <w:r>
              <w:rPr>
                <w:color w:val="231F20"/>
                <w:sz w:val="20"/>
              </w:rPr>
              <w:t>drug screen</w:t>
            </w:r>
          </w:p>
          <w:p>
            <w:pPr>
              <w:pStyle w:val="TableParagraph"/>
              <w:numPr>
                <w:ilvl w:val="0"/>
                <w:numId w:val="75"/>
              </w:numPr>
              <w:tabs>
                <w:tab w:pos="402" w:val="left" w:leader="none"/>
                <w:tab w:pos="403" w:val="left" w:leader="none"/>
              </w:tabs>
              <w:spacing w:line="247" w:lineRule="auto" w:before="0" w:after="0"/>
              <w:ind w:left="402" w:right="813" w:hanging="360"/>
              <w:jc w:val="left"/>
              <w:rPr>
                <w:sz w:val="20"/>
              </w:rPr>
            </w:pPr>
            <w:r>
              <w:rPr>
                <w:color w:val="231F20"/>
                <w:sz w:val="20"/>
              </w:rPr>
              <w:t>Structured</w:t>
            </w:r>
            <w:r>
              <w:rPr>
                <w:color w:val="231F20"/>
                <w:spacing w:val="-4"/>
                <w:sz w:val="20"/>
              </w:rPr>
              <w:t> </w:t>
            </w:r>
            <w:r>
              <w:rPr>
                <w:color w:val="231F20"/>
                <w:sz w:val="20"/>
              </w:rPr>
              <w:t>scales</w:t>
            </w:r>
            <w:r>
              <w:rPr>
                <w:color w:val="231F20"/>
                <w:spacing w:val="-3"/>
                <w:sz w:val="20"/>
              </w:rPr>
              <w:t> </w:t>
            </w:r>
            <w:r>
              <w:rPr>
                <w:color w:val="231F20"/>
                <w:sz w:val="20"/>
              </w:rPr>
              <w:t>and</w:t>
            </w:r>
            <w:r>
              <w:rPr>
                <w:color w:val="231F20"/>
                <w:spacing w:val="-4"/>
                <w:sz w:val="20"/>
              </w:rPr>
              <w:t> </w:t>
            </w:r>
            <w:r>
              <w:rPr>
                <w:color w:val="231F20"/>
                <w:sz w:val="20"/>
              </w:rPr>
              <w:t>assessments</w:t>
            </w:r>
            <w:r>
              <w:rPr>
                <w:color w:val="231F20"/>
                <w:spacing w:val="-3"/>
                <w:sz w:val="20"/>
              </w:rPr>
              <w:t> </w:t>
            </w:r>
            <w:r>
              <w:rPr>
                <w:color w:val="231F20"/>
                <w:sz w:val="20"/>
              </w:rPr>
              <w:t>(e.g.,</w:t>
            </w:r>
            <w:r>
              <w:rPr>
                <w:color w:val="3953A4"/>
                <w:spacing w:val="-3"/>
                <w:sz w:val="20"/>
              </w:rPr>
              <w:t> </w:t>
            </w:r>
            <w:hyperlink r:id="rId352">
              <w:r>
                <w:rPr>
                  <w:color w:val="3953A4"/>
                  <w:sz w:val="20"/>
                  <w:u w:val="single" w:color="3953A4"/>
                </w:rPr>
                <w:t>SCID-I/P</w:t>
              </w:r>
            </w:hyperlink>
            <w:r>
              <w:rPr>
                <w:color w:val="3953A4"/>
                <w:spacing w:val="-53"/>
                <w:sz w:val="20"/>
              </w:rPr>
              <w:t> </w:t>
            </w:r>
            <w:hyperlink r:id="rId352">
              <w:r>
                <w:rPr>
                  <w:color w:val="3953A4"/>
                  <w:sz w:val="20"/>
                  <w:u w:val="single" w:color="3953A4"/>
                </w:rPr>
                <w:t>Substance Use</w:t>
              </w:r>
              <w:r>
                <w:rPr>
                  <w:color w:val="3953A4"/>
                  <w:spacing w:val="-1"/>
                  <w:sz w:val="20"/>
                  <w:u w:val="single" w:color="3953A4"/>
                </w:rPr>
                <w:t> </w:t>
              </w:r>
              <w:r>
                <w:rPr>
                  <w:color w:val="3953A4"/>
                  <w:sz w:val="20"/>
                  <w:u w:val="single" w:color="3953A4"/>
                </w:rPr>
                <w:t>Disorder</w:t>
              </w:r>
            </w:hyperlink>
            <w:r>
              <w:rPr>
                <w:color w:val="231F20"/>
                <w:sz w:val="20"/>
              </w:rPr>
              <w:t>)</w:t>
            </w:r>
          </w:p>
        </w:tc>
      </w:tr>
      <w:tr>
        <w:trPr>
          <w:trHeight w:val="339" w:hRule="atLeast"/>
        </w:trPr>
        <w:tc>
          <w:tcPr>
            <w:tcW w:w="10780" w:type="dxa"/>
            <w:gridSpan w:val="3"/>
            <w:shd w:val="clear" w:color="auto" w:fill="DEEAF6"/>
          </w:tcPr>
          <w:p>
            <w:pPr>
              <w:pStyle w:val="TableParagraph"/>
              <w:spacing w:before="54"/>
              <w:ind w:left="2621" w:right="2602"/>
              <w:jc w:val="center"/>
              <w:rPr>
                <w:b/>
                <w:sz w:val="20"/>
              </w:rPr>
            </w:pPr>
            <w:r>
              <w:rPr>
                <w:b/>
                <w:color w:val="231F20"/>
                <w:sz w:val="20"/>
              </w:rPr>
              <w:t>Client</w:t>
            </w:r>
            <w:r>
              <w:rPr>
                <w:b/>
                <w:color w:val="231F20"/>
                <w:spacing w:val="-4"/>
                <w:sz w:val="20"/>
              </w:rPr>
              <w:t> </w:t>
            </w:r>
            <w:r>
              <w:rPr>
                <w:b/>
                <w:color w:val="231F20"/>
                <w:sz w:val="20"/>
              </w:rPr>
              <w:t>Experience</w:t>
            </w:r>
            <w:r>
              <w:rPr>
                <w:b/>
                <w:color w:val="231F20"/>
                <w:spacing w:val="-4"/>
                <w:sz w:val="20"/>
              </w:rPr>
              <w:t> </w:t>
            </w:r>
            <w:r>
              <w:rPr>
                <w:b/>
                <w:color w:val="231F20"/>
                <w:sz w:val="20"/>
              </w:rPr>
              <w:t>with</w:t>
            </w:r>
            <w:r>
              <w:rPr>
                <w:b/>
                <w:color w:val="231F20"/>
                <w:spacing w:val="-4"/>
                <w:sz w:val="20"/>
              </w:rPr>
              <w:t> </w:t>
            </w:r>
            <w:r>
              <w:rPr>
                <w:b/>
                <w:color w:val="231F20"/>
                <w:sz w:val="20"/>
              </w:rPr>
              <w:t>Telehealth</w:t>
            </w:r>
          </w:p>
        </w:tc>
      </w:tr>
      <w:tr>
        <w:trPr>
          <w:trHeight w:val="857" w:hRule="atLeast"/>
        </w:trPr>
        <w:tc>
          <w:tcPr>
            <w:tcW w:w="1862" w:type="dxa"/>
          </w:tcPr>
          <w:p>
            <w:pPr>
              <w:pStyle w:val="TableParagraph"/>
              <w:spacing w:line="249" w:lineRule="auto" w:before="38"/>
              <w:ind w:left="42" w:right="230"/>
              <w:rPr>
                <w:b/>
                <w:sz w:val="20"/>
              </w:rPr>
            </w:pPr>
            <w:r>
              <w:rPr>
                <w:b/>
                <w:color w:val="231F20"/>
                <w:sz w:val="20"/>
              </w:rPr>
              <w:t>Engagement</w:t>
            </w:r>
            <w:r>
              <w:rPr>
                <w:b/>
                <w:color w:val="231F20"/>
                <w:spacing w:val="1"/>
                <w:sz w:val="20"/>
              </w:rPr>
              <w:t> </w:t>
            </w:r>
            <w:r>
              <w:rPr>
                <w:b/>
                <w:color w:val="231F20"/>
                <w:sz w:val="20"/>
              </w:rPr>
              <w:t>and Retention in</w:t>
            </w:r>
            <w:r>
              <w:rPr>
                <w:b/>
                <w:color w:val="231F20"/>
                <w:spacing w:val="-53"/>
                <w:sz w:val="20"/>
              </w:rPr>
              <w:t> </w:t>
            </w:r>
            <w:r>
              <w:rPr>
                <w:b/>
                <w:color w:val="231F20"/>
                <w:sz w:val="20"/>
              </w:rPr>
              <w:t>Telehealth</w:t>
            </w:r>
            <w:r>
              <w:rPr>
                <w:b/>
                <w:color w:val="231F20"/>
                <w:spacing w:val="-6"/>
                <w:sz w:val="20"/>
              </w:rPr>
              <w:t> </w:t>
            </w:r>
            <w:r>
              <w:rPr>
                <w:b/>
                <w:color w:val="231F20"/>
                <w:sz w:val="20"/>
              </w:rPr>
              <w:t>Care</w:t>
            </w:r>
          </w:p>
        </w:tc>
        <w:tc>
          <w:tcPr>
            <w:tcW w:w="3168" w:type="dxa"/>
          </w:tcPr>
          <w:p>
            <w:pPr>
              <w:pStyle w:val="TableParagraph"/>
              <w:numPr>
                <w:ilvl w:val="0"/>
                <w:numId w:val="76"/>
              </w:numPr>
              <w:tabs>
                <w:tab w:pos="402" w:val="left" w:leader="none"/>
                <w:tab w:pos="403" w:val="left" w:leader="none"/>
              </w:tabs>
              <w:spacing w:line="243" w:lineRule="exact" w:before="24" w:after="0"/>
              <w:ind w:left="402" w:right="0" w:hanging="361"/>
              <w:jc w:val="left"/>
              <w:rPr>
                <w:sz w:val="20"/>
              </w:rPr>
            </w:pPr>
            <w:r>
              <w:rPr>
                <w:color w:val="231F20"/>
                <w:sz w:val="20"/>
              </w:rPr>
              <w:t>Number</w:t>
            </w:r>
            <w:r>
              <w:rPr>
                <w:color w:val="231F20"/>
                <w:spacing w:val="-1"/>
                <w:sz w:val="20"/>
              </w:rPr>
              <w:t> </w:t>
            </w:r>
            <w:r>
              <w:rPr>
                <w:color w:val="231F20"/>
                <w:sz w:val="20"/>
              </w:rPr>
              <w:t>of sessions attended</w:t>
            </w:r>
          </w:p>
          <w:p>
            <w:pPr>
              <w:pStyle w:val="TableParagraph"/>
              <w:numPr>
                <w:ilvl w:val="0"/>
                <w:numId w:val="76"/>
              </w:numPr>
              <w:tabs>
                <w:tab w:pos="402" w:val="left" w:leader="none"/>
                <w:tab w:pos="403" w:val="left" w:leader="none"/>
              </w:tabs>
              <w:spacing w:line="247" w:lineRule="auto" w:before="0" w:after="0"/>
              <w:ind w:left="402" w:right="731" w:hanging="360"/>
              <w:jc w:val="left"/>
              <w:rPr>
                <w:sz w:val="20"/>
              </w:rPr>
            </w:pPr>
            <w:r>
              <w:rPr>
                <w:color w:val="231F20"/>
                <w:sz w:val="20"/>
              </w:rPr>
              <w:t>Completed therapeutic</w:t>
            </w:r>
            <w:r>
              <w:rPr>
                <w:color w:val="231F20"/>
                <w:spacing w:val="-54"/>
                <w:sz w:val="20"/>
              </w:rPr>
              <w:t> </w:t>
            </w:r>
            <w:r>
              <w:rPr>
                <w:color w:val="231F20"/>
                <w:sz w:val="20"/>
              </w:rPr>
              <w:t>treatment</w:t>
            </w:r>
          </w:p>
        </w:tc>
        <w:tc>
          <w:tcPr>
            <w:tcW w:w="5750" w:type="dxa"/>
          </w:tcPr>
          <w:p>
            <w:pPr>
              <w:pStyle w:val="TableParagraph"/>
              <w:numPr>
                <w:ilvl w:val="0"/>
                <w:numId w:val="77"/>
              </w:numPr>
              <w:tabs>
                <w:tab w:pos="402" w:val="left" w:leader="none"/>
                <w:tab w:pos="403" w:val="left" w:leader="none"/>
              </w:tabs>
              <w:spacing w:line="243" w:lineRule="exact" w:before="24" w:after="0"/>
              <w:ind w:left="402"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(staff</w:t>
            </w:r>
            <w:r>
              <w:rPr>
                <w:color w:val="231F20"/>
                <w:spacing w:val="-3"/>
                <w:sz w:val="20"/>
              </w:rPr>
              <w:t> </w:t>
            </w:r>
            <w:r>
              <w:rPr>
                <w:color w:val="231F20"/>
                <w:sz w:val="20"/>
              </w:rPr>
              <w:t>and</w:t>
            </w:r>
            <w:r>
              <w:rPr>
                <w:color w:val="231F20"/>
                <w:spacing w:val="-4"/>
                <w:sz w:val="20"/>
              </w:rPr>
              <w:t> </w:t>
            </w:r>
            <w:r>
              <w:rPr>
                <w:color w:val="231F20"/>
                <w:sz w:val="20"/>
              </w:rPr>
              <w:t>clients)</w:t>
            </w:r>
          </w:p>
          <w:p>
            <w:pPr>
              <w:pStyle w:val="TableParagraph"/>
              <w:numPr>
                <w:ilvl w:val="0"/>
                <w:numId w:val="77"/>
              </w:numPr>
              <w:tabs>
                <w:tab w:pos="402" w:val="left" w:leader="none"/>
                <w:tab w:pos="403" w:val="left" w:leader="none"/>
              </w:tabs>
              <w:spacing w:line="240" w:lineRule="exact" w:before="0" w:after="0"/>
              <w:ind w:left="402" w:right="0" w:hanging="361"/>
              <w:jc w:val="left"/>
              <w:rPr>
                <w:sz w:val="20"/>
              </w:rPr>
            </w:pPr>
            <w:r>
              <w:rPr>
                <w:color w:val="231F20"/>
                <w:sz w:val="20"/>
              </w:rPr>
              <w:t>Administrative</w:t>
            </w:r>
            <w:r>
              <w:rPr>
                <w:color w:val="231F20"/>
                <w:spacing w:val="-1"/>
                <w:sz w:val="20"/>
              </w:rPr>
              <w:t> </w:t>
            </w:r>
            <w:r>
              <w:rPr>
                <w:color w:val="231F20"/>
                <w:sz w:val="20"/>
              </w:rPr>
              <w:t>data</w:t>
            </w:r>
          </w:p>
          <w:p>
            <w:pPr>
              <w:pStyle w:val="TableParagraph"/>
              <w:numPr>
                <w:ilvl w:val="0"/>
                <w:numId w:val="77"/>
              </w:numPr>
              <w:tabs>
                <w:tab w:pos="402" w:val="left" w:leader="none"/>
                <w:tab w:pos="403" w:val="left" w:leader="none"/>
              </w:tabs>
              <w:spacing w:line="243" w:lineRule="exact" w:before="0" w:after="0"/>
              <w:ind w:left="402" w:right="0" w:hanging="361"/>
              <w:jc w:val="left"/>
              <w:rPr>
                <w:sz w:val="20"/>
              </w:rPr>
            </w:pPr>
            <w:r>
              <w:rPr>
                <w:color w:val="231F20"/>
                <w:sz w:val="20"/>
              </w:rPr>
              <w:t>Intake/enrollment</w:t>
            </w:r>
            <w:r>
              <w:rPr>
                <w:color w:val="231F20"/>
                <w:spacing w:val="-1"/>
                <w:sz w:val="20"/>
              </w:rPr>
              <w:t> </w:t>
            </w:r>
            <w:r>
              <w:rPr>
                <w:color w:val="231F20"/>
                <w:sz w:val="20"/>
              </w:rPr>
              <w:t>data</w:t>
            </w:r>
          </w:p>
        </w:tc>
      </w:tr>
      <w:tr>
        <w:trPr>
          <w:trHeight w:val="1505" w:hRule="atLeast"/>
        </w:trPr>
        <w:tc>
          <w:tcPr>
            <w:tcW w:w="1862" w:type="dxa"/>
          </w:tcPr>
          <w:p>
            <w:pPr>
              <w:pStyle w:val="TableParagraph"/>
              <w:spacing w:before="38"/>
              <w:ind w:left="24" w:right="33"/>
              <w:jc w:val="center"/>
              <w:rPr>
                <w:b/>
                <w:sz w:val="20"/>
              </w:rPr>
            </w:pPr>
            <w:r>
              <w:rPr>
                <w:b/>
                <w:color w:val="231F20"/>
                <w:sz w:val="20"/>
              </w:rPr>
              <w:t>Client Satisfaction</w:t>
            </w:r>
          </w:p>
        </w:tc>
        <w:tc>
          <w:tcPr>
            <w:tcW w:w="3168" w:type="dxa"/>
          </w:tcPr>
          <w:p>
            <w:pPr>
              <w:pStyle w:val="TableParagraph"/>
              <w:numPr>
                <w:ilvl w:val="0"/>
                <w:numId w:val="78"/>
              </w:numPr>
              <w:tabs>
                <w:tab w:pos="402" w:val="left" w:leader="none"/>
                <w:tab w:pos="403" w:val="left" w:leader="none"/>
              </w:tabs>
              <w:spacing w:line="243" w:lineRule="exact" w:before="24" w:after="0"/>
              <w:ind w:left="402" w:right="0" w:hanging="361"/>
              <w:jc w:val="left"/>
              <w:rPr>
                <w:sz w:val="20"/>
              </w:rPr>
            </w:pPr>
            <w:r>
              <w:rPr>
                <w:color w:val="231F20"/>
                <w:sz w:val="20"/>
              </w:rPr>
              <w:t>Access</w:t>
            </w:r>
            <w:r>
              <w:rPr>
                <w:color w:val="231F20"/>
                <w:spacing w:val="-1"/>
                <w:sz w:val="20"/>
              </w:rPr>
              <w:t> </w:t>
            </w:r>
            <w:r>
              <w:rPr>
                <w:color w:val="231F20"/>
                <w:sz w:val="20"/>
              </w:rPr>
              <w:t>to care</w:t>
            </w:r>
          </w:p>
          <w:p>
            <w:pPr>
              <w:pStyle w:val="TableParagraph"/>
              <w:numPr>
                <w:ilvl w:val="0"/>
                <w:numId w:val="78"/>
              </w:numPr>
              <w:tabs>
                <w:tab w:pos="402" w:val="left" w:leader="none"/>
                <w:tab w:pos="403" w:val="left" w:leader="none"/>
              </w:tabs>
              <w:spacing w:line="240" w:lineRule="exact" w:before="0" w:after="0"/>
              <w:ind w:left="402" w:right="0" w:hanging="361"/>
              <w:jc w:val="left"/>
              <w:rPr>
                <w:sz w:val="20"/>
              </w:rPr>
            </w:pPr>
            <w:r>
              <w:rPr>
                <w:color w:val="231F20"/>
                <w:sz w:val="20"/>
              </w:rPr>
              <w:t>Acceptability</w:t>
            </w:r>
            <w:r>
              <w:rPr>
                <w:color w:val="231F20"/>
                <w:spacing w:val="-1"/>
                <w:sz w:val="20"/>
              </w:rPr>
              <w:t> </w:t>
            </w:r>
            <w:r>
              <w:rPr>
                <w:color w:val="231F20"/>
                <w:sz w:val="20"/>
              </w:rPr>
              <w:t>of care</w:t>
            </w:r>
          </w:p>
          <w:p>
            <w:pPr>
              <w:pStyle w:val="TableParagraph"/>
              <w:numPr>
                <w:ilvl w:val="0"/>
                <w:numId w:val="78"/>
              </w:numPr>
              <w:tabs>
                <w:tab w:pos="402" w:val="left" w:leader="none"/>
                <w:tab w:pos="403" w:val="left" w:leader="none"/>
              </w:tabs>
              <w:spacing w:line="243" w:lineRule="exact" w:before="0" w:after="0"/>
              <w:ind w:left="402" w:right="0" w:hanging="361"/>
              <w:jc w:val="left"/>
              <w:rPr>
                <w:sz w:val="20"/>
              </w:rPr>
            </w:pPr>
            <w:r>
              <w:rPr>
                <w:color w:val="231F20"/>
                <w:sz w:val="20"/>
              </w:rPr>
              <w:t>Self-efficacy</w:t>
            </w:r>
          </w:p>
        </w:tc>
        <w:tc>
          <w:tcPr>
            <w:tcW w:w="5750" w:type="dxa"/>
          </w:tcPr>
          <w:p>
            <w:pPr>
              <w:pStyle w:val="TableParagraph"/>
              <w:numPr>
                <w:ilvl w:val="0"/>
                <w:numId w:val="79"/>
              </w:numPr>
              <w:tabs>
                <w:tab w:pos="402" w:val="left" w:leader="none"/>
                <w:tab w:pos="403" w:val="left" w:leader="none"/>
              </w:tabs>
              <w:spacing w:line="243" w:lineRule="exact" w:before="24" w:after="0"/>
              <w:ind w:left="403" w:right="0" w:hanging="361"/>
              <w:jc w:val="left"/>
              <w:rPr>
                <w:sz w:val="20"/>
              </w:rPr>
            </w:pPr>
            <w:r>
              <w:rPr>
                <w:color w:val="231F20"/>
                <w:sz w:val="20"/>
              </w:rPr>
              <w:t>Qualitative</w:t>
            </w:r>
            <w:r>
              <w:rPr>
                <w:color w:val="231F20"/>
                <w:spacing w:val="-1"/>
                <w:sz w:val="20"/>
              </w:rPr>
              <w:t> </w:t>
            </w:r>
            <w:r>
              <w:rPr>
                <w:color w:val="231F20"/>
                <w:sz w:val="20"/>
              </w:rPr>
              <w:t>interviews (clients)</w:t>
            </w:r>
          </w:p>
          <w:p>
            <w:pPr>
              <w:pStyle w:val="TableParagraph"/>
              <w:numPr>
                <w:ilvl w:val="0"/>
                <w:numId w:val="79"/>
              </w:numPr>
              <w:tabs>
                <w:tab w:pos="402" w:val="left" w:leader="none"/>
                <w:tab w:pos="403" w:val="left" w:leader="none"/>
              </w:tabs>
              <w:spacing w:line="249" w:lineRule="auto" w:before="0" w:after="0"/>
              <w:ind w:left="402" w:right="188" w:hanging="360"/>
              <w:jc w:val="left"/>
              <w:rPr>
                <w:sz w:val="20"/>
              </w:rPr>
            </w:pPr>
            <w:r>
              <w:rPr>
                <w:color w:val="231F20"/>
                <w:sz w:val="20"/>
              </w:rPr>
              <w:t>Structured scales and assessments (e.g.,</w:t>
            </w:r>
            <w:r>
              <w:rPr>
                <w:color w:val="3953A4"/>
                <w:sz w:val="20"/>
              </w:rPr>
              <w:t> </w:t>
            </w:r>
            <w:hyperlink r:id="rId353">
              <w:r>
                <w:rPr>
                  <w:color w:val="3953A4"/>
                  <w:sz w:val="20"/>
                  <w:u w:val="single" w:color="3953A4"/>
                </w:rPr>
                <w:t>Client</w:t>
              </w:r>
            </w:hyperlink>
            <w:r>
              <w:rPr>
                <w:color w:val="3953A4"/>
                <w:spacing w:val="1"/>
                <w:sz w:val="20"/>
              </w:rPr>
              <w:t> </w:t>
            </w:r>
            <w:hyperlink r:id="rId353">
              <w:r>
                <w:rPr>
                  <w:color w:val="3953A4"/>
                  <w:sz w:val="20"/>
                  <w:u w:val="single" w:color="3953A4"/>
                </w:rPr>
                <w:t>Satisfaction</w:t>
              </w:r>
              <w:r>
                <w:rPr>
                  <w:color w:val="3953A4"/>
                  <w:spacing w:val="55"/>
                  <w:sz w:val="20"/>
                  <w:u w:val="single" w:color="3953A4"/>
                </w:rPr>
                <w:t> </w:t>
              </w:r>
              <w:r>
                <w:rPr>
                  <w:color w:val="3953A4"/>
                  <w:sz w:val="20"/>
                  <w:u w:val="single" w:color="3953A4"/>
                </w:rPr>
                <w:t>Questionnaire</w:t>
              </w:r>
            </w:hyperlink>
            <w:r>
              <w:rPr>
                <w:color w:val="2764B0"/>
                <w:sz w:val="20"/>
              </w:rPr>
              <w:t>,</w:t>
            </w:r>
            <w:r>
              <w:rPr>
                <w:color w:val="3953A4"/>
                <w:spacing w:val="56"/>
                <w:sz w:val="20"/>
              </w:rPr>
              <w:t> </w:t>
            </w:r>
            <w:hyperlink r:id="rId354">
              <w:r>
                <w:rPr>
                  <w:color w:val="3953A4"/>
                  <w:sz w:val="20"/>
                  <w:u w:val="single" w:color="3953A4"/>
                </w:rPr>
                <w:t>Satisfaction</w:t>
              </w:r>
              <w:r>
                <w:rPr>
                  <w:color w:val="3953A4"/>
                  <w:spacing w:val="55"/>
                  <w:sz w:val="20"/>
                  <w:u w:val="single" w:color="3953A4"/>
                </w:rPr>
                <w:t> </w:t>
              </w:r>
              <w:r>
                <w:rPr>
                  <w:color w:val="3953A4"/>
                  <w:sz w:val="20"/>
                  <w:u w:val="single" w:color="3953A4"/>
                </w:rPr>
                <w:t>with Therapy</w:t>
              </w:r>
            </w:hyperlink>
            <w:r>
              <w:rPr>
                <w:color w:val="3953A4"/>
                <w:spacing w:val="1"/>
                <w:sz w:val="20"/>
              </w:rPr>
              <w:t> </w:t>
            </w:r>
            <w:hyperlink r:id="rId354">
              <w:r>
                <w:rPr>
                  <w:color w:val="3953A4"/>
                  <w:sz w:val="20"/>
                  <w:u w:val="single" w:color="3953A4"/>
                </w:rPr>
                <w:t>and Therapist Scale</w:t>
              </w:r>
            </w:hyperlink>
            <w:r>
              <w:rPr>
                <w:color w:val="2764B0"/>
                <w:sz w:val="20"/>
              </w:rPr>
              <w:t>,</w:t>
            </w:r>
            <w:r>
              <w:rPr>
                <w:color w:val="3953A4"/>
                <w:sz w:val="20"/>
              </w:rPr>
              <w:t> </w:t>
            </w:r>
            <w:hyperlink r:id="rId355">
              <w:r>
                <w:rPr>
                  <w:color w:val="3953A4"/>
                  <w:sz w:val="20"/>
                  <w:u w:val="single" w:color="3953A4"/>
                </w:rPr>
                <w:t>Telehealth Usability Questionnaire</w:t>
              </w:r>
            </w:hyperlink>
            <w:r>
              <w:rPr>
                <w:color w:val="2764B0"/>
                <w:sz w:val="20"/>
              </w:rPr>
              <w:t>,</w:t>
            </w:r>
            <w:r>
              <w:rPr>
                <w:color w:val="3953A4"/>
                <w:spacing w:val="1"/>
                <w:sz w:val="20"/>
              </w:rPr>
              <w:t> </w:t>
            </w:r>
            <w:hyperlink r:id="rId356">
              <w:r>
                <w:rPr>
                  <w:color w:val="3953A4"/>
                  <w:spacing w:val="-1"/>
                  <w:sz w:val="20"/>
                  <w:u w:val="single" w:color="3953A4"/>
                </w:rPr>
                <w:t>Telemedicine </w:t>
              </w:r>
              <w:r>
                <w:rPr>
                  <w:color w:val="3953A4"/>
                  <w:sz w:val="20"/>
                  <w:u w:val="single" w:color="3953A4"/>
                </w:rPr>
                <w:t>Satisfaction and Acceptance Scale</w:t>
              </w:r>
            </w:hyperlink>
            <w:r>
              <w:rPr>
                <w:color w:val="2764B0"/>
                <w:sz w:val="20"/>
              </w:rPr>
              <w:t>,</w:t>
            </w:r>
            <w:r>
              <w:rPr>
                <w:color w:val="3953A4"/>
                <w:sz w:val="20"/>
              </w:rPr>
              <w:t> </w:t>
            </w:r>
            <w:hyperlink r:id="rId357">
              <w:r>
                <w:rPr>
                  <w:color w:val="3953A4"/>
                  <w:sz w:val="20"/>
                  <w:u w:val="single" w:color="3953A4"/>
                </w:rPr>
                <w:t>Helping</w:t>
              </w:r>
            </w:hyperlink>
            <w:r>
              <w:rPr>
                <w:color w:val="3953A4"/>
                <w:spacing w:val="-53"/>
                <w:sz w:val="20"/>
              </w:rPr>
              <w:t> </w:t>
            </w:r>
            <w:hyperlink r:id="rId357">
              <w:r>
                <w:rPr>
                  <w:color w:val="3953A4"/>
                  <w:sz w:val="20"/>
                  <w:u w:val="single" w:color="3953A4"/>
                </w:rPr>
                <w:t>Alliance Questionnaire</w:t>
              </w:r>
              <w:r>
                <w:rPr>
                  <w:color w:val="3953A4"/>
                  <w:spacing w:val="-1"/>
                  <w:sz w:val="20"/>
                  <w:u w:val="single" w:color="3953A4"/>
                </w:rPr>
                <w:t> </w:t>
              </w:r>
              <w:r>
                <w:rPr>
                  <w:color w:val="3953A4"/>
                  <w:sz w:val="20"/>
                  <w:u w:val="single" w:color="3953A4"/>
                </w:rPr>
                <w:t>II</w:t>
              </w:r>
            </w:hyperlink>
            <w:r>
              <w:rPr>
                <w:color w:val="231F20"/>
                <w:sz w:val="20"/>
              </w:rPr>
              <w:t>)</w:t>
            </w:r>
          </w:p>
        </w:tc>
      </w:tr>
      <w:tr>
        <w:trPr>
          <w:trHeight w:val="857" w:hRule="atLeast"/>
        </w:trPr>
        <w:tc>
          <w:tcPr>
            <w:tcW w:w="1862" w:type="dxa"/>
          </w:tcPr>
          <w:p>
            <w:pPr>
              <w:pStyle w:val="TableParagraph"/>
              <w:spacing w:line="249" w:lineRule="auto" w:before="38"/>
              <w:ind w:left="43" w:right="280"/>
              <w:rPr>
                <w:b/>
                <w:sz w:val="20"/>
              </w:rPr>
            </w:pPr>
            <w:r>
              <w:rPr>
                <w:b/>
                <w:color w:val="231F20"/>
                <w:sz w:val="20"/>
              </w:rPr>
              <w:t>Therapeutic</w:t>
            </w:r>
            <w:r>
              <w:rPr>
                <w:b/>
                <w:color w:val="231F20"/>
                <w:spacing w:val="1"/>
                <w:sz w:val="20"/>
              </w:rPr>
              <w:t> </w:t>
            </w:r>
            <w:r>
              <w:rPr>
                <w:b/>
                <w:color w:val="231F20"/>
                <w:sz w:val="20"/>
              </w:rPr>
              <w:t>Alliance</w:t>
            </w:r>
            <w:r>
              <w:rPr>
                <w:b/>
                <w:color w:val="231F20"/>
                <w:spacing w:val="-13"/>
                <w:sz w:val="20"/>
              </w:rPr>
              <w:t> </w:t>
            </w:r>
            <w:r>
              <w:rPr>
                <w:b/>
                <w:color w:val="231F20"/>
                <w:sz w:val="20"/>
              </w:rPr>
              <w:t>(Client)</w:t>
            </w:r>
          </w:p>
        </w:tc>
        <w:tc>
          <w:tcPr>
            <w:tcW w:w="3168" w:type="dxa"/>
          </w:tcPr>
          <w:p>
            <w:pPr>
              <w:pStyle w:val="TableParagraph"/>
              <w:numPr>
                <w:ilvl w:val="0"/>
                <w:numId w:val="80"/>
              </w:numPr>
              <w:tabs>
                <w:tab w:pos="403" w:val="left" w:leader="none"/>
                <w:tab w:pos="404" w:val="left" w:leader="none"/>
              </w:tabs>
              <w:spacing w:line="247" w:lineRule="auto" w:before="24" w:after="0"/>
              <w:ind w:left="403" w:right="742" w:hanging="360"/>
              <w:jc w:val="left"/>
              <w:rPr>
                <w:sz w:val="20"/>
              </w:rPr>
            </w:pPr>
            <w:r>
              <w:rPr>
                <w:color w:val="231F20"/>
                <w:sz w:val="20"/>
              </w:rPr>
              <w:t>Client relationship with</w:t>
            </w:r>
            <w:r>
              <w:rPr>
                <w:color w:val="231F20"/>
                <w:spacing w:val="-54"/>
                <w:sz w:val="20"/>
              </w:rPr>
              <w:t> </w:t>
            </w:r>
            <w:r>
              <w:rPr>
                <w:color w:val="231F20"/>
                <w:sz w:val="20"/>
              </w:rPr>
              <w:t>provider</w:t>
            </w:r>
          </w:p>
          <w:p>
            <w:pPr>
              <w:pStyle w:val="TableParagraph"/>
              <w:numPr>
                <w:ilvl w:val="0"/>
                <w:numId w:val="80"/>
              </w:numPr>
              <w:tabs>
                <w:tab w:pos="403" w:val="left" w:leader="none"/>
                <w:tab w:pos="404" w:val="left" w:leader="none"/>
              </w:tabs>
              <w:spacing w:line="236" w:lineRule="exact" w:before="0" w:after="0"/>
              <w:ind w:left="403" w:right="0" w:hanging="361"/>
              <w:jc w:val="left"/>
              <w:rPr>
                <w:sz w:val="20"/>
              </w:rPr>
            </w:pPr>
            <w:r>
              <w:rPr>
                <w:color w:val="231F20"/>
                <w:sz w:val="20"/>
              </w:rPr>
              <w:t>Emotional</w:t>
            </w:r>
            <w:r>
              <w:rPr>
                <w:color w:val="231F20"/>
                <w:spacing w:val="-1"/>
                <w:sz w:val="20"/>
              </w:rPr>
              <w:t> </w:t>
            </w:r>
            <w:r>
              <w:rPr>
                <w:color w:val="231F20"/>
                <w:sz w:val="20"/>
              </w:rPr>
              <w:t>safety</w:t>
            </w:r>
          </w:p>
        </w:tc>
        <w:tc>
          <w:tcPr>
            <w:tcW w:w="5750" w:type="dxa"/>
          </w:tcPr>
          <w:p>
            <w:pPr>
              <w:pStyle w:val="TableParagraph"/>
              <w:numPr>
                <w:ilvl w:val="0"/>
                <w:numId w:val="81"/>
              </w:numPr>
              <w:tabs>
                <w:tab w:pos="402" w:val="left" w:leader="none"/>
                <w:tab w:pos="403" w:val="left" w:leader="none"/>
              </w:tabs>
              <w:spacing w:line="243" w:lineRule="exact" w:before="24" w:after="0"/>
              <w:ind w:left="403" w:right="0" w:hanging="361"/>
              <w:jc w:val="left"/>
              <w:rPr>
                <w:rFonts w:ascii="Symbol" w:hAnsi="Symbol"/>
                <w:color w:val="231F20"/>
                <w:sz w:val="20"/>
              </w:rPr>
            </w:pPr>
            <w:r>
              <w:rPr>
                <w:color w:val="231F20"/>
                <w:sz w:val="20"/>
              </w:rPr>
              <w:t>Qualitative</w:t>
            </w:r>
            <w:r>
              <w:rPr>
                <w:color w:val="231F20"/>
                <w:spacing w:val="-1"/>
                <w:sz w:val="20"/>
              </w:rPr>
              <w:t> </w:t>
            </w:r>
            <w:r>
              <w:rPr>
                <w:color w:val="231F20"/>
                <w:sz w:val="20"/>
              </w:rPr>
              <w:t>interviews (clients)</w:t>
            </w:r>
          </w:p>
          <w:p>
            <w:pPr>
              <w:pStyle w:val="TableParagraph"/>
              <w:numPr>
                <w:ilvl w:val="0"/>
                <w:numId w:val="81"/>
              </w:numPr>
              <w:tabs>
                <w:tab w:pos="402" w:val="left" w:leader="none"/>
                <w:tab w:pos="403" w:val="left" w:leader="none"/>
              </w:tabs>
              <w:spacing w:line="247" w:lineRule="auto" w:before="0" w:after="0"/>
              <w:ind w:left="402" w:right="70" w:hanging="360"/>
              <w:jc w:val="left"/>
              <w:rPr>
                <w:rFonts w:ascii="Symbol" w:hAnsi="Symbol"/>
                <w:color w:val="010202"/>
                <w:sz w:val="20"/>
              </w:rPr>
            </w:pPr>
            <w:r>
              <w:rPr>
                <w:color w:val="231F20"/>
                <w:sz w:val="20"/>
              </w:rPr>
              <w:t>Structured scales and assessments (e.g.,</w:t>
            </w:r>
            <w:r>
              <w:rPr>
                <w:color w:val="3953A4"/>
                <w:sz w:val="20"/>
              </w:rPr>
              <w:t> </w:t>
            </w:r>
            <w:hyperlink r:id="rId358">
              <w:r>
                <w:rPr>
                  <w:color w:val="3953A4"/>
                  <w:sz w:val="20"/>
                  <w:u w:val="single" w:color="3953A4"/>
                </w:rPr>
                <w:t>Working Alliance</w:t>
              </w:r>
            </w:hyperlink>
            <w:r>
              <w:rPr>
                <w:color w:val="3953A4"/>
                <w:spacing w:val="-53"/>
                <w:sz w:val="20"/>
              </w:rPr>
              <w:t> </w:t>
            </w:r>
            <w:hyperlink r:id="rId358">
              <w:r>
                <w:rPr>
                  <w:color w:val="3953A4"/>
                  <w:sz w:val="20"/>
                  <w:u w:val="single" w:color="3953A4"/>
                </w:rPr>
                <w:t>Inventory short form</w:t>
              </w:r>
            </w:hyperlink>
            <w:r>
              <w:rPr>
                <w:color w:val="231F20"/>
                <w:sz w:val="20"/>
              </w:rPr>
              <w:t>)</w:t>
            </w:r>
          </w:p>
        </w:tc>
      </w:tr>
    </w:tbl>
    <w:p>
      <w:pPr>
        <w:spacing w:after="0" w:line="247" w:lineRule="auto"/>
        <w:jc w:val="left"/>
        <w:rPr>
          <w:rFonts w:ascii="Symbol" w:hAnsi="Symbol"/>
          <w:sz w:val="20"/>
        </w:rPr>
        <w:sectPr>
          <w:type w:val="continuous"/>
          <w:pgSz w:w="12240" w:h="15840"/>
          <w:pgMar w:header="0" w:footer="666" w:top="1500" w:bottom="0" w:left="600" w:right="0"/>
        </w:sectPr>
      </w:pPr>
    </w:p>
    <w:p>
      <w:pPr>
        <w:pStyle w:val="BodyText"/>
        <w:rPr>
          <w:sz w:val="20"/>
        </w:rPr>
      </w:pPr>
    </w:p>
    <w:p>
      <w:pPr>
        <w:pStyle w:val="BodyText"/>
        <w:rPr>
          <w:sz w:val="20"/>
        </w:rPr>
      </w:pPr>
    </w:p>
    <w:p>
      <w:pPr>
        <w:pStyle w:val="BodyText"/>
        <w:spacing w:before="7" w:after="1"/>
        <w:rPr>
          <w:sz w:val="19"/>
        </w:rPr>
      </w:pPr>
    </w:p>
    <w:tbl>
      <w:tblPr>
        <w:tblW w:w="0" w:type="auto"/>
        <w:jc w:val="left"/>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876"/>
        <w:gridCol w:w="3153"/>
        <w:gridCol w:w="5749"/>
      </w:tblGrid>
      <w:tr>
        <w:trPr>
          <w:trHeight w:val="330" w:hRule="atLeast"/>
        </w:trPr>
        <w:tc>
          <w:tcPr>
            <w:tcW w:w="1876" w:type="dxa"/>
            <w:shd w:val="clear" w:color="auto" w:fill="44546A"/>
          </w:tcPr>
          <w:p>
            <w:pPr>
              <w:pStyle w:val="TableParagraph"/>
              <w:spacing w:before="38"/>
              <w:ind w:left="461"/>
              <w:rPr>
                <w:b/>
                <w:sz w:val="22"/>
              </w:rPr>
            </w:pPr>
            <w:bookmarkStart w:name="Evaluation Resources" w:id="38"/>
            <w:bookmarkEnd w:id="38"/>
            <w:r>
              <w:rPr/>
            </w:r>
            <w:r>
              <w:rPr>
                <w:b/>
                <w:color w:val="FFFFFF"/>
                <w:sz w:val="22"/>
              </w:rPr>
              <w:t>Outcome</w:t>
            </w:r>
          </w:p>
        </w:tc>
        <w:tc>
          <w:tcPr>
            <w:tcW w:w="3153" w:type="dxa"/>
            <w:shd w:val="clear" w:color="auto" w:fill="44546A"/>
          </w:tcPr>
          <w:p>
            <w:pPr>
              <w:pStyle w:val="TableParagraph"/>
              <w:spacing w:before="38"/>
              <w:ind w:left="470"/>
              <w:rPr>
                <w:b/>
                <w:sz w:val="22"/>
              </w:rPr>
            </w:pPr>
            <w:r>
              <w:rPr>
                <w:b/>
                <w:color w:val="FFFFFF"/>
                <w:sz w:val="22"/>
              </w:rPr>
              <w:t>Illustrative Indicators</w:t>
            </w:r>
          </w:p>
        </w:tc>
        <w:tc>
          <w:tcPr>
            <w:tcW w:w="5749" w:type="dxa"/>
            <w:shd w:val="clear" w:color="auto" w:fill="44546A"/>
          </w:tcPr>
          <w:p>
            <w:pPr>
              <w:pStyle w:val="TableParagraph"/>
              <w:spacing w:before="38"/>
              <w:ind w:left="1592"/>
              <w:rPr>
                <w:b/>
                <w:sz w:val="22"/>
              </w:rPr>
            </w:pPr>
            <w:r>
              <w:rPr>
                <w:b/>
                <w:color w:val="FFFFFF"/>
                <w:sz w:val="22"/>
              </w:rPr>
              <w:t>Illustrative</w:t>
            </w:r>
            <w:r>
              <w:rPr>
                <w:b/>
                <w:color w:val="FFFFFF"/>
                <w:spacing w:val="-1"/>
                <w:sz w:val="22"/>
              </w:rPr>
              <w:t> </w:t>
            </w:r>
            <w:r>
              <w:rPr>
                <w:b/>
                <w:color w:val="FFFFFF"/>
                <w:sz w:val="22"/>
              </w:rPr>
              <w:t>Data Sources</w:t>
            </w:r>
          </w:p>
        </w:tc>
      </w:tr>
      <w:tr>
        <w:trPr>
          <w:trHeight w:val="320" w:hRule="atLeast"/>
        </w:trPr>
        <w:tc>
          <w:tcPr>
            <w:tcW w:w="10778" w:type="dxa"/>
            <w:gridSpan w:val="3"/>
            <w:shd w:val="clear" w:color="auto" w:fill="BDD7EE"/>
          </w:tcPr>
          <w:p>
            <w:pPr>
              <w:pStyle w:val="TableParagraph"/>
              <w:spacing w:before="34"/>
              <w:ind w:left="43"/>
              <w:rPr>
                <w:b/>
                <w:sz w:val="22"/>
              </w:rPr>
            </w:pPr>
            <w:r>
              <w:rPr>
                <w:b/>
                <w:color w:val="231F20"/>
                <w:sz w:val="22"/>
              </w:rPr>
              <w:t>Provider</w:t>
            </w:r>
            <w:r>
              <w:rPr>
                <w:b/>
                <w:color w:val="231F20"/>
                <w:spacing w:val="-1"/>
                <w:sz w:val="22"/>
              </w:rPr>
              <w:t> </w:t>
            </w:r>
            <w:r>
              <w:rPr>
                <w:b/>
                <w:color w:val="231F20"/>
                <w:sz w:val="22"/>
              </w:rPr>
              <w:t>Experience</w:t>
            </w:r>
          </w:p>
        </w:tc>
      </w:tr>
      <w:tr>
        <w:trPr>
          <w:trHeight w:val="785" w:hRule="atLeast"/>
        </w:trPr>
        <w:tc>
          <w:tcPr>
            <w:tcW w:w="1876" w:type="dxa"/>
          </w:tcPr>
          <w:p>
            <w:pPr>
              <w:pStyle w:val="TableParagraph"/>
              <w:spacing w:line="249" w:lineRule="auto" w:before="38"/>
              <w:ind w:left="42" w:right="660"/>
              <w:rPr>
                <w:b/>
                <w:sz w:val="20"/>
              </w:rPr>
            </w:pPr>
            <w:r>
              <w:rPr>
                <w:b/>
                <w:color w:val="231F20"/>
                <w:sz w:val="20"/>
              </w:rPr>
              <w:t>Provider</w:t>
            </w:r>
            <w:r>
              <w:rPr>
                <w:b/>
                <w:color w:val="231F20"/>
                <w:spacing w:val="1"/>
                <w:sz w:val="20"/>
              </w:rPr>
              <w:t> </w:t>
            </w:r>
            <w:r>
              <w:rPr>
                <w:b/>
                <w:color w:val="231F20"/>
                <w:sz w:val="20"/>
              </w:rPr>
              <w:t>Satisfaction</w:t>
            </w:r>
          </w:p>
        </w:tc>
        <w:tc>
          <w:tcPr>
            <w:tcW w:w="3153" w:type="dxa"/>
          </w:tcPr>
          <w:p>
            <w:pPr>
              <w:pStyle w:val="TableParagraph"/>
              <w:numPr>
                <w:ilvl w:val="0"/>
                <w:numId w:val="82"/>
              </w:numPr>
              <w:tabs>
                <w:tab w:pos="403" w:val="left" w:leader="none"/>
                <w:tab w:pos="404" w:val="left" w:leader="none"/>
              </w:tabs>
              <w:spacing w:line="243" w:lineRule="exact" w:before="24" w:after="0"/>
              <w:ind w:left="403" w:right="0" w:hanging="361"/>
              <w:jc w:val="left"/>
              <w:rPr>
                <w:sz w:val="20"/>
              </w:rPr>
            </w:pPr>
            <w:r>
              <w:rPr>
                <w:color w:val="231F20"/>
                <w:sz w:val="20"/>
              </w:rPr>
              <w:t>Lack</w:t>
            </w:r>
            <w:r>
              <w:rPr>
                <w:color w:val="231F20"/>
                <w:spacing w:val="-1"/>
                <w:sz w:val="20"/>
              </w:rPr>
              <w:t> </w:t>
            </w:r>
            <w:r>
              <w:rPr>
                <w:color w:val="231F20"/>
                <w:sz w:val="20"/>
              </w:rPr>
              <w:t>of burnout</w:t>
            </w:r>
          </w:p>
          <w:p>
            <w:pPr>
              <w:pStyle w:val="TableParagraph"/>
              <w:numPr>
                <w:ilvl w:val="0"/>
                <w:numId w:val="82"/>
              </w:numPr>
              <w:tabs>
                <w:tab w:pos="403" w:val="left" w:leader="none"/>
                <w:tab w:pos="404" w:val="left" w:leader="none"/>
              </w:tabs>
              <w:spacing w:line="243" w:lineRule="exact" w:before="0" w:after="0"/>
              <w:ind w:left="403" w:right="0" w:hanging="361"/>
              <w:jc w:val="left"/>
              <w:rPr>
                <w:sz w:val="20"/>
              </w:rPr>
            </w:pPr>
            <w:r>
              <w:rPr>
                <w:color w:val="231F20"/>
                <w:sz w:val="20"/>
              </w:rPr>
              <w:t>Well-being</w:t>
            </w:r>
            <w:r>
              <w:rPr>
                <w:color w:val="231F20"/>
                <w:spacing w:val="-2"/>
                <w:sz w:val="20"/>
              </w:rPr>
              <w:t> </w:t>
            </w:r>
            <w:r>
              <w:rPr>
                <w:color w:val="231F20"/>
                <w:sz w:val="20"/>
              </w:rPr>
              <w:t>at</w:t>
            </w:r>
            <w:r>
              <w:rPr>
                <w:color w:val="231F20"/>
                <w:spacing w:val="-1"/>
                <w:sz w:val="20"/>
              </w:rPr>
              <w:t> </w:t>
            </w:r>
            <w:r>
              <w:rPr>
                <w:color w:val="231F20"/>
                <w:sz w:val="20"/>
              </w:rPr>
              <w:t>work</w:t>
            </w:r>
          </w:p>
        </w:tc>
        <w:tc>
          <w:tcPr>
            <w:tcW w:w="5749" w:type="dxa"/>
          </w:tcPr>
          <w:p>
            <w:pPr>
              <w:pStyle w:val="TableParagraph"/>
              <w:numPr>
                <w:ilvl w:val="0"/>
                <w:numId w:val="83"/>
              </w:numPr>
              <w:tabs>
                <w:tab w:pos="403" w:val="left" w:leader="none"/>
                <w:tab w:pos="404" w:val="left" w:leader="none"/>
              </w:tabs>
              <w:spacing w:line="243" w:lineRule="exact" w:before="24" w:after="0"/>
              <w:ind w:left="404" w:right="0" w:hanging="361"/>
              <w:jc w:val="left"/>
              <w:rPr>
                <w:sz w:val="20"/>
              </w:rPr>
            </w:pPr>
            <w:r>
              <w:rPr>
                <w:color w:val="231F20"/>
                <w:sz w:val="20"/>
              </w:rPr>
              <w:t>Qualitative</w:t>
            </w:r>
            <w:r>
              <w:rPr>
                <w:color w:val="231F20"/>
                <w:spacing w:val="-1"/>
                <w:sz w:val="20"/>
              </w:rPr>
              <w:t> </w:t>
            </w:r>
            <w:r>
              <w:rPr>
                <w:color w:val="231F20"/>
                <w:sz w:val="20"/>
              </w:rPr>
              <w:t>interviews (providers)</w:t>
            </w:r>
          </w:p>
          <w:p>
            <w:pPr>
              <w:pStyle w:val="TableParagraph"/>
              <w:numPr>
                <w:ilvl w:val="0"/>
                <w:numId w:val="83"/>
              </w:numPr>
              <w:tabs>
                <w:tab w:pos="403" w:val="left" w:leader="none"/>
                <w:tab w:pos="404" w:val="left" w:leader="none"/>
              </w:tabs>
              <w:spacing w:line="247" w:lineRule="auto" w:before="0" w:after="0"/>
              <w:ind w:left="403" w:right="635" w:hanging="360"/>
              <w:jc w:val="left"/>
              <w:rPr>
                <w:sz w:val="20"/>
              </w:rPr>
            </w:pPr>
            <w:r>
              <w:rPr>
                <w:color w:val="231F20"/>
                <w:sz w:val="20"/>
              </w:rPr>
              <w:t>Structured scales and assessments (e.g.,</w:t>
            </w:r>
            <w:r>
              <w:rPr>
                <w:color w:val="3953A4"/>
                <w:sz w:val="20"/>
              </w:rPr>
              <w:t> </w:t>
            </w:r>
            <w:hyperlink r:id="rId355">
              <w:r>
                <w:rPr>
                  <w:color w:val="3953A4"/>
                  <w:sz w:val="20"/>
                  <w:u w:val="single" w:color="3953A4"/>
                </w:rPr>
                <w:t>Telehealth</w:t>
              </w:r>
            </w:hyperlink>
            <w:r>
              <w:rPr>
                <w:color w:val="3953A4"/>
                <w:spacing w:val="-53"/>
                <w:sz w:val="20"/>
              </w:rPr>
              <w:t> </w:t>
            </w:r>
            <w:hyperlink r:id="rId355">
              <w:r>
                <w:rPr>
                  <w:color w:val="3953A4"/>
                  <w:sz w:val="20"/>
                  <w:u w:val="single" w:color="3953A4"/>
                </w:rPr>
                <w:t>Usability Questionnaire</w:t>
              </w:r>
            </w:hyperlink>
            <w:r>
              <w:rPr>
                <w:color w:val="231F20"/>
                <w:sz w:val="20"/>
              </w:rPr>
              <w:t>)</w:t>
            </w:r>
          </w:p>
        </w:tc>
      </w:tr>
      <w:tr>
        <w:trPr>
          <w:trHeight w:val="785" w:hRule="atLeast"/>
        </w:trPr>
        <w:tc>
          <w:tcPr>
            <w:tcW w:w="1876" w:type="dxa"/>
          </w:tcPr>
          <w:p>
            <w:pPr>
              <w:pStyle w:val="TableParagraph"/>
              <w:spacing w:line="249" w:lineRule="auto" w:before="38"/>
              <w:ind w:left="42" w:right="38"/>
              <w:rPr>
                <w:b/>
                <w:sz w:val="20"/>
              </w:rPr>
            </w:pPr>
            <w:r>
              <w:rPr>
                <w:b/>
                <w:color w:val="231F20"/>
                <w:sz w:val="20"/>
              </w:rPr>
              <w:t>Therapeutic</w:t>
            </w:r>
            <w:r>
              <w:rPr>
                <w:b/>
                <w:color w:val="231F20"/>
                <w:spacing w:val="1"/>
                <w:sz w:val="20"/>
              </w:rPr>
              <w:t> </w:t>
            </w:r>
            <w:r>
              <w:rPr>
                <w:b/>
                <w:color w:val="231F20"/>
                <w:sz w:val="20"/>
              </w:rPr>
              <w:t>Alliance</w:t>
            </w:r>
            <w:r>
              <w:rPr>
                <w:b/>
                <w:color w:val="231F20"/>
                <w:spacing w:val="-12"/>
                <w:sz w:val="20"/>
              </w:rPr>
              <w:t> </w:t>
            </w:r>
            <w:r>
              <w:rPr>
                <w:b/>
                <w:color w:val="231F20"/>
                <w:sz w:val="20"/>
              </w:rPr>
              <w:t>(Provider)</w:t>
            </w:r>
          </w:p>
        </w:tc>
        <w:tc>
          <w:tcPr>
            <w:tcW w:w="3153" w:type="dxa"/>
          </w:tcPr>
          <w:p>
            <w:pPr>
              <w:pStyle w:val="TableParagraph"/>
              <w:numPr>
                <w:ilvl w:val="0"/>
                <w:numId w:val="84"/>
              </w:numPr>
              <w:tabs>
                <w:tab w:pos="403" w:val="left" w:leader="none"/>
                <w:tab w:pos="404" w:val="left" w:leader="none"/>
              </w:tabs>
              <w:spacing w:line="247" w:lineRule="auto" w:before="24" w:after="0"/>
              <w:ind w:left="403" w:right="727" w:hanging="360"/>
              <w:jc w:val="left"/>
              <w:rPr>
                <w:sz w:val="20"/>
              </w:rPr>
            </w:pPr>
            <w:r>
              <w:rPr>
                <w:color w:val="231F20"/>
                <w:sz w:val="20"/>
              </w:rPr>
              <w:t>Client relationship with</w:t>
            </w:r>
            <w:r>
              <w:rPr>
                <w:color w:val="231F20"/>
                <w:spacing w:val="-54"/>
                <w:sz w:val="20"/>
              </w:rPr>
              <w:t> </w:t>
            </w:r>
            <w:r>
              <w:rPr>
                <w:color w:val="231F20"/>
                <w:sz w:val="20"/>
              </w:rPr>
              <w:t>provider</w:t>
            </w:r>
          </w:p>
          <w:p>
            <w:pPr>
              <w:pStyle w:val="TableParagraph"/>
              <w:numPr>
                <w:ilvl w:val="0"/>
                <w:numId w:val="84"/>
              </w:numPr>
              <w:tabs>
                <w:tab w:pos="403" w:val="left" w:leader="none"/>
                <w:tab w:pos="404" w:val="left" w:leader="none"/>
              </w:tabs>
              <w:spacing w:line="236" w:lineRule="exact" w:before="0" w:after="0"/>
              <w:ind w:left="403" w:right="0" w:hanging="361"/>
              <w:jc w:val="left"/>
              <w:rPr>
                <w:sz w:val="20"/>
              </w:rPr>
            </w:pPr>
            <w:r>
              <w:rPr>
                <w:color w:val="231F20"/>
                <w:sz w:val="20"/>
              </w:rPr>
              <w:t>Emotional</w:t>
            </w:r>
            <w:r>
              <w:rPr>
                <w:color w:val="231F20"/>
                <w:spacing w:val="-1"/>
                <w:sz w:val="20"/>
              </w:rPr>
              <w:t> </w:t>
            </w:r>
            <w:r>
              <w:rPr>
                <w:color w:val="231F20"/>
                <w:sz w:val="20"/>
              </w:rPr>
              <w:t>safety</w:t>
            </w:r>
          </w:p>
        </w:tc>
        <w:tc>
          <w:tcPr>
            <w:tcW w:w="5749" w:type="dxa"/>
          </w:tcPr>
          <w:p>
            <w:pPr>
              <w:pStyle w:val="TableParagraph"/>
              <w:numPr>
                <w:ilvl w:val="0"/>
                <w:numId w:val="85"/>
              </w:numPr>
              <w:tabs>
                <w:tab w:pos="403" w:val="left" w:leader="none"/>
                <w:tab w:pos="404" w:val="left" w:leader="none"/>
              </w:tabs>
              <w:spacing w:line="243" w:lineRule="exact" w:before="24" w:after="0"/>
              <w:ind w:left="404" w:right="0" w:hanging="361"/>
              <w:jc w:val="left"/>
              <w:rPr>
                <w:sz w:val="20"/>
              </w:rPr>
            </w:pPr>
            <w:r>
              <w:rPr>
                <w:color w:val="231F20"/>
                <w:sz w:val="20"/>
              </w:rPr>
              <w:t>Qualitative</w:t>
            </w:r>
            <w:r>
              <w:rPr>
                <w:color w:val="231F20"/>
                <w:spacing w:val="-1"/>
                <w:sz w:val="20"/>
              </w:rPr>
              <w:t> </w:t>
            </w:r>
            <w:r>
              <w:rPr>
                <w:color w:val="231F20"/>
                <w:sz w:val="20"/>
              </w:rPr>
              <w:t>interviews (providers)</w:t>
            </w:r>
          </w:p>
          <w:p>
            <w:pPr>
              <w:pStyle w:val="TableParagraph"/>
              <w:numPr>
                <w:ilvl w:val="0"/>
                <w:numId w:val="85"/>
              </w:numPr>
              <w:tabs>
                <w:tab w:pos="403" w:val="left" w:leader="none"/>
                <w:tab w:pos="404" w:val="left" w:leader="none"/>
              </w:tabs>
              <w:spacing w:line="247" w:lineRule="auto" w:before="0" w:after="0"/>
              <w:ind w:left="403" w:right="68" w:hanging="360"/>
              <w:jc w:val="left"/>
              <w:rPr>
                <w:sz w:val="20"/>
              </w:rPr>
            </w:pPr>
            <w:r>
              <w:rPr>
                <w:color w:val="231F20"/>
                <w:sz w:val="20"/>
              </w:rPr>
              <w:t>Structured scales and assessments (e.g.,</w:t>
            </w:r>
            <w:r>
              <w:rPr>
                <w:color w:val="3953A4"/>
                <w:sz w:val="20"/>
              </w:rPr>
              <w:t> </w:t>
            </w:r>
            <w:hyperlink r:id="rId358">
              <w:r>
                <w:rPr>
                  <w:color w:val="3953A4"/>
                  <w:sz w:val="20"/>
                  <w:u w:val="single" w:color="3953A4"/>
                </w:rPr>
                <w:t>Working Alliance</w:t>
              </w:r>
            </w:hyperlink>
            <w:r>
              <w:rPr>
                <w:color w:val="3953A4"/>
                <w:spacing w:val="-53"/>
                <w:sz w:val="20"/>
              </w:rPr>
              <w:t> </w:t>
            </w:r>
            <w:hyperlink r:id="rId358">
              <w:r>
                <w:rPr>
                  <w:color w:val="3953A4"/>
                  <w:sz w:val="20"/>
                  <w:u w:val="single" w:color="3953A4"/>
                </w:rPr>
                <w:t>Inventory short form</w:t>
              </w:r>
            </w:hyperlink>
            <w:r>
              <w:rPr>
                <w:color w:val="231F20"/>
                <w:sz w:val="20"/>
              </w:rPr>
              <w:t>)</w:t>
            </w:r>
          </w:p>
        </w:tc>
      </w:tr>
      <w:tr>
        <w:trPr>
          <w:trHeight w:val="600" w:hRule="atLeast"/>
        </w:trPr>
        <w:tc>
          <w:tcPr>
            <w:tcW w:w="1876" w:type="dxa"/>
          </w:tcPr>
          <w:p>
            <w:pPr>
              <w:pStyle w:val="TableParagraph"/>
              <w:spacing w:line="249" w:lineRule="auto" w:before="38"/>
              <w:ind w:left="42" w:right="803"/>
              <w:rPr>
                <w:b/>
                <w:sz w:val="20"/>
              </w:rPr>
            </w:pPr>
            <w:r>
              <w:rPr>
                <w:b/>
                <w:color w:val="231F20"/>
                <w:sz w:val="20"/>
              </w:rPr>
              <w:t>Clinician</w:t>
            </w:r>
            <w:r>
              <w:rPr>
                <w:b/>
                <w:color w:val="231F20"/>
                <w:spacing w:val="1"/>
                <w:sz w:val="20"/>
              </w:rPr>
              <w:t> </w:t>
            </w:r>
            <w:r>
              <w:rPr>
                <w:b/>
                <w:color w:val="231F20"/>
                <w:spacing w:val="-1"/>
                <w:sz w:val="20"/>
              </w:rPr>
              <w:t>Well-being</w:t>
            </w:r>
          </w:p>
        </w:tc>
        <w:tc>
          <w:tcPr>
            <w:tcW w:w="3153" w:type="dxa"/>
          </w:tcPr>
          <w:p>
            <w:pPr>
              <w:pStyle w:val="TableParagraph"/>
              <w:numPr>
                <w:ilvl w:val="0"/>
                <w:numId w:val="86"/>
              </w:numPr>
              <w:tabs>
                <w:tab w:pos="403" w:val="left" w:leader="none"/>
                <w:tab w:pos="404" w:val="left" w:leader="none"/>
              </w:tabs>
              <w:spacing w:line="243" w:lineRule="exact" w:before="24" w:after="0"/>
              <w:ind w:left="403" w:right="0" w:hanging="361"/>
              <w:jc w:val="left"/>
              <w:rPr>
                <w:sz w:val="20"/>
              </w:rPr>
            </w:pPr>
            <w:r>
              <w:rPr>
                <w:color w:val="231F20"/>
                <w:sz w:val="20"/>
              </w:rPr>
              <w:t>Lack</w:t>
            </w:r>
            <w:r>
              <w:rPr>
                <w:color w:val="231F20"/>
                <w:spacing w:val="-1"/>
                <w:sz w:val="20"/>
              </w:rPr>
              <w:t> </w:t>
            </w:r>
            <w:r>
              <w:rPr>
                <w:color w:val="231F20"/>
                <w:sz w:val="20"/>
              </w:rPr>
              <w:t>of burnout</w:t>
            </w:r>
          </w:p>
          <w:p>
            <w:pPr>
              <w:pStyle w:val="TableParagraph"/>
              <w:numPr>
                <w:ilvl w:val="0"/>
                <w:numId w:val="86"/>
              </w:numPr>
              <w:tabs>
                <w:tab w:pos="403" w:val="left" w:leader="none"/>
                <w:tab w:pos="404" w:val="left" w:leader="none"/>
              </w:tabs>
              <w:spacing w:line="243" w:lineRule="exact" w:before="0" w:after="0"/>
              <w:ind w:left="403" w:right="0" w:hanging="361"/>
              <w:jc w:val="left"/>
              <w:rPr>
                <w:sz w:val="20"/>
              </w:rPr>
            </w:pPr>
            <w:r>
              <w:rPr>
                <w:color w:val="231F20"/>
                <w:sz w:val="20"/>
              </w:rPr>
              <w:t>Well-being</w:t>
            </w:r>
            <w:r>
              <w:rPr>
                <w:color w:val="231F20"/>
                <w:spacing w:val="-2"/>
                <w:sz w:val="20"/>
              </w:rPr>
              <w:t> </w:t>
            </w:r>
            <w:r>
              <w:rPr>
                <w:color w:val="231F20"/>
                <w:sz w:val="20"/>
              </w:rPr>
              <w:t>at</w:t>
            </w:r>
            <w:r>
              <w:rPr>
                <w:color w:val="231F20"/>
                <w:spacing w:val="-1"/>
                <w:sz w:val="20"/>
              </w:rPr>
              <w:t> </w:t>
            </w:r>
            <w:r>
              <w:rPr>
                <w:color w:val="231F20"/>
                <w:sz w:val="20"/>
              </w:rPr>
              <w:t>work</w:t>
            </w:r>
          </w:p>
        </w:tc>
        <w:tc>
          <w:tcPr>
            <w:tcW w:w="5749" w:type="dxa"/>
          </w:tcPr>
          <w:p>
            <w:pPr>
              <w:pStyle w:val="TableParagraph"/>
              <w:numPr>
                <w:ilvl w:val="0"/>
                <w:numId w:val="87"/>
              </w:numPr>
              <w:tabs>
                <w:tab w:pos="403" w:val="left" w:leader="none"/>
                <w:tab w:pos="404" w:val="left" w:leader="none"/>
              </w:tabs>
              <w:spacing w:line="240" w:lineRule="auto" w:before="24" w:after="0"/>
              <w:ind w:left="404" w:right="0" w:hanging="361"/>
              <w:jc w:val="left"/>
              <w:rPr>
                <w:sz w:val="20"/>
              </w:rPr>
            </w:pPr>
            <w:r>
              <w:rPr>
                <w:color w:val="231F20"/>
                <w:sz w:val="20"/>
              </w:rPr>
              <w:t>Structured</w:t>
            </w:r>
            <w:r>
              <w:rPr>
                <w:color w:val="231F20"/>
                <w:spacing w:val="-4"/>
                <w:sz w:val="20"/>
              </w:rPr>
              <w:t> </w:t>
            </w:r>
            <w:r>
              <w:rPr>
                <w:color w:val="231F20"/>
                <w:sz w:val="20"/>
              </w:rPr>
              <w:t>scales</w:t>
            </w:r>
            <w:r>
              <w:rPr>
                <w:color w:val="231F20"/>
                <w:spacing w:val="-3"/>
                <w:sz w:val="20"/>
              </w:rPr>
              <w:t> </w:t>
            </w:r>
            <w:r>
              <w:rPr>
                <w:color w:val="231F20"/>
                <w:sz w:val="20"/>
              </w:rPr>
              <w:t>and</w:t>
            </w:r>
            <w:r>
              <w:rPr>
                <w:color w:val="231F20"/>
                <w:spacing w:val="-4"/>
                <w:sz w:val="20"/>
              </w:rPr>
              <w:t> </w:t>
            </w:r>
            <w:r>
              <w:rPr>
                <w:color w:val="231F20"/>
                <w:sz w:val="20"/>
              </w:rPr>
              <w:t>assessments</w:t>
            </w:r>
            <w:r>
              <w:rPr>
                <w:color w:val="231F20"/>
                <w:spacing w:val="-4"/>
                <w:sz w:val="20"/>
              </w:rPr>
              <w:t> </w:t>
            </w:r>
            <w:r>
              <w:rPr>
                <w:color w:val="231F20"/>
                <w:sz w:val="20"/>
              </w:rPr>
              <w:t>(The</w:t>
            </w:r>
            <w:r>
              <w:rPr>
                <w:color w:val="231F20"/>
                <w:spacing w:val="-3"/>
                <w:sz w:val="20"/>
              </w:rPr>
              <w:t> </w:t>
            </w:r>
            <w:r>
              <w:rPr>
                <w:color w:val="231F20"/>
                <w:sz w:val="20"/>
              </w:rPr>
              <w:t>Mayo</w:t>
            </w:r>
            <w:r>
              <w:rPr>
                <w:color w:val="231F20"/>
                <w:spacing w:val="-3"/>
                <w:sz w:val="20"/>
              </w:rPr>
              <w:t> </w:t>
            </w:r>
            <w:r>
              <w:rPr>
                <w:color w:val="231F20"/>
                <w:sz w:val="20"/>
              </w:rPr>
              <w:t>Clinic’s</w:t>
            </w:r>
          </w:p>
          <w:p>
            <w:pPr>
              <w:pStyle w:val="TableParagraph"/>
              <w:spacing w:before="9"/>
              <w:ind w:left="403"/>
              <w:rPr>
                <w:sz w:val="20"/>
              </w:rPr>
            </w:pPr>
            <w:hyperlink r:id="rId359">
              <w:r>
                <w:rPr>
                  <w:color w:val="3953A4"/>
                  <w:sz w:val="20"/>
                  <w:u w:val="single" w:color="3953A4"/>
                </w:rPr>
                <w:t>Wellbeing</w:t>
              </w:r>
              <w:r>
                <w:rPr>
                  <w:color w:val="3953A4"/>
                  <w:spacing w:val="-2"/>
                  <w:sz w:val="20"/>
                  <w:u w:val="single" w:color="3953A4"/>
                </w:rPr>
                <w:t> </w:t>
              </w:r>
              <w:r>
                <w:rPr>
                  <w:color w:val="3953A4"/>
                  <w:sz w:val="20"/>
                  <w:u w:val="single" w:color="3953A4"/>
                </w:rPr>
                <w:t>Index</w:t>
              </w:r>
            </w:hyperlink>
            <w:r>
              <w:rPr>
                <w:color w:val="2764B0"/>
                <w:sz w:val="20"/>
              </w:rPr>
              <w:t>,</w:t>
            </w:r>
            <w:r>
              <w:rPr>
                <w:color w:val="2764B0"/>
                <w:spacing w:val="-1"/>
                <w:sz w:val="20"/>
              </w:rPr>
              <w:t> </w:t>
            </w:r>
            <w:hyperlink r:id="rId360">
              <w:r>
                <w:rPr>
                  <w:color w:val="3953A4"/>
                  <w:sz w:val="20"/>
                  <w:u w:val="single" w:color="3953A4"/>
                </w:rPr>
                <w:t>Mini-Z</w:t>
              </w:r>
              <w:r>
                <w:rPr>
                  <w:color w:val="3953A4"/>
                  <w:spacing w:val="-1"/>
                  <w:sz w:val="20"/>
                  <w:u w:val="single" w:color="3953A4"/>
                </w:rPr>
                <w:t> </w:t>
              </w:r>
              <w:r>
                <w:rPr>
                  <w:color w:val="3953A4"/>
                  <w:sz w:val="20"/>
                  <w:u w:val="single" w:color="3953A4"/>
                </w:rPr>
                <w:t>Survey</w:t>
              </w:r>
            </w:hyperlink>
            <w:r>
              <w:rPr>
                <w:color w:val="231F20"/>
                <w:sz w:val="20"/>
              </w:rPr>
              <w:t>)</w:t>
            </w:r>
          </w:p>
        </w:tc>
      </w:tr>
      <w:tr>
        <w:trPr>
          <w:trHeight w:val="320" w:hRule="atLeast"/>
        </w:trPr>
        <w:tc>
          <w:tcPr>
            <w:tcW w:w="10778" w:type="dxa"/>
            <w:gridSpan w:val="3"/>
            <w:shd w:val="clear" w:color="auto" w:fill="BDD7EE"/>
          </w:tcPr>
          <w:p>
            <w:pPr>
              <w:pStyle w:val="TableParagraph"/>
              <w:spacing w:before="34"/>
              <w:ind w:left="42"/>
              <w:rPr>
                <w:b/>
                <w:sz w:val="22"/>
              </w:rPr>
            </w:pPr>
            <w:r>
              <w:rPr>
                <w:b/>
                <w:color w:val="231F20"/>
                <w:sz w:val="22"/>
              </w:rPr>
              <w:t>Population Health</w:t>
            </w:r>
          </w:p>
        </w:tc>
      </w:tr>
      <w:tr>
        <w:trPr>
          <w:trHeight w:val="825" w:hRule="atLeast"/>
        </w:trPr>
        <w:tc>
          <w:tcPr>
            <w:tcW w:w="1876" w:type="dxa"/>
          </w:tcPr>
          <w:p>
            <w:pPr>
              <w:pStyle w:val="TableParagraph"/>
              <w:spacing w:before="38"/>
              <w:ind w:left="42"/>
              <w:rPr>
                <w:b/>
                <w:sz w:val="20"/>
              </w:rPr>
            </w:pPr>
            <w:r>
              <w:rPr>
                <w:b/>
                <w:color w:val="231F20"/>
                <w:sz w:val="20"/>
              </w:rPr>
              <w:t>Access</w:t>
            </w:r>
          </w:p>
        </w:tc>
        <w:tc>
          <w:tcPr>
            <w:tcW w:w="3153" w:type="dxa"/>
          </w:tcPr>
          <w:p>
            <w:pPr>
              <w:pStyle w:val="TableParagraph"/>
              <w:numPr>
                <w:ilvl w:val="0"/>
                <w:numId w:val="88"/>
              </w:numPr>
              <w:tabs>
                <w:tab w:pos="403" w:val="left" w:leader="none"/>
                <w:tab w:pos="404" w:val="left" w:leader="none"/>
              </w:tabs>
              <w:spacing w:line="247" w:lineRule="auto" w:before="24" w:after="0"/>
              <w:ind w:left="403" w:right="604" w:hanging="360"/>
              <w:jc w:val="left"/>
              <w:rPr>
                <w:sz w:val="20"/>
              </w:rPr>
            </w:pPr>
            <w:r>
              <w:rPr>
                <w:color w:val="231F20"/>
                <w:sz w:val="20"/>
              </w:rPr>
              <w:t>Number of people using</w:t>
            </w:r>
            <w:r>
              <w:rPr>
                <w:color w:val="231F20"/>
                <w:spacing w:val="-54"/>
                <w:sz w:val="20"/>
              </w:rPr>
              <w:t> </w:t>
            </w:r>
            <w:r>
              <w:rPr>
                <w:color w:val="231F20"/>
                <w:sz w:val="20"/>
              </w:rPr>
              <w:t>telehealth</w:t>
            </w:r>
          </w:p>
        </w:tc>
        <w:tc>
          <w:tcPr>
            <w:tcW w:w="5749" w:type="dxa"/>
          </w:tcPr>
          <w:p>
            <w:pPr>
              <w:pStyle w:val="TableParagraph"/>
              <w:numPr>
                <w:ilvl w:val="0"/>
                <w:numId w:val="89"/>
              </w:numPr>
              <w:tabs>
                <w:tab w:pos="403" w:val="left" w:leader="none"/>
                <w:tab w:pos="404" w:val="left" w:leader="none"/>
              </w:tabs>
              <w:spacing w:line="243" w:lineRule="exact" w:before="24" w:after="0"/>
              <w:ind w:left="404" w:right="0" w:hanging="361"/>
              <w:jc w:val="left"/>
              <w:rPr>
                <w:sz w:val="20"/>
              </w:rPr>
            </w:pPr>
            <w:r>
              <w:rPr>
                <w:color w:val="231F20"/>
                <w:sz w:val="20"/>
              </w:rPr>
              <w:t>Administrative</w:t>
            </w:r>
            <w:r>
              <w:rPr>
                <w:color w:val="231F20"/>
                <w:spacing w:val="-1"/>
                <w:sz w:val="20"/>
              </w:rPr>
              <w:t> </w:t>
            </w:r>
            <w:r>
              <w:rPr>
                <w:color w:val="231F20"/>
                <w:sz w:val="20"/>
              </w:rPr>
              <w:t>data</w:t>
            </w:r>
          </w:p>
          <w:p>
            <w:pPr>
              <w:pStyle w:val="TableParagraph"/>
              <w:numPr>
                <w:ilvl w:val="0"/>
                <w:numId w:val="89"/>
              </w:numPr>
              <w:tabs>
                <w:tab w:pos="403" w:val="left" w:leader="none"/>
                <w:tab w:pos="404" w:val="left" w:leader="none"/>
              </w:tabs>
              <w:spacing w:line="240" w:lineRule="exact" w:before="0" w:after="0"/>
              <w:ind w:left="404" w:right="0" w:hanging="361"/>
              <w:jc w:val="left"/>
              <w:rPr>
                <w:sz w:val="20"/>
              </w:rPr>
            </w:pPr>
            <w:r>
              <w:rPr>
                <w:color w:val="231F20"/>
                <w:sz w:val="20"/>
              </w:rPr>
              <w:t>Intake/enrollment</w:t>
            </w:r>
            <w:r>
              <w:rPr>
                <w:color w:val="231F20"/>
                <w:spacing w:val="-1"/>
                <w:sz w:val="20"/>
              </w:rPr>
              <w:t> </w:t>
            </w:r>
            <w:r>
              <w:rPr>
                <w:color w:val="231F20"/>
                <w:sz w:val="20"/>
              </w:rPr>
              <w:t>data</w:t>
            </w:r>
          </w:p>
          <w:p>
            <w:pPr>
              <w:pStyle w:val="TableParagraph"/>
              <w:numPr>
                <w:ilvl w:val="0"/>
                <w:numId w:val="89"/>
              </w:numPr>
              <w:tabs>
                <w:tab w:pos="403" w:val="left" w:leader="none"/>
                <w:tab w:pos="404" w:val="left" w:leader="none"/>
              </w:tabs>
              <w:spacing w:line="243" w:lineRule="exact" w:before="0" w:after="0"/>
              <w:ind w:left="404" w:right="0" w:hanging="361"/>
              <w:jc w:val="left"/>
              <w:rPr>
                <w:sz w:val="20"/>
              </w:rPr>
            </w:pPr>
            <w:r>
              <w:rPr>
                <w:color w:val="231F20"/>
                <w:sz w:val="20"/>
              </w:rPr>
              <w:t>Qualitative</w:t>
            </w:r>
            <w:r>
              <w:rPr>
                <w:color w:val="231F20"/>
                <w:spacing w:val="-1"/>
                <w:sz w:val="20"/>
              </w:rPr>
              <w:t> </w:t>
            </w:r>
            <w:r>
              <w:rPr>
                <w:color w:val="231F20"/>
                <w:sz w:val="20"/>
              </w:rPr>
              <w:t>interviews (clients)</w:t>
            </w:r>
          </w:p>
        </w:tc>
      </w:tr>
      <w:tr>
        <w:trPr>
          <w:trHeight w:val="1505" w:hRule="atLeast"/>
        </w:trPr>
        <w:tc>
          <w:tcPr>
            <w:tcW w:w="1876" w:type="dxa"/>
          </w:tcPr>
          <w:p>
            <w:pPr>
              <w:pStyle w:val="TableParagraph"/>
              <w:spacing w:before="38"/>
              <w:ind w:left="42"/>
              <w:rPr>
                <w:b/>
                <w:sz w:val="20"/>
              </w:rPr>
            </w:pPr>
            <w:r>
              <w:rPr>
                <w:b/>
                <w:color w:val="231F20"/>
                <w:sz w:val="20"/>
              </w:rPr>
              <w:t>Equity</w:t>
            </w:r>
          </w:p>
        </w:tc>
        <w:tc>
          <w:tcPr>
            <w:tcW w:w="3153" w:type="dxa"/>
          </w:tcPr>
          <w:p>
            <w:pPr>
              <w:pStyle w:val="TableParagraph"/>
              <w:numPr>
                <w:ilvl w:val="0"/>
                <w:numId w:val="90"/>
              </w:numPr>
              <w:tabs>
                <w:tab w:pos="403" w:val="left" w:leader="none"/>
                <w:tab w:pos="404" w:val="left" w:leader="none"/>
              </w:tabs>
              <w:spacing w:line="249" w:lineRule="auto" w:before="24" w:after="0"/>
              <w:ind w:left="403" w:right="61" w:hanging="360"/>
              <w:jc w:val="left"/>
              <w:rPr>
                <w:sz w:val="20"/>
              </w:rPr>
            </w:pPr>
            <w:r>
              <w:rPr>
                <w:color w:val="231F20"/>
                <w:sz w:val="20"/>
              </w:rPr>
              <w:t>Percentage of clinical</w:t>
            </w:r>
            <w:r>
              <w:rPr>
                <w:color w:val="231F20"/>
                <w:spacing w:val="1"/>
                <w:sz w:val="20"/>
              </w:rPr>
              <w:t> </w:t>
            </w:r>
            <w:r>
              <w:rPr>
                <w:color w:val="231F20"/>
                <w:sz w:val="20"/>
              </w:rPr>
              <w:t>encounters delivered via</w:t>
            </w:r>
            <w:r>
              <w:rPr>
                <w:color w:val="231F20"/>
                <w:spacing w:val="1"/>
                <w:sz w:val="20"/>
              </w:rPr>
              <w:t> </w:t>
            </w:r>
            <w:r>
              <w:rPr>
                <w:color w:val="231F20"/>
                <w:sz w:val="20"/>
              </w:rPr>
              <w:t>telehealth</w:t>
            </w:r>
            <w:r>
              <w:rPr>
                <w:color w:val="231F20"/>
                <w:spacing w:val="-6"/>
                <w:sz w:val="20"/>
              </w:rPr>
              <w:t> </w:t>
            </w:r>
            <w:r>
              <w:rPr>
                <w:color w:val="231F20"/>
                <w:sz w:val="20"/>
              </w:rPr>
              <w:t>in</w:t>
            </w:r>
            <w:r>
              <w:rPr>
                <w:color w:val="231F20"/>
                <w:spacing w:val="-6"/>
                <w:sz w:val="20"/>
              </w:rPr>
              <w:t> </w:t>
            </w:r>
            <w:r>
              <w:rPr>
                <w:color w:val="231F20"/>
                <w:sz w:val="20"/>
              </w:rPr>
              <w:t>communities</w:t>
            </w:r>
            <w:r>
              <w:rPr>
                <w:color w:val="231F20"/>
                <w:spacing w:val="-5"/>
                <w:sz w:val="20"/>
              </w:rPr>
              <w:t> </w:t>
            </w:r>
            <w:r>
              <w:rPr>
                <w:color w:val="231F20"/>
                <w:sz w:val="20"/>
              </w:rPr>
              <w:t>with</w:t>
            </w:r>
            <w:r>
              <w:rPr>
                <w:color w:val="231F20"/>
                <w:spacing w:val="-53"/>
                <w:sz w:val="20"/>
              </w:rPr>
              <w:t> </w:t>
            </w:r>
            <w:r>
              <w:rPr>
                <w:color w:val="231F20"/>
                <w:sz w:val="20"/>
              </w:rPr>
              <w:t>low and high income, with</w:t>
            </w:r>
            <w:r>
              <w:rPr>
                <w:color w:val="231F20"/>
                <w:spacing w:val="1"/>
                <w:sz w:val="20"/>
              </w:rPr>
              <w:t> </w:t>
            </w:r>
            <w:r>
              <w:rPr>
                <w:color w:val="231F20"/>
                <w:sz w:val="20"/>
              </w:rPr>
              <w:t>different races and ethnicities,</w:t>
            </w:r>
            <w:r>
              <w:rPr>
                <w:color w:val="231F20"/>
                <w:spacing w:val="-53"/>
                <w:sz w:val="20"/>
              </w:rPr>
              <w:t> </w:t>
            </w:r>
            <w:r>
              <w:rPr>
                <w:color w:val="231F20"/>
                <w:sz w:val="20"/>
              </w:rPr>
              <w:t>and</w:t>
            </w:r>
            <w:r>
              <w:rPr>
                <w:color w:val="231F20"/>
                <w:spacing w:val="-1"/>
                <w:sz w:val="20"/>
              </w:rPr>
              <w:t> </w:t>
            </w:r>
            <w:r>
              <w:rPr>
                <w:color w:val="231F20"/>
                <w:sz w:val="20"/>
              </w:rPr>
              <w:t>across zip codes</w:t>
            </w:r>
          </w:p>
        </w:tc>
        <w:tc>
          <w:tcPr>
            <w:tcW w:w="5749" w:type="dxa"/>
          </w:tcPr>
          <w:p>
            <w:pPr>
              <w:pStyle w:val="TableParagraph"/>
              <w:numPr>
                <w:ilvl w:val="0"/>
                <w:numId w:val="91"/>
              </w:numPr>
              <w:tabs>
                <w:tab w:pos="403" w:val="left" w:leader="none"/>
                <w:tab w:pos="404" w:val="left" w:leader="none"/>
              </w:tabs>
              <w:spacing w:line="240" w:lineRule="auto" w:before="24" w:after="0"/>
              <w:ind w:left="404" w:right="0" w:hanging="361"/>
              <w:jc w:val="left"/>
              <w:rPr>
                <w:sz w:val="20"/>
              </w:rPr>
            </w:pPr>
            <w:r>
              <w:rPr>
                <w:color w:val="231F20"/>
                <w:sz w:val="20"/>
              </w:rPr>
              <w:t>Administrative</w:t>
            </w:r>
            <w:r>
              <w:rPr>
                <w:color w:val="231F20"/>
                <w:spacing w:val="-1"/>
                <w:sz w:val="20"/>
              </w:rPr>
              <w:t> </w:t>
            </w:r>
            <w:r>
              <w:rPr>
                <w:color w:val="231F20"/>
                <w:sz w:val="20"/>
              </w:rPr>
              <w:t>data</w:t>
            </w:r>
          </w:p>
        </w:tc>
      </w:tr>
      <w:tr>
        <w:trPr>
          <w:trHeight w:val="320" w:hRule="atLeast"/>
        </w:trPr>
        <w:tc>
          <w:tcPr>
            <w:tcW w:w="10778" w:type="dxa"/>
            <w:gridSpan w:val="3"/>
            <w:shd w:val="clear" w:color="auto" w:fill="BDD7EE"/>
          </w:tcPr>
          <w:p>
            <w:pPr>
              <w:pStyle w:val="TableParagraph"/>
              <w:spacing w:before="34"/>
              <w:ind w:left="42"/>
              <w:rPr>
                <w:b/>
                <w:sz w:val="22"/>
              </w:rPr>
            </w:pPr>
            <w:r>
              <w:rPr>
                <w:b/>
                <w:color w:val="231F20"/>
                <w:sz w:val="22"/>
              </w:rPr>
              <w:t>Costs</w:t>
            </w:r>
          </w:p>
        </w:tc>
      </w:tr>
      <w:tr>
        <w:trPr>
          <w:trHeight w:val="1025" w:hRule="atLeast"/>
        </w:trPr>
        <w:tc>
          <w:tcPr>
            <w:tcW w:w="1876" w:type="dxa"/>
          </w:tcPr>
          <w:p>
            <w:pPr>
              <w:pStyle w:val="TableParagraph"/>
              <w:spacing w:before="38"/>
              <w:ind w:left="42"/>
              <w:rPr>
                <w:b/>
                <w:sz w:val="20"/>
              </w:rPr>
            </w:pPr>
            <w:r>
              <w:rPr>
                <w:b/>
                <w:color w:val="231F20"/>
                <w:sz w:val="20"/>
              </w:rPr>
              <w:t>Cost</w:t>
            </w:r>
          </w:p>
        </w:tc>
        <w:tc>
          <w:tcPr>
            <w:tcW w:w="3153" w:type="dxa"/>
          </w:tcPr>
          <w:p>
            <w:pPr>
              <w:pStyle w:val="TableParagraph"/>
              <w:numPr>
                <w:ilvl w:val="0"/>
                <w:numId w:val="92"/>
              </w:numPr>
              <w:tabs>
                <w:tab w:pos="403" w:val="left" w:leader="none"/>
                <w:tab w:pos="404" w:val="left" w:leader="none"/>
              </w:tabs>
              <w:spacing w:line="243" w:lineRule="exact" w:before="24" w:after="0"/>
              <w:ind w:left="403" w:right="0" w:hanging="361"/>
              <w:jc w:val="left"/>
              <w:rPr>
                <w:sz w:val="20"/>
              </w:rPr>
            </w:pPr>
            <w:r>
              <w:rPr>
                <w:color w:val="231F20"/>
                <w:sz w:val="20"/>
              </w:rPr>
              <w:t>Patient</w:t>
            </w:r>
            <w:r>
              <w:rPr>
                <w:color w:val="231F20"/>
                <w:spacing w:val="-1"/>
                <w:sz w:val="20"/>
              </w:rPr>
              <w:t> </w:t>
            </w:r>
            <w:r>
              <w:rPr>
                <w:color w:val="231F20"/>
                <w:sz w:val="20"/>
              </w:rPr>
              <w:t>miles saved</w:t>
            </w:r>
          </w:p>
          <w:p>
            <w:pPr>
              <w:pStyle w:val="TableParagraph"/>
              <w:numPr>
                <w:ilvl w:val="0"/>
                <w:numId w:val="92"/>
              </w:numPr>
              <w:tabs>
                <w:tab w:pos="403" w:val="left" w:leader="none"/>
                <w:tab w:pos="404" w:val="left" w:leader="none"/>
              </w:tabs>
              <w:spacing w:line="240" w:lineRule="exact" w:before="0" w:after="0"/>
              <w:ind w:left="403" w:right="0" w:hanging="361"/>
              <w:jc w:val="left"/>
              <w:rPr>
                <w:sz w:val="20"/>
              </w:rPr>
            </w:pPr>
            <w:r>
              <w:rPr>
                <w:color w:val="231F20"/>
                <w:sz w:val="20"/>
              </w:rPr>
              <w:t>Cost</w:t>
            </w:r>
            <w:r>
              <w:rPr>
                <w:color w:val="231F20"/>
                <w:spacing w:val="-1"/>
                <w:sz w:val="20"/>
              </w:rPr>
              <w:t> </w:t>
            </w:r>
            <w:r>
              <w:rPr>
                <w:color w:val="231F20"/>
                <w:sz w:val="20"/>
              </w:rPr>
              <w:t>per visit</w:t>
            </w:r>
          </w:p>
          <w:p>
            <w:pPr>
              <w:pStyle w:val="TableParagraph"/>
              <w:numPr>
                <w:ilvl w:val="0"/>
                <w:numId w:val="92"/>
              </w:numPr>
              <w:tabs>
                <w:tab w:pos="403" w:val="left" w:leader="none"/>
                <w:tab w:pos="404" w:val="left" w:leader="none"/>
              </w:tabs>
              <w:spacing w:line="247" w:lineRule="auto" w:before="0" w:after="0"/>
              <w:ind w:left="403" w:right="637" w:hanging="360"/>
              <w:jc w:val="left"/>
              <w:rPr>
                <w:sz w:val="20"/>
              </w:rPr>
            </w:pPr>
            <w:r>
              <w:rPr>
                <w:color w:val="231F20"/>
                <w:sz w:val="20"/>
              </w:rPr>
              <w:t>Cost of technology/use/</w:t>
            </w:r>
            <w:r>
              <w:rPr>
                <w:color w:val="231F20"/>
                <w:spacing w:val="-54"/>
                <w:sz w:val="20"/>
              </w:rPr>
              <w:t> </w:t>
            </w:r>
            <w:r>
              <w:rPr>
                <w:color w:val="231F20"/>
                <w:sz w:val="20"/>
              </w:rPr>
              <w:t>upkeep</w:t>
            </w:r>
          </w:p>
        </w:tc>
        <w:tc>
          <w:tcPr>
            <w:tcW w:w="5749" w:type="dxa"/>
          </w:tcPr>
          <w:p>
            <w:pPr>
              <w:pStyle w:val="TableParagraph"/>
              <w:numPr>
                <w:ilvl w:val="0"/>
                <w:numId w:val="93"/>
              </w:numPr>
              <w:tabs>
                <w:tab w:pos="403" w:val="left" w:leader="none"/>
                <w:tab w:pos="404" w:val="left" w:leader="none"/>
              </w:tabs>
              <w:spacing w:line="243" w:lineRule="exact" w:before="24" w:after="0"/>
              <w:ind w:left="404" w:right="0" w:hanging="361"/>
              <w:jc w:val="left"/>
              <w:rPr>
                <w:rFonts w:ascii="Symbol" w:hAnsi="Symbol"/>
                <w:color w:val="010202"/>
                <w:sz w:val="20"/>
              </w:rPr>
            </w:pPr>
            <w:r>
              <w:rPr>
                <w:color w:val="231F20"/>
                <w:sz w:val="20"/>
              </w:rPr>
              <w:t>Administrative</w:t>
            </w:r>
            <w:r>
              <w:rPr>
                <w:color w:val="231F20"/>
                <w:spacing w:val="-1"/>
                <w:sz w:val="20"/>
              </w:rPr>
              <w:t> </w:t>
            </w:r>
            <w:r>
              <w:rPr>
                <w:color w:val="231F20"/>
                <w:sz w:val="20"/>
              </w:rPr>
              <w:t>data</w:t>
            </w:r>
          </w:p>
          <w:p>
            <w:pPr>
              <w:pStyle w:val="TableParagraph"/>
              <w:numPr>
                <w:ilvl w:val="0"/>
                <w:numId w:val="93"/>
              </w:numPr>
              <w:tabs>
                <w:tab w:pos="403" w:val="left" w:leader="none"/>
                <w:tab w:pos="404" w:val="left" w:leader="none"/>
              </w:tabs>
              <w:spacing w:line="243" w:lineRule="exact" w:before="0" w:after="0"/>
              <w:ind w:left="404" w:right="0" w:hanging="361"/>
              <w:jc w:val="left"/>
              <w:rPr>
                <w:rFonts w:ascii="Symbol" w:hAnsi="Symbol"/>
                <w:color w:val="231F20"/>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(clients</w:t>
            </w:r>
            <w:r>
              <w:rPr>
                <w:color w:val="231F20"/>
                <w:spacing w:val="-3"/>
                <w:sz w:val="20"/>
              </w:rPr>
              <w:t> </w:t>
            </w:r>
            <w:r>
              <w:rPr>
                <w:color w:val="231F20"/>
                <w:sz w:val="20"/>
              </w:rPr>
              <w:t>and</w:t>
            </w:r>
            <w:r>
              <w:rPr>
                <w:color w:val="231F20"/>
                <w:spacing w:val="-4"/>
                <w:sz w:val="20"/>
              </w:rPr>
              <w:t> </w:t>
            </w:r>
            <w:r>
              <w:rPr>
                <w:color w:val="231F20"/>
                <w:sz w:val="20"/>
              </w:rPr>
              <w:t>staff)</w:t>
            </w:r>
          </w:p>
        </w:tc>
      </w:tr>
    </w:tbl>
    <w:p>
      <w:pPr>
        <w:pStyle w:val="BodyText"/>
        <w:spacing w:before="5"/>
        <w:rPr>
          <w:sz w:val="6"/>
        </w:rPr>
      </w:pPr>
    </w:p>
    <w:p>
      <w:pPr>
        <w:spacing w:after="0"/>
        <w:rPr>
          <w:sz w:val="6"/>
        </w:rPr>
        <w:sectPr>
          <w:pgSz w:w="12240" w:h="15840"/>
          <w:pgMar w:header="0" w:footer="666" w:top="380" w:bottom="860" w:left="600" w:right="0"/>
        </w:sectPr>
      </w:pPr>
    </w:p>
    <w:p>
      <w:pPr>
        <w:pStyle w:val="Heading2"/>
        <w:spacing w:before="100"/>
      </w:pPr>
      <w:r>
        <w:rPr>
          <w:color w:val="1C384B"/>
        </w:rPr>
        <w:t>Evaluation</w:t>
      </w:r>
      <w:r>
        <w:rPr>
          <w:color w:val="1C384B"/>
          <w:spacing w:val="-7"/>
        </w:rPr>
        <w:t> </w:t>
      </w:r>
      <w:r>
        <w:rPr>
          <w:color w:val="1C384B"/>
        </w:rPr>
        <w:t>Resources</w:t>
      </w:r>
    </w:p>
    <w:p>
      <w:pPr>
        <w:pStyle w:val="Heading5"/>
        <w:spacing w:before="85"/>
      </w:pPr>
      <w:r>
        <w:rPr>
          <w:color w:val="CE384B"/>
        </w:rPr>
        <w:t>Evaluating Program Implementation</w:t>
      </w:r>
    </w:p>
    <w:p>
      <w:pPr>
        <w:pStyle w:val="ListParagraph"/>
        <w:numPr>
          <w:ilvl w:val="1"/>
          <w:numId w:val="67"/>
        </w:numPr>
        <w:tabs>
          <w:tab w:pos="839" w:val="left" w:leader="none"/>
          <w:tab w:pos="840" w:val="left" w:leader="none"/>
        </w:tabs>
        <w:spacing w:line="264" w:lineRule="auto" w:before="103" w:after="0"/>
        <w:ind w:left="839" w:right="146" w:hanging="360"/>
        <w:jc w:val="left"/>
        <w:rPr>
          <w:sz w:val="22"/>
        </w:rPr>
      </w:pPr>
      <w:hyperlink r:id="rId361">
        <w:r>
          <w:rPr>
            <w:color w:val="3953A4"/>
            <w:spacing w:val="-1"/>
            <w:sz w:val="22"/>
            <w:u w:val="single" w:color="3953A4"/>
          </w:rPr>
          <w:t>A Framework for Program </w:t>
        </w:r>
        <w:r>
          <w:rPr>
            <w:color w:val="3953A4"/>
            <w:sz w:val="22"/>
            <w:u w:val="single" w:color="3953A4"/>
          </w:rPr>
          <w:t>Evaluation,</w:t>
        </w:r>
        <w:r>
          <w:rPr>
            <w:color w:val="3953A4"/>
            <w:sz w:val="22"/>
          </w:rPr>
          <w:t> </w:t>
        </w:r>
      </w:hyperlink>
      <w:r>
        <w:rPr>
          <w:color w:val="010202"/>
          <w:sz w:val="22"/>
        </w:rPr>
        <w:t>from the</w:t>
      </w:r>
      <w:r>
        <w:rPr>
          <w:color w:val="010202"/>
          <w:spacing w:val="-52"/>
          <w:sz w:val="22"/>
        </w:rPr>
        <w:t> </w:t>
      </w:r>
      <w:r>
        <w:rPr>
          <w:color w:val="010202"/>
          <w:sz w:val="22"/>
        </w:rPr>
        <w:t>Program Performance and Evaluation Office at</w:t>
      </w:r>
      <w:r>
        <w:rPr>
          <w:color w:val="010202"/>
          <w:spacing w:val="1"/>
          <w:sz w:val="22"/>
        </w:rPr>
        <w:t> </w:t>
      </w:r>
      <w:r>
        <w:rPr>
          <w:color w:val="010202"/>
          <w:sz w:val="22"/>
        </w:rPr>
        <w:t>the Centers for Disease Control and Prevention,</w:t>
      </w:r>
      <w:r>
        <w:rPr>
          <w:color w:val="010202"/>
          <w:spacing w:val="-52"/>
          <w:sz w:val="22"/>
        </w:rPr>
        <w:t> </w:t>
      </w:r>
      <w:r>
        <w:rPr>
          <w:color w:val="010202"/>
          <w:sz w:val="22"/>
        </w:rPr>
        <w:t>summarizes essential elements of program</w:t>
      </w:r>
      <w:r>
        <w:rPr>
          <w:color w:val="010202"/>
          <w:spacing w:val="1"/>
          <w:sz w:val="22"/>
        </w:rPr>
        <w:t> </w:t>
      </w:r>
      <w:r>
        <w:rPr>
          <w:color w:val="010202"/>
          <w:sz w:val="22"/>
        </w:rPr>
        <w:t>evaluation.</w:t>
      </w:r>
    </w:p>
    <w:p>
      <w:pPr>
        <w:pStyle w:val="ListParagraph"/>
        <w:numPr>
          <w:ilvl w:val="1"/>
          <w:numId w:val="67"/>
        </w:numPr>
        <w:tabs>
          <w:tab w:pos="839" w:val="left" w:leader="none"/>
          <w:tab w:pos="840" w:val="left" w:leader="none"/>
        </w:tabs>
        <w:spacing w:line="264" w:lineRule="auto" w:before="80" w:after="0"/>
        <w:ind w:left="839" w:right="38" w:hanging="360"/>
        <w:jc w:val="left"/>
        <w:rPr>
          <w:sz w:val="22"/>
        </w:rPr>
      </w:pPr>
      <w:hyperlink r:id="rId362">
        <w:r>
          <w:rPr>
            <w:color w:val="3953A4"/>
            <w:spacing w:val="-2"/>
            <w:sz w:val="22"/>
            <w:u w:val="single" w:color="3953A4"/>
          </w:rPr>
          <w:t>The Community Toolbox</w:t>
        </w:r>
      </w:hyperlink>
      <w:r>
        <w:rPr>
          <w:color w:val="010202"/>
          <w:spacing w:val="-2"/>
          <w:sz w:val="22"/>
        </w:rPr>
        <w:t>, from the Center </w:t>
      </w:r>
      <w:r>
        <w:rPr>
          <w:color w:val="010202"/>
          <w:spacing w:val="-1"/>
          <w:sz w:val="22"/>
        </w:rPr>
        <w:t>for</w:t>
      </w:r>
      <w:r>
        <w:rPr>
          <w:color w:val="010202"/>
          <w:sz w:val="22"/>
        </w:rPr>
        <w:t> Community Health and Development at the</w:t>
      </w:r>
      <w:r>
        <w:rPr>
          <w:color w:val="010202"/>
          <w:spacing w:val="1"/>
          <w:sz w:val="22"/>
        </w:rPr>
        <w:t> </w:t>
      </w:r>
      <w:r>
        <w:rPr>
          <w:color w:val="010202"/>
          <w:sz w:val="22"/>
        </w:rPr>
        <w:t>University of Kansas, includes </w:t>
      </w:r>
      <w:hyperlink r:id="rId363">
        <w:r>
          <w:rPr>
            <w:color w:val="010202"/>
            <w:sz w:val="22"/>
          </w:rPr>
          <w:t>a step-by-step</w:t>
        </w:r>
      </w:hyperlink>
      <w:r>
        <w:rPr>
          <w:color w:val="010202"/>
          <w:spacing w:val="1"/>
          <w:sz w:val="22"/>
        </w:rPr>
        <w:t> </w:t>
      </w:r>
      <w:hyperlink r:id="rId363">
        <w:r>
          <w:rPr>
            <w:color w:val="010202"/>
            <w:spacing w:val="-2"/>
            <w:sz w:val="22"/>
          </w:rPr>
          <w:t>guide</w:t>
        </w:r>
        <w:r>
          <w:rPr>
            <w:color w:val="010202"/>
            <w:spacing w:val="-12"/>
            <w:sz w:val="22"/>
          </w:rPr>
          <w:t> </w:t>
        </w:r>
      </w:hyperlink>
      <w:r>
        <w:rPr>
          <w:color w:val="010202"/>
          <w:spacing w:val="-2"/>
          <w:sz w:val="22"/>
        </w:rPr>
        <w:t>to</w:t>
      </w:r>
      <w:r>
        <w:rPr>
          <w:color w:val="010202"/>
          <w:spacing w:val="-12"/>
          <w:sz w:val="22"/>
        </w:rPr>
        <w:t> </w:t>
      </w:r>
      <w:r>
        <w:rPr>
          <w:color w:val="010202"/>
          <w:spacing w:val="-2"/>
          <w:sz w:val="22"/>
        </w:rPr>
        <w:t>developing</w:t>
      </w:r>
      <w:r>
        <w:rPr>
          <w:color w:val="010202"/>
          <w:spacing w:val="-12"/>
          <w:sz w:val="22"/>
        </w:rPr>
        <w:t> </w:t>
      </w:r>
      <w:r>
        <w:rPr>
          <w:color w:val="010202"/>
          <w:spacing w:val="-1"/>
          <w:sz w:val="22"/>
        </w:rPr>
        <w:t>an</w:t>
      </w:r>
      <w:r>
        <w:rPr>
          <w:color w:val="010202"/>
          <w:spacing w:val="-11"/>
          <w:sz w:val="22"/>
        </w:rPr>
        <w:t> </w:t>
      </w:r>
      <w:r>
        <w:rPr>
          <w:color w:val="010202"/>
          <w:spacing w:val="-1"/>
          <w:sz w:val="22"/>
        </w:rPr>
        <w:t>evaluation</w:t>
      </w:r>
      <w:r>
        <w:rPr>
          <w:color w:val="010202"/>
          <w:spacing w:val="-12"/>
          <w:sz w:val="22"/>
        </w:rPr>
        <w:t> </w:t>
      </w:r>
      <w:r>
        <w:rPr>
          <w:color w:val="010202"/>
          <w:spacing w:val="-1"/>
          <w:sz w:val="22"/>
        </w:rPr>
        <w:t>of</w:t>
      </w:r>
      <w:r>
        <w:rPr>
          <w:color w:val="010202"/>
          <w:spacing w:val="-12"/>
          <w:sz w:val="22"/>
        </w:rPr>
        <w:t> </w:t>
      </w:r>
      <w:r>
        <w:rPr>
          <w:color w:val="010202"/>
          <w:spacing w:val="-1"/>
          <w:sz w:val="22"/>
        </w:rPr>
        <w:t>a</w:t>
      </w:r>
      <w:r>
        <w:rPr>
          <w:color w:val="010202"/>
          <w:spacing w:val="-11"/>
          <w:sz w:val="22"/>
        </w:rPr>
        <w:t> </w:t>
      </w:r>
      <w:r>
        <w:rPr>
          <w:color w:val="010202"/>
          <w:spacing w:val="-1"/>
          <w:sz w:val="22"/>
        </w:rPr>
        <w:t>community</w:t>
      </w:r>
      <w:r>
        <w:rPr>
          <w:color w:val="010202"/>
          <w:spacing w:val="-52"/>
          <w:sz w:val="22"/>
        </w:rPr>
        <w:t> </w:t>
      </w:r>
      <w:r>
        <w:rPr>
          <w:color w:val="010202"/>
          <w:sz w:val="22"/>
        </w:rPr>
        <w:t>program,</w:t>
      </w:r>
      <w:r>
        <w:rPr>
          <w:color w:val="010202"/>
          <w:spacing w:val="-9"/>
          <w:sz w:val="22"/>
        </w:rPr>
        <w:t> </w:t>
      </w:r>
      <w:r>
        <w:rPr>
          <w:color w:val="010202"/>
          <w:sz w:val="22"/>
        </w:rPr>
        <w:t>specific</w:t>
      </w:r>
      <w:r>
        <w:rPr>
          <w:color w:val="010202"/>
          <w:spacing w:val="-9"/>
          <w:sz w:val="22"/>
        </w:rPr>
        <w:t> </w:t>
      </w:r>
      <w:r>
        <w:rPr>
          <w:color w:val="010202"/>
          <w:sz w:val="22"/>
        </w:rPr>
        <w:t>tools,</w:t>
      </w:r>
      <w:r>
        <w:rPr>
          <w:color w:val="010202"/>
          <w:spacing w:val="-9"/>
          <w:sz w:val="22"/>
        </w:rPr>
        <w:t> </w:t>
      </w:r>
      <w:r>
        <w:rPr>
          <w:color w:val="010202"/>
          <w:sz w:val="22"/>
        </w:rPr>
        <w:t>and</w:t>
      </w:r>
      <w:r>
        <w:rPr>
          <w:color w:val="010202"/>
          <w:spacing w:val="-9"/>
          <w:sz w:val="22"/>
        </w:rPr>
        <w:t> </w:t>
      </w:r>
      <w:r>
        <w:rPr>
          <w:color w:val="010202"/>
          <w:sz w:val="22"/>
        </w:rPr>
        <w:t>examples.</w:t>
      </w:r>
    </w:p>
    <w:p>
      <w:pPr>
        <w:pStyle w:val="Heading5"/>
        <w:spacing w:before="186"/>
        <w:ind w:left="119"/>
      </w:pPr>
      <w:r>
        <w:rPr>
          <w:color w:val="CE384B"/>
        </w:rPr>
        <w:t>Evaluating Program Sustainability</w:t>
      </w:r>
    </w:p>
    <w:p>
      <w:pPr>
        <w:pStyle w:val="ListParagraph"/>
        <w:numPr>
          <w:ilvl w:val="1"/>
          <w:numId w:val="67"/>
        </w:numPr>
        <w:tabs>
          <w:tab w:pos="839" w:val="left" w:leader="none"/>
          <w:tab w:pos="840" w:val="left" w:leader="none"/>
        </w:tabs>
        <w:spacing w:line="264" w:lineRule="auto" w:before="102" w:after="0"/>
        <w:ind w:left="839" w:right="672" w:hanging="360"/>
        <w:jc w:val="left"/>
        <w:rPr>
          <w:sz w:val="22"/>
        </w:rPr>
      </w:pPr>
      <w:r>
        <w:rPr>
          <w:color w:val="010202"/>
          <w:sz w:val="22"/>
        </w:rPr>
        <w:t>Center for Public Health Systems Science</w:t>
      </w:r>
      <w:r>
        <w:rPr>
          <w:color w:val="010202"/>
          <w:spacing w:val="-52"/>
          <w:sz w:val="22"/>
        </w:rPr>
        <w:t> </w:t>
      </w:r>
      <w:r>
        <w:rPr>
          <w:color w:val="010202"/>
          <w:sz w:val="22"/>
        </w:rPr>
        <w:t>at</w:t>
      </w:r>
      <w:r>
        <w:rPr>
          <w:color w:val="010202"/>
          <w:spacing w:val="-2"/>
          <w:sz w:val="22"/>
        </w:rPr>
        <w:t> </w:t>
      </w:r>
      <w:r>
        <w:rPr>
          <w:color w:val="010202"/>
          <w:sz w:val="22"/>
        </w:rPr>
        <w:t>the</w:t>
      </w:r>
      <w:r>
        <w:rPr>
          <w:color w:val="010202"/>
          <w:spacing w:val="-2"/>
          <w:sz w:val="22"/>
        </w:rPr>
        <w:t> </w:t>
      </w:r>
      <w:r>
        <w:rPr>
          <w:color w:val="010202"/>
          <w:sz w:val="22"/>
        </w:rPr>
        <w:t>Brown</w:t>
      </w:r>
      <w:r>
        <w:rPr>
          <w:color w:val="010202"/>
          <w:spacing w:val="-2"/>
          <w:sz w:val="22"/>
        </w:rPr>
        <w:t> </w:t>
      </w:r>
      <w:r>
        <w:rPr>
          <w:color w:val="010202"/>
          <w:sz w:val="22"/>
        </w:rPr>
        <w:t>School</w:t>
      </w:r>
      <w:r>
        <w:rPr>
          <w:color w:val="010202"/>
          <w:spacing w:val="-1"/>
          <w:sz w:val="22"/>
        </w:rPr>
        <w:t> </w:t>
      </w:r>
      <w:r>
        <w:rPr>
          <w:color w:val="010202"/>
          <w:sz w:val="22"/>
        </w:rPr>
        <w:t>at</w:t>
      </w:r>
      <w:r>
        <w:rPr>
          <w:color w:val="010202"/>
          <w:spacing w:val="-2"/>
          <w:sz w:val="22"/>
        </w:rPr>
        <w:t> </w:t>
      </w:r>
      <w:r>
        <w:rPr>
          <w:color w:val="010202"/>
          <w:sz w:val="22"/>
        </w:rPr>
        <w:t>the</w:t>
      </w:r>
      <w:r>
        <w:rPr>
          <w:color w:val="010202"/>
          <w:spacing w:val="-7"/>
          <w:sz w:val="22"/>
        </w:rPr>
        <w:t> </w:t>
      </w:r>
      <w:r>
        <w:rPr>
          <w:color w:val="010202"/>
          <w:sz w:val="22"/>
        </w:rPr>
        <w:t>Washington</w:t>
      </w:r>
    </w:p>
    <w:p>
      <w:pPr>
        <w:pStyle w:val="BodyText"/>
        <w:spacing w:line="266" w:lineRule="auto" w:before="1"/>
        <w:ind w:left="839" w:right="62"/>
      </w:pPr>
      <w:r>
        <w:rPr>
          <w:color w:val="010202"/>
        </w:rPr>
        <w:t>University in St. Louis has developed a </w:t>
      </w:r>
      <w:hyperlink r:id="rId364">
        <w:r>
          <w:rPr>
            <w:color w:val="3953A4"/>
            <w:u w:val="single" w:color="3953A4"/>
          </w:rPr>
          <w:t>Program</w:t>
        </w:r>
      </w:hyperlink>
      <w:r>
        <w:rPr>
          <w:color w:val="3953A4"/>
          <w:spacing w:val="-52"/>
        </w:rPr>
        <w:t> </w:t>
      </w:r>
      <w:hyperlink r:id="rId364">
        <w:r>
          <w:rPr>
            <w:color w:val="3953A4"/>
            <w:spacing w:val="-2"/>
            <w:u w:val="single" w:color="3953A4"/>
          </w:rPr>
          <w:t>Sustainability </w:t>
        </w:r>
        <w:r>
          <w:rPr>
            <w:color w:val="3953A4"/>
            <w:spacing w:val="-1"/>
            <w:u w:val="single" w:color="3953A4"/>
          </w:rPr>
          <w:t>Assessment Tool (PSAT)</w:t>
        </w:r>
      </w:hyperlink>
      <w:r>
        <w:rPr>
          <w:color w:val="3953A4"/>
          <w:spacing w:val="-1"/>
        </w:rPr>
        <w:t> </w:t>
      </w:r>
      <w:r>
        <w:rPr>
          <w:color w:val="010202"/>
          <w:spacing w:val="-1"/>
        </w:rPr>
        <w:t>and a</w:t>
      </w:r>
      <w:r>
        <w:rPr>
          <w:color w:val="010202"/>
        </w:rPr>
        <w:t> </w:t>
      </w:r>
      <w:hyperlink r:id="rId365">
        <w:r>
          <w:rPr>
            <w:color w:val="3953A4"/>
            <w:spacing w:val="-1"/>
            <w:u w:val="single" w:color="3953A4"/>
          </w:rPr>
          <w:t>Clinical Sustainability Assessment Tool (CSAT)</w:t>
        </w:r>
      </w:hyperlink>
      <w:r>
        <w:rPr>
          <w:color w:val="3953A4"/>
          <w:spacing w:val="-52"/>
        </w:rPr>
        <w:t> </w:t>
      </w:r>
      <w:r>
        <w:rPr>
          <w:color w:val="010202"/>
        </w:rPr>
        <w:t>to measure progress towards sustaining new</w:t>
      </w:r>
      <w:r>
        <w:rPr>
          <w:color w:val="010202"/>
          <w:spacing w:val="1"/>
        </w:rPr>
        <w:t> </w:t>
      </w:r>
      <w:r>
        <w:rPr>
          <w:color w:val="010202"/>
        </w:rPr>
        <w:t>implementation</w:t>
      </w:r>
      <w:r>
        <w:rPr>
          <w:color w:val="010202"/>
          <w:spacing w:val="-1"/>
        </w:rPr>
        <w:t> </w:t>
      </w:r>
      <w:r>
        <w:rPr>
          <w:color w:val="010202"/>
        </w:rPr>
        <w:t>efforts.</w:t>
      </w:r>
    </w:p>
    <w:p>
      <w:pPr>
        <w:pStyle w:val="Heading5"/>
        <w:spacing w:line="228" w:lineRule="auto" w:before="199"/>
        <w:ind w:right="1816"/>
      </w:pPr>
      <w:r>
        <w:rPr>
          <w:b w:val="0"/>
        </w:rPr>
        <w:br w:type="column"/>
      </w:r>
      <w:r>
        <w:rPr>
          <w:color w:val="CE384B"/>
        </w:rPr>
        <w:t>Quality Improvement and Continuous</w:t>
      </w:r>
      <w:r>
        <w:rPr>
          <w:color w:val="CE384B"/>
          <w:spacing w:val="-60"/>
        </w:rPr>
        <w:t> </w:t>
      </w:r>
      <w:r>
        <w:rPr>
          <w:color w:val="CE384B"/>
        </w:rPr>
        <w:t>Performance Monitoring</w:t>
      </w:r>
    </w:p>
    <w:p>
      <w:pPr>
        <w:pStyle w:val="ListParagraph"/>
        <w:numPr>
          <w:ilvl w:val="1"/>
          <w:numId w:val="67"/>
        </w:numPr>
        <w:tabs>
          <w:tab w:pos="839" w:val="left" w:leader="none"/>
          <w:tab w:pos="840" w:val="left" w:leader="none"/>
        </w:tabs>
        <w:spacing w:line="264" w:lineRule="auto" w:before="104" w:after="0"/>
        <w:ind w:left="839" w:right="841" w:hanging="360"/>
        <w:jc w:val="left"/>
        <w:rPr>
          <w:sz w:val="22"/>
        </w:rPr>
      </w:pPr>
      <w:r>
        <w:rPr>
          <w:color w:val="010202"/>
          <w:sz w:val="22"/>
        </w:rPr>
        <w:t>Institute for Healthcare Improvement’s</w:t>
      </w:r>
      <w:r>
        <w:rPr>
          <w:color w:val="3953A4"/>
          <w:sz w:val="22"/>
        </w:rPr>
        <w:t> </w:t>
      </w:r>
      <w:hyperlink r:id="rId366">
        <w:r>
          <w:rPr>
            <w:color w:val="3953A4"/>
            <w:sz w:val="22"/>
            <w:u w:val="single" w:color="3953A4"/>
          </w:rPr>
          <w:t>Quality</w:t>
        </w:r>
      </w:hyperlink>
      <w:r>
        <w:rPr>
          <w:color w:val="3953A4"/>
          <w:spacing w:val="-52"/>
          <w:sz w:val="22"/>
        </w:rPr>
        <w:t> </w:t>
      </w:r>
      <w:hyperlink r:id="rId366">
        <w:r>
          <w:rPr>
            <w:color w:val="3953A4"/>
            <w:sz w:val="22"/>
            <w:u w:val="single" w:color="3953A4"/>
          </w:rPr>
          <w:t>Improvement</w:t>
        </w:r>
        <w:r>
          <w:rPr>
            <w:color w:val="3953A4"/>
            <w:spacing w:val="-3"/>
            <w:sz w:val="22"/>
            <w:u w:val="single" w:color="3953A4"/>
          </w:rPr>
          <w:t> </w:t>
        </w:r>
        <w:r>
          <w:rPr>
            <w:color w:val="3953A4"/>
            <w:sz w:val="22"/>
            <w:u w:val="single" w:color="3953A4"/>
          </w:rPr>
          <w:t>Essentials</w:t>
        </w:r>
        <w:r>
          <w:rPr>
            <w:color w:val="3953A4"/>
            <w:spacing w:val="-6"/>
            <w:sz w:val="22"/>
            <w:u w:val="single" w:color="3953A4"/>
          </w:rPr>
          <w:t> </w:t>
        </w:r>
        <w:r>
          <w:rPr>
            <w:color w:val="3953A4"/>
            <w:sz w:val="22"/>
            <w:u w:val="single" w:color="3953A4"/>
          </w:rPr>
          <w:t>Toolkit</w:t>
        </w:r>
        <w:r>
          <w:rPr>
            <w:color w:val="3953A4"/>
            <w:spacing w:val="-1"/>
            <w:sz w:val="22"/>
          </w:rPr>
          <w:t> </w:t>
        </w:r>
      </w:hyperlink>
      <w:r>
        <w:rPr>
          <w:color w:val="010202"/>
          <w:sz w:val="22"/>
        </w:rPr>
        <w:t>includes</w:t>
      </w:r>
    </w:p>
    <w:p>
      <w:pPr>
        <w:pStyle w:val="BodyText"/>
        <w:spacing w:line="266" w:lineRule="auto" w:before="1"/>
        <w:ind w:left="839" w:right="903"/>
      </w:pPr>
      <w:r>
        <w:rPr>
          <w:color w:val="010202"/>
        </w:rPr>
        <w:t>the tools and templates to launch a quality</w:t>
      </w:r>
      <w:r>
        <w:rPr>
          <w:color w:val="010202"/>
          <w:spacing w:val="1"/>
        </w:rPr>
        <w:t> </w:t>
      </w:r>
      <w:r>
        <w:rPr>
          <w:color w:val="010202"/>
        </w:rPr>
        <w:t>improvement project and manage performance</w:t>
      </w:r>
      <w:r>
        <w:rPr>
          <w:color w:val="010202"/>
          <w:spacing w:val="-52"/>
        </w:rPr>
        <w:t> </w:t>
      </w:r>
      <w:r>
        <w:rPr>
          <w:color w:val="010202"/>
        </w:rPr>
        <w:t>improvement.</w:t>
      </w:r>
    </w:p>
    <w:p>
      <w:pPr>
        <w:pStyle w:val="Heading5"/>
        <w:spacing w:line="228" w:lineRule="auto" w:before="187"/>
        <w:ind w:left="119" w:right="931"/>
      </w:pPr>
      <w:r>
        <w:rPr>
          <w:color w:val="CE384B"/>
        </w:rPr>
        <w:t>Evaluating</w:t>
      </w:r>
      <w:r>
        <w:rPr>
          <w:color w:val="CE384B"/>
          <w:spacing w:val="-7"/>
        </w:rPr>
        <w:t> </w:t>
      </w:r>
      <w:r>
        <w:rPr>
          <w:color w:val="CE384B"/>
        </w:rPr>
        <w:t>Practices</w:t>
      </w:r>
      <w:r>
        <w:rPr>
          <w:color w:val="CE384B"/>
          <w:spacing w:val="-6"/>
        </w:rPr>
        <w:t> </w:t>
      </w:r>
      <w:r>
        <w:rPr>
          <w:color w:val="CE384B"/>
        </w:rPr>
        <w:t>Using</w:t>
      </w:r>
      <w:r>
        <w:rPr>
          <w:color w:val="CE384B"/>
          <w:spacing w:val="-6"/>
        </w:rPr>
        <w:t> </w:t>
      </w:r>
      <w:r>
        <w:rPr>
          <w:color w:val="CE384B"/>
        </w:rPr>
        <w:t>Telehealth</w:t>
      </w:r>
      <w:r>
        <w:rPr>
          <w:color w:val="CE384B"/>
          <w:spacing w:val="-6"/>
        </w:rPr>
        <w:t> </w:t>
      </w:r>
      <w:r>
        <w:rPr>
          <w:color w:val="CE384B"/>
        </w:rPr>
        <w:t>for</w:t>
      </w:r>
      <w:r>
        <w:rPr>
          <w:color w:val="CE384B"/>
          <w:spacing w:val="-7"/>
        </w:rPr>
        <w:t> </w:t>
      </w:r>
      <w:r>
        <w:rPr>
          <w:color w:val="CE384B"/>
        </w:rPr>
        <w:t>SMI,</w:t>
      </w:r>
      <w:r>
        <w:rPr>
          <w:color w:val="CE384B"/>
          <w:spacing w:val="-58"/>
        </w:rPr>
        <w:t> </w:t>
      </w:r>
      <w:r>
        <w:rPr>
          <w:color w:val="CE384B"/>
        </w:rPr>
        <w:t>SUD, and COD</w:t>
      </w:r>
    </w:p>
    <w:p>
      <w:pPr>
        <w:pStyle w:val="ListParagraph"/>
        <w:numPr>
          <w:ilvl w:val="1"/>
          <w:numId w:val="67"/>
        </w:numPr>
        <w:tabs>
          <w:tab w:pos="839" w:val="left" w:leader="none"/>
          <w:tab w:pos="840" w:val="left" w:leader="none"/>
        </w:tabs>
        <w:spacing w:line="264" w:lineRule="auto" w:before="105" w:after="0"/>
        <w:ind w:left="839" w:right="970" w:hanging="360"/>
        <w:jc w:val="left"/>
        <w:rPr>
          <w:sz w:val="22"/>
        </w:rPr>
      </w:pPr>
      <w:r>
        <w:rPr>
          <w:color w:val="010202"/>
          <w:spacing w:val="-1"/>
          <w:sz w:val="22"/>
        </w:rPr>
        <w:t>The</w:t>
      </w:r>
      <w:r>
        <w:rPr>
          <w:color w:val="010202"/>
          <w:spacing w:val="-13"/>
          <w:sz w:val="22"/>
        </w:rPr>
        <w:t> </w:t>
      </w:r>
      <w:r>
        <w:rPr>
          <w:color w:val="010202"/>
          <w:spacing w:val="-1"/>
          <w:sz w:val="22"/>
        </w:rPr>
        <w:t>American</w:t>
      </w:r>
      <w:r>
        <w:rPr>
          <w:color w:val="010202"/>
          <w:sz w:val="22"/>
        </w:rPr>
        <w:t> </w:t>
      </w:r>
      <w:r>
        <w:rPr>
          <w:color w:val="010202"/>
          <w:spacing w:val="-1"/>
          <w:sz w:val="22"/>
        </w:rPr>
        <w:t>Medical</w:t>
      </w:r>
      <w:r>
        <w:rPr>
          <w:color w:val="010202"/>
          <w:spacing w:val="-12"/>
          <w:sz w:val="22"/>
        </w:rPr>
        <w:t> </w:t>
      </w:r>
      <w:r>
        <w:rPr>
          <w:color w:val="010202"/>
          <w:sz w:val="22"/>
        </w:rPr>
        <w:t>Association developed</w:t>
      </w:r>
      <w:r>
        <w:rPr>
          <w:color w:val="010202"/>
          <w:spacing w:val="-52"/>
          <w:sz w:val="22"/>
        </w:rPr>
        <w:t> </w:t>
      </w:r>
      <w:r>
        <w:rPr>
          <w:color w:val="010202"/>
          <w:sz w:val="22"/>
        </w:rPr>
        <w:t>a</w:t>
      </w:r>
      <w:r>
        <w:rPr>
          <w:color w:val="3953A4"/>
          <w:sz w:val="22"/>
        </w:rPr>
        <w:t> </w:t>
      </w:r>
      <w:hyperlink r:id="rId253">
        <w:r>
          <w:rPr>
            <w:color w:val="3953A4"/>
            <w:sz w:val="22"/>
            <w:u w:val="single" w:color="3953A4"/>
          </w:rPr>
          <w:t>Telehealth Implementation Playbook</w:t>
        </w:r>
        <w:r>
          <w:rPr>
            <w:color w:val="3953A4"/>
            <w:sz w:val="22"/>
          </w:rPr>
          <w:t> </w:t>
        </w:r>
      </w:hyperlink>
      <w:r>
        <w:rPr>
          <w:color w:val="010202"/>
          <w:sz w:val="22"/>
        </w:rPr>
        <w:t>that</w:t>
      </w:r>
      <w:r>
        <w:rPr>
          <w:color w:val="010202"/>
          <w:spacing w:val="1"/>
          <w:sz w:val="22"/>
        </w:rPr>
        <w:t> </w:t>
      </w:r>
      <w:r>
        <w:rPr>
          <w:color w:val="010202"/>
          <w:sz w:val="22"/>
        </w:rPr>
        <w:t>includes tools for planning, implementation,</w:t>
      </w:r>
      <w:r>
        <w:rPr>
          <w:color w:val="010202"/>
          <w:spacing w:val="1"/>
          <w:sz w:val="22"/>
        </w:rPr>
        <w:t> </w:t>
      </w:r>
      <w:r>
        <w:rPr>
          <w:color w:val="010202"/>
          <w:sz w:val="22"/>
        </w:rPr>
        <w:t>evaluation, and scaling.</w:t>
      </w:r>
    </w:p>
    <w:p>
      <w:pPr>
        <w:pStyle w:val="ListParagraph"/>
        <w:numPr>
          <w:ilvl w:val="1"/>
          <w:numId w:val="67"/>
        </w:numPr>
        <w:tabs>
          <w:tab w:pos="839" w:val="left" w:leader="none"/>
          <w:tab w:pos="841" w:val="left" w:leader="none"/>
        </w:tabs>
        <w:spacing w:line="264" w:lineRule="auto" w:before="35" w:after="0"/>
        <w:ind w:left="840" w:right="761" w:hanging="361"/>
        <w:jc w:val="left"/>
        <w:rPr>
          <w:sz w:val="22"/>
        </w:rPr>
      </w:pPr>
      <w:hyperlink r:id="rId367">
        <w:r>
          <w:rPr>
            <w:color w:val="3953A4"/>
            <w:spacing w:val="-2"/>
            <w:sz w:val="22"/>
            <w:u w:val="single" w:color="3953A4"/>
          </w:rPr>
          <w:t>Rural Health Information Hub (RHIhub)</w:t>
        </w:r>
        <w:r>
          <w:rPr>
            <w:color w:val="3953A4"/>
            <w:spacing w:val="-2"/>
            <w:sz w:val="22"/>
          </w:rPr>
          <w:t> </w:t>
        </w:r>
      </w:hyperlink>
      <w:r>
        <w:rPr>
          <w:color w:val="010202"/>
          <w:spacing w:val="-1"/>
          <w:sz w:val="22"/>
        </w:rPr>
        <w:t>has</w:t>
      </w:r>
      <w:r>
        <w:rPr>
          <w:color w:val="010202"/>
          <w:sz w:val="22"/>
        </w:rPr>
        <w:t> </w:t>
      </w:r>
      <w:r>
        <w:rPr>
          <w:color w:val="010202"/>
          <w:spacing w:val="-5"/>
          <w:sz w:val="22"/>
        </w:rPr>
        <w:t>create</w:t>
      </w:r>
      <w:r>
        <w:rPr>
          <w:color w:val="0E0F0F"/>
          <w:spacing w:val="-5"/>
          <w:sz w:val="22"/>
        </w:rPr>
        <w:t>d</w:t>
      </w:r>
      <w:r>
        <w:rPr>
          <w:color w:val="0E0F0F"/>
          <w:spacing w:val="-8"/>
          <w:sz w:val="22"/>
        </w:rPr>
        <w:t> </w:t>
      </w:r>
      <w:r>
        <w:rPr>
          <w:color w:val="0E0F0F"/>
          <w:spacing w:val="-5"/>
          <w:sz w:val="22"/>
        </w:rPr>
        <w:t>specific</w:t>
      </w:r>
      <w:r>
        <w:rPr>
          <w:color w:val="0E0F0F"/>
          <w:spacing w:val="-7"/>
          <w:sz w:val="22"/>
        </w:rPr>
        <w:t> </w:t>
      </w:r>
      <w:r>
        <w:rPr>
          <w:color w:val="010202"/>
          <w:spacing w:val="-4"/>
          <w:sz w:val="22"/>
        </w:rPr>
        <w:t>Evidence-Based</w:t>
      </w:r>
      <w:r>
        <w:rPr>
          <w:color w:val="010202"/>
          <w:spacing w:val="-12"/>
          <w:sz w:val="22"/>
        </w:rPr>
        <w:t> </w:t>
      </w:r>
      <w:r>
        <w:rPr>
          <w:color w:val="010202"/>
          <w:spacing w:val="-4"/>
          <w:sz w:val="22"/>
        </w:rPr>
        <w:t>Toolkits</w:t>
      </w:r>
      <w:r>
        <w:rPr>
          <w:color w:val="010202"/>
          <w:spacing w:val="-7"/>
          <w:sz w:val="22"/>
        </w:rPr>
        <w:t> </w:t>
      </w:r>
      <w:r>
        <w:rPr>
          <w:color w:val="010202"/>
          <w:spacing w:val="-4"/>
          <w:sz w:val="22"/>
        </w:rPr>
        <w:t>for</w:t>
      </w:r>
      <w:r>
        <w:rPr>
          <w:color w:val="010202"/>
          <w:spacing w:val="-8"/>
          <w:sz w:val="22"/>
        </w:rPr>
        <w:t> </w:t>
      </w:r>
      <w:r>
        <w:rPr>
          <w:color w:val="010202"/>
          <w:spacing w:val="-4"/>
          <w:sz w:val="22"/>
        </w:rPr>
        <w:t>Rural</w:t>
      </w:r>
      <w:r>
        <w:rPr>
          <w:color w:val="010202"/>
          <w:spacing w:val="-52"/>
          <w:sz w:val="22"/>
        </w:rPr>
        <w:t> </w:t>
      </w:r>
      <w:r>
        <w:rPr>
          <w:color w:val="010202"/>
          <w:spacing w:val="-4"/>
          <w:sz w:val="22"/>
        </w:rPr>
        <w:t>Community </w:t>
      </w:r>
      <w:r>
        <w:rPr>
          <w:color w:val="010202"/>
          <w:spacing w:val="-3"/>
          <w:sz w:val="22"/>
        </w:rPr>
        <w:t>Health </w:t>
      </w:r>
      <w:r>
        <w:rPr>
          <w:color w:val="0E0F0F"/>
          <w:spacing w:val="-3"/>
          <w:sz w:val="22"/>
        </w:rPr>
        <w:t>for evaluating</w:t>
      </w:r>
      <w:r>
        <w:rPr>
          <w:color w:val="2764B0"/>
          <w:spacing w:val="-3"/>
          <w:sz w:val="22"/>
        </w:rPr>
        <w:t> </w:t>
      </w:r>
      <w:hyperlink r:id="rId368">
        <w:r>
          <w:rPr>
            <w:color w:val="2764B0"/>
            <w:spacing w:val="-3"/>
            <w:sz w:val="22"/>
            <w:u w:val="single" w:color="2764B0"/>
          </w:rPr>
          <w:t>Mental Health</w:t>
        </w:r>
      </w:hyperlink>
      <w:r>
        <w:rPr>
          <w:color w:val="2764B0"/>
          <w:spacing w:val="-3"/>
          <w:sz w:val="22"/>
          <w:u w:val="single" w:color="2764B0"/>
        </w:rPr>
        <w:t>,</w:t>
      </w:r>
      <w:r>
        <w:rPr>
          <w:color w:val="3953A4"/>
          <w:spacing w:val="-2"/>
          <w:sz w:val="22"/>
        </w:rPr>
        <w:t> </w:t>
      </w:r>
      <w:hyperlink r:id="rId369">
        <w:r>
          <w:rPr>
            <w:color w:val="3953A4"/>
            <w:spacing w:val="-4"/>
            <w:sz w:val="22"/>
            <w:u w:val="single" w:color="3953A4"/>
          </w:rPr>
          <w:t>Substance Use</w:t>
        </w:r>
        <w:r>
          <w:rPr>
            <w:color w:val="010202"/>
            <w:spacing w:val="-4"/>
            <w:sz w:val="22"/>
          </w:rPr>
          <w:t>, </w:t>
        </w:r>
      </w:hyperlink>
      <w:r>
        <w:rPr>
          <w:color w:val="010202"/>
          <w:spacing w:val="-4"/>
          <w:sz w:val="22"/>
        </w:rPr>
        <w:t>and</w:t>
      </w:r>
      <w:r>
        <w:rPr>
          <w:color w:val="2764B0"/>
          <w:spacing w:val="-4"/>
          <w:sz w:val="22"/>
        </w:rPr>
        <w:t> </w:t>
      </w:r>
      <w:hyperlink r:id="rId370">
        <w:r>
          <w:rPr>
            <w:color w:val="2764B0"/>
            <w:spacing w:val="-4"/>
            <w:sz w:val="22"/>
            <w:u w:val="single" w:color="2764B0"/>
          </w:rPr>
          <w:t>Telehealth</w:t>
        </w:r>
        <w:r>
          <w:rPr>
            <w:color w:val="2764B0"/>
            <w:spacing w:val="-4"/>
            <w:sz w:val="22"/>
          </w:rPr>
          <w:t> </w:t>
        </w:r>
      </w:hyperlink>
      <w:r>
        <w:rPr>
          <w:color w:val="010202"/>
          <w:spacing w:val="-4"/>
          <w:sz w:val="22"/>
        </w:rPr>
        <w:t>interventions (that</w:t>
      </w:r>
      <w:r>
        <w:rPr>
          <w:color w:val="010202"/>
          <w:spacing w:val="-3"/>
          <w:sz w:val="22"/>
        </w:rPr>
        <w:t> can be broadly applied to both </w:t>
      </w:r>
      <w:r>
        <w:rPr>
          <w:color w:val="010202"/>
          <w:spacing w:val="-2"/>
          <w:sz w:val="22"/>
        </w:rPr>
        <w:t>rural and non-rural</w:t>
      </w:r>
      <w:r>
        <w:rPr>
          <w:color w:val="010202"/>
          <w:spacing w:val="-52"/>
          <w:sz w:val="22"/>
        </w:rPr>
        <w:t> </w:t>
      </w:r>
      <w:r>
        <w:rPr>
          <w:color w:val="010202"/>
          <w:sz w:val="22"/>
        </w:rPr>
        <w:t>settings).</w:t>
      </w:r>
    </w:p>
    <w:p>
      <w:pPr>
        <w:spacing w:after="0" w:line="264" w:lineRule="auto"/>
        <w:jc w:val="left"/>
        <w:rPr>
          <w:sz w:val="22"/>
        </w:rPr>
        <w:sectPr>
          <w:type w:val="continuous"/>
          <w:pgSz w:w="12240" w:h="15840"/>
          <w:pgMar w:header="0" w:footer="666" w:top="1500" w:bottom="0" w:left="600" w:right="0"/>
          <w:cols w:num="2" w:equalWidth="0">
            <w:col w:w="5199" w:space="561"/>
            <w:col w:w="5880"/>
          </w:cols>
        </w:sectPr>
      </w:pPr>
    </w:p>
    <w:p>
      <w:pPr>
        <w:pStyle w:val="BodyText"/>
        <w:rPr>
          <w:sz w:val="20"/>
        </w:rPr>
      </w:pPr>
      <w:r>
        <w:rPr/>
        <w:pict>
          <v:rect style="position:absolute;margin-left:0pt;margin-top:116.330101pt;width:612pt;height:1pt;mso-position-horizontal-relative:page;mso-position-vertical-relative:page;z-index:-17860096" id="docshape202" filled="true" fillcolor="#ce372e" stroked="false">
            <v:fill type="solid"/>
            <w10:wrap type="none"/>
          </v:rect>
        </w:pict>
      </w:r>
    </w:p>
    <w:p>
      <w:pPr>
        <w:pStyle w:val="BodyText"/>
        <w:rPr>
          <w:sz w:val="20"/>
        </w:rPr>
      </w:pPr>
    </w:p>
    <w:p>
      <w:pPr>
        <w:pStyle w:val="BodyText"/>
        <w:rPr>
          <w:sz w:val="20"/>
        </w:rPr>
      </w:pPr>
    </w:p>
    <w:p>
      <w:pPr>
        <w:pStyle w:val="Heading2"/>
      </w:pPr>
      <w:r>
        <w:rPr>
          <w:color w:val="231F20"/>
        </w:rPr>
        <w:t>Reference</w:t>
      </w:r>
      <w:r>
        <w:rPr>
          <w:color w:val="231F20"/>
          <w:spacing w:val="-6"/>
        </w:rPr>
        <w:t> </w:t>
      </w:r>
      <w:r>
        <w:rPr>
          <w:color w:val="231F20"/>
        </w:rPr>
        <w:t>List</w:t>
      </w:r>
    </w:p>
    <w:p>
      <w:pPr>
        <w:pStyle w:val="BodyText"/>
        <w:rPr>
          <w:rFonts w:ascii="Arial Black"/>
          <w:sz w:val="20"/>
        </w:rPr>
      </w:pPr>
    </w:p>
    <w:p>
      <w:pPr>
        <w:pStyle w:val="BodyText"/>
        <w:rPr>
          <w:rFonts w:ascii="Arial Black"/>
          <w:sz w:val="20"/>
        </w:rPr>
      </w:pPr>
    </w:p>
    <w:p>
      <w:pPr>
        <w:pStyle w:val="BodyText"/>
        <w:spacing w:before="8"/>
        <w:rPr>
          <w:rFonts w:ascii="Arial Black"/>
          <w:sz w:val="16"/>
        </w:rPr>
      </w:pPr>
    </w:p>
    <w:p>
      <w:pPr>
        <w:tabs>
          <w:tab w:pos="479" w:val="left" w:leader="none"/>
        </w:tabs>
        <w:spacing w:line="228" w:lineRule="auto" w:before="101"/>
        <w:ind w:left="480" w:right="6524" w:hanging="360"/>
        <w:jc w:val="left"/>
        <w:rPr>
          <w:sz w:val="22"/>
        </w:rPr>
      </w:pPr>
      <w:r>
        <w:rPr>
          <w:color w:val="231F20"/>
          <w:sz w:val="22"/>
          <w:vertAlign w:val="superscript"/>
        </w:rPr>
        <w:t>1</w:t>
      </w:r>
      <w:r>
        <w:rPr>
          <w:color w:val="231F20"/>
          <w:sz w:val="22"/>
          <w:vertAlign w:val="baseline"/>
        </w:rPr>
        <w:tab/>
        <w:t>Feeley, D. (2017, November 28). </w:t>
      </w:r>
      <w:r>
        <w:rPr>
          <w:i/>
          <w:color w:val="231F20"/>
          <w:sz w:val="22"/>
          <w:vertAlign w:val="baseline"/>
        </w:rPr>
        <w:t>The triple aim or</w:t>
      </w:r>
      <w:r>
        <w:rPr>
          <w:i/>
          <w:color w:val="231F20"/>
          <w:spacing w:val="1"/>
          <w:sz w:val="22"/>
          <w:vertAlign w:val="baseline"/>
        </w:rPr>
        <w:t> </w:t>
      </w:r>
      <w:r>
        <w:rPr>
          <w:i/>
          <w:color w:val="231F20"/>
          <w:sz w:val="22"/>
          <w:vertAlign w:val="baseline"/>
        </w:rPr>
        <w:t>the quadruple aim? Four points to help set your</w:t>
      </w:r>
      <w:r>
        <w:rPr>
          <w:i/>
          <w:color w:val="231F20"/>
          <w:spacing w:val="1"/>
          <w:sz w:val="22"/>
          <w:vertAlign w:val="baseline"/>
        </w:rPr>
        <w:t> </w:t>
      </w:r>
      <w:r>
        <w:rPr>
          <w:i/>
          <w:color w:val="231F20"/>
          <w:spacing w:val="-1"/>
          <w:sz w:val="22"/>
          <w:vertAlign w:val="baseline"/>
        </w:rPr>
        <w:t>strategy. </w:t>
      </w:r>
      <w:hyperlink r:id="rId49">
        <w:r>
          <w:rPr>
            <w:color w:val="3953A4"/>
            <w:sz w:val="22"/>
            <w:u w:val="single" w:color="3953A4"/>
            <w:vertAlign w:val="baseline"/>
          </w:rPr>
          <w:t>http://www.ihi.org/communities/blogs/the-</w:t>
        </w:r>
      </w:hyperlink>
      <w:r>
        <w:rPr>
          <w:color w:val="3953A4"/>
          <w:spacing w:val="-52"/>
          <w:sz w:val="22"/>
          <w:vertAlign w:val="baseline"/>
        </w:rPr>
        <w:t> </w:t>
      </w:r>
      <w:hyperlink r:id="rId49">
        <w:r>
          <w:rPr>
            <w:color w:val="3953A4"/>
            <w:spacing w:val="-1"/>
            <w:sz w:val="22"/>
            <w:u w:val="single" w:color="3953A4"/>
            <w:vertAlign w:val="baseline"/>
          </w:rPr>
          <w:t>triple-aim-or-the-quadruple-aim-four-points-to-help-</w:t>
        </w:r>
      </w:hyperlink>
      <w:r>
        <w:rPr>
          <w:color w:val="3953A4"/>
          <w:spacing w:val="-52"/>
          <w:sz w:val="22"/>
          <w:vertAlign w:val="baseline"/>
        </w:rPr>
        <w:t> </w:t>
      </w:r>
      <w:hyperlink r:id="rId49">
        <w:r>
          <w:rPr>
            <w:color w:val="3953A4"/>
            <w:sz w:val="22"/>
            <w:u w:val="single" w:color="3953A4"/>
            <w:vertAlign w:val="baseline"/>
          </w:rPr>
          <w:t>set-your-strategy</w:t>
        </w:r>
      </w:hyperlink>
      <w:r>
        <w:rPr>
          <w:color w:val="231F20"/>
          <w:sz w:val="22"/>
          <w:vertAlign w:val="baseline"/>
        </w:rPr>
        <w:t>.</w:t>
      </w:r>
    </w:p>
    <w:p>
      <w:pPr>
        <w:spacing w:after="0" w:line="228" w:lineRule="auto"/>
        <w:jc w:val="left"/>
        <w:rPr>
          <w:sz w:val="22"/>
        </w:rPr>
        <w:sectPr>
          <w:pgSz w:w="12240" w:h="15840"/>
          <w:pgMar w:header="0" w:footer="666" w:top="380" w:bottom="860" w:left="600" w:right="0"/>
        </w:sectPr>
      </w:pPr>
    </w:p>
    <w:p>
      <w:pPr>
        <w:pStyle w:val="BodyText"/>
        <w:rPr>
          <w:sz w:val="20"/>
        </w:rPr>
      </w:pPr>
    </w:p>
    <w:p>
      <w:pPr>
        <w:pStyle w:val="BodyText"/>
        <w:rPr>
          <w:sz w:val="18"/>
        </w:rPr>
      </w:pPr>
    </w:p>
    <w:p>
      <w:pPr>
        <w:pStyle w:val="Heading1"/>
      </w:pPr>
      <w:bookmarkStart w:name="Appendix 1: Acknowledgments" w:id="39"/>
      <w:bookmarkEnd w:id="39"/>
      <w:r>
        <w:rPr/>
      </w:r>
      <w:r>
        <w:rPr>
          <w:color w:val="1C384B"/>
          <w:spacing w:val="-3"/>
        </w:rPr>
        <w:t>Appendix</w:t>
      </w:r>
      <w:r>
        <w:rPr>
          <w:color w:val="1C384B"/>
          <w:spacing w:val="-30"/>
        </w:rPr>
        <w:t> </w:t>
      </w:r>
      <w:r>
        <w:rPr>
          <w:color w:val="1C384B"/>
          <w:spacing w:val="-3"/>
        </w:rPr>
        <w:t>1:</w:t>
      </w:r>
      <w:r>
        <w:rPr>
          <w:color w:val="1C384B"/>
          <w:spacing w:val="-29"/>
        </w:rPr>
        <w:t> </w:t>
      </w:r>
      <w:r>
        <w:rPr>
          <w:color w:val="1C384B"/>
          <w:spacing w:val="-2"/>
        </w:rPr>
        <w:t>Acknowledgments</w:t>
      </w:r>
    </w:p>
    <w:p>
      <w:pPr>
        <w:pStyle w:val="BodyText"/>
        <w:spacing w:before="10"/>
        <w:rPr>
          <w:rFonts w:ascii="Arial Black"/>
          <w:sz w:val="57"/>
        </w:rPr>
      </w:pPr>
    </w:p>
    <w:p>
      <w:pPr>
        <w:pStyle w:val="BodyText"/>
        <w:spacing w:line="266" w:lineRule="auto"/>
        <w:ind w:left="120" w:right="1017"/>
      </w:pPr>
      <w:r>
        <w:rPr>
          <w:color w:val="231F20"/>
          <w:spacing w:val="-1"/>
        </w:rPr>
        <w:t>This publication was developed with significant contributions from Jan Lindsay, PhD </w:t>
      </w:r>
      <w:r>
        <w:rPr>
          <w:color w:val="231F20"/>
        </w:rPr>
        <w:t>and Alexis Marbach, MPH, PMP.</w:t>
      </w:r>
      <w:r>
        <w:rPr>
          <w:color w:val="231F20"/>
          <w:spacing w:val="-52"/>
        </w:rPr>
        <w:t> </w:t>
      </w:r>
      <w:r>
        <w:rPr>
          <w:color w:val="231F20"/>
          <w:w w:val="95"/>
        </w:rPr>
        <w:t>The</w:t>
      </w:r>
      <w:r>
        <w:rPr>
          <w:color w:val="231F20"/>
          <w:spacing w:val="27"/>
          <w:w w:val="95"/>
        </w:rPr>
        <w:t> </w:t>
      </w:r>
      <w:r>
        <w:rPr>
          <w:color w:val="231F20"/>
          <w:w w:val="95"/>
        </w:rPr>
        <w:t>guide</w:t>
      </w:r>
      <w:r>
        <w:rPr>
          <w:color w:val="231F20"/>
          <w:spacing w:val="27"/>
          <w:w w:val="95"/>
        </w:rPr>
        <w:t> </w:t>
      </w:r>
      <w:r>
        <w:rPr>
          <w:color w:val="231F20"/>
          <w:w w:val="95"/>
        </w:rPr>
        <w:t>is</w:t>
      </w:r>
      <w:r>
        <w:rPr>
          <w:color w:val="231F20"/>
          <w:spacing w:val="27"/>
          <w:w w:val="95"/>
        </w:rPr>
        <w:t> </w:t>
      </w:r>
      <w:r>
        <w:rPr>
          <w:color w:val="231F20"/>
          <w:w w:val="95"/>
        </w:rPr>
        <w:t>based</w:t>
      </w:r>
      <w:r>
        <w:rPr>
          <w:color w:val="231F20"/>
          <w:spacing w:val="27"/>
          <w:w w:val="95"/>
        </w:rPr>
        <w:t> </w:t>
      </w:r>
      <w:r>
        <w:rPr>
          <w:color w:val="231F20"/>
          <w:w w:val="95"/>
        </w:rPr>
        <w:t>on</w:t>
      </w:r>
      <w:r>
        <w:rPr>
          <w:color w:val="231F20"/>
          <w:spacing w:val="28"/>
          <w:w w:val="95"/>
        </w:rPr>
        <w:t> </w:t>
      </w:r>
      <w:r>
        <w:rPr>
          <w:color w:val="231F20"/>
          <w:w w:val="95"/>
        </w:rPr>
        <w:t>the</w:t>
      </w:r>
      <w:r>
        <w:rPr>
          <w:color w:val="231F20"/>
          <w:spacing w:val="27"/>
          <w:w w:val="95"/>
        </w:rPr>
        <w:t> </w:t>
      </w:r>
      <w:r>
        <w:rPr>
          <w:color w:val="231F20"/>
          <w:w w:val="95"/>
        </w:rPr>
        <w:t>thoughtful</w:t>
      </w:r>
      <w:r>
        <w:rPr>
          <w:color w:val="231F20"/>
          <w:spacing w:val="27"/>
          <w:w w:val="95"/>
        </w:rPr>
        <w:t> </w:t>
      </w:r>
      <w:r>
        <w:rPr>
          <w:color w:val="231F20"/>
          <w:w w:val="95"/>
        </w:rPr>
        <w:t>input</w:t>
      </w:r>
      <w:r>
        <w:rPr>
          <w:color w:val="231F20"/>
          <w:spacing w:val="27"/>
          <w:w w:val="95"/>
        </w:rPr>
        <w:t> </w:t>
      </w:r>
      <w:r>
        <w:rPr>
          <w:color w:val="231F20"/>
          <w:w w:val="95"/>
        </w:rPr>
        <w:t>of</w:t>
      </w:r>
      <w:r>
        <w:rPr>
          <w:color w:val="231F20"/>
          <w:spacing w:val="28"/>
          <w:w w:val="95"/>
        </w:rPr>
        <w:t> </w:t>
      </w:r>
      <w:r>
        <w:rPr>
          <w:color w:val="231F20"/>
          <w:w w:val="95"/>
        </w:rPr>
        <w:t>SAMHSA</w:t>
      </w:r>
      <w:r>
        <w:rPr>
          <w:color w:val="231F20"/>
          <w:spacing w:val="9"/>
          <w:w w:val="95"/>
        </w:rPr>
        <w:t> </w:t>
      </w:r>
      <w:r>
        <w:rPr>
          <w:color w:val="231F20"/>
          <w:w w:val="95"/>
        </w:rPr>
        <w:t>staff</w:t>
      </w:r>
      <w:r>
        <w:rPr>
          <w:color w:val="231F20"/>
          <w:spacing w:val="26"/>
          <w:w w:val="95"/>
        </w:rPr>
        <w:t> </w:t>
      </w:r>
      <w:r>
        <w:rPr>
          <w:color w:val="231F20"/>
          <w:w w:val="95"/>
        </w:rPr>
        <w:t>and</w:t>
      </w:r>
      <w:r>
        <w:rPr>
          <w:color w:val="231F20"/>
          <w:spacing w:val="28"/>
          <w:w w:val="95"/>
        </w:rPr>
        <w:t> </w:t>
      </w:r>
      <w:r>
        <w:rPr>
          <w:color w:val="231F20"/>
          <w:w w:val="95"/>
        </w:rPr>
        <w:t>the</w:t>
      </w:r>
      <w:r>
        <w:rPr>
          <w:color w:val="231F20"/>
          <w:spacing w:val="27"/>
          <w:w w:val="95"/>
        </w:rPr>
        <w:t> </w:t>
      </w:r>
      <w:r>
        <w:rPr>
          <w:color w:val="231F20"/>
          <w:w w:val="95"/>
        </w:rPr>
        <w:t>Expert</w:t>
      </w:r>
      <w:r>
        <w:rPr>
          <w:color w:val="231F20"/>
          <w:spacing w:val="27"/>
          <w:w w:val="95"/>
        </w:rPr>
        <w:t> </w:t>
      </w:r>
      <w:r>
        <w:rPr>
          <w:color w:val="231F20"/>
          <w:w w:val="95"/>
        </w:rPr>
        <w:t>Panel</w:t>
      </w:r>
      <w:r>
        <w:rPr>
          <w:color w:val="231F20"/>
          <w:spacing w:val="26"/>
          <w:w w:val="95"/>
        </w:rPr>
        <w:t> </w:t>
      </w:r>
      <w:r>
        <w:rPr>
          <w:color w:val="231F20"/>
          <w:w w:val="95"/>
        </w:rPr>
        <w:t>on</w:t>
      </w:r>
      <w:r>
        <w:rPr>
          <w:color w:val="231F20"/>
          <w:spacing w:val="27"/>
          <w:w w:val="95"/>
        </w:rPr>
        <w:t> </w:t>
      </w:r>
      <w:r>
        <w:rPr>
          <w:color w:val="231F20"/>
          <w:w w:val="95"/>
        </w:rPr>
        <w:t>the</w:t>
      </w:r>
      <w:r>
        <w:rPr>
          <w:color w:val="231F20"/>
          <w:spacing w:val="27"/>
          <w:w w:val="95"/>
        </w:rPr>
        <w:t> </w:t>
      </w:r>
      <w:r>
        <w:rPr>
          <w:color w:val="231F20"/>
          <w:w w:val="95"/>
        </w:rPr>
        <w:t>use</w:t>
      </w:r>
      <w:r>
        <w:rPr>
          <w:color w:val="231F20"/>
          <w:spacing w:val="28"/>
          <w:w w:val="95"/>
        </w:rPr>
        <w:t> </w:t>
      </w:r>
      <w:r>
        <w:rPr>
          <w:color w:val="231F20"/>
          <w:w w:val="95"/>
        </w:rPr>
        <w:t>of</w:t>
      </w:r>
      <w:r>
        <w:rPr>
          <w:color w:val="231F20"/>
          <w:spacing w:val="27"/>
          <w:w w:val="95"/>
        </w:rPr>
        <w:t> </w:t>
      </w:r>
      <w:r>
        <w:rPr>
          <w:color w:val="231F20"/>
          <w:w w:val="95"/>
        </w:rPr>
        <w:t>telehealth</w:t>
      </w:r>
      <w:r>
        <w:rPr>
          <w:color w:val="231F20"/>
          <w:spacing w:val="27"/>
          <w:w w:val="95"/>
        </w:rPr>
        <w:t> </w:t>
      </w:r>
      <w:r>
        <w:rPr>
          <w:color w:val="231F20"/>
          <w:w w:val="95"/>
        </w:rPr>
        <w:t>modalities</w:t>
      </w:r>
      <w:r>
        <w:rPr>
          <w:color w:val="231F20"/>
          <w:spacing w:val="1"/>
          <w:w w:val="95"/>
        </w:rPr>
        <w:t> </w:t>
      </w:r>
      <w:r>
        <w:rPr>
          <w:color w:val="231F20"/>
          <w:spacing w:val="-1"/>
        </w:rPr>
        <w:t>to treat </w:t>
      </w:r>
      <w:r>
        <w:rPr>
          <w:color w:val="231F20"/>
        </w:rPr>
        <w:t>serious mental illness and substance use disorder from October 2020 through April 2021. A series of guide</w:t>
      </w:r>
      <w:r>
        <w:rPr>
          <w:color w:val="231F20"/>
          <w:spacing w:val="1"/>
        </w:rPr>
        <w:t> </w:t>
      </w:r>
      <w:r>
        <w:rPr>
          <w:color w:val="231F20"/>
        </w:rPr>
        <w:t>development meetings was held virtually over a period of several months. Three expert panel meetings were convened</w:t>
      </w:r>
      <w:r>
        <w:rPr>
          <w:color w:val="231F20"/>
          <w:spacing w:val="1"/>
        </w:rPr>
        <w:t> </w:t>
      </w:r>
      <w:r>
        <w:rPr>
          <w:color w:val="231F20"/>
        </w:rPr>
        <w:t>during this time.</w:t>
      </w:r>
    </w:p>
    <w:p>
      <w:pPr>
        <w:pStyle w:val="BodyText"/>
        <w:spacing w:before="1"/>
        <w:rPr>
          <w:sz w:val="15"/>
        </w:rPr>
      </w:pPr>
    </w:p>
    <w:p>
      <w:pPr>
        <w:spacing w:after="0"/>
        <w:rPr>
          <w:sz w:val="15"/>
        </w:rPr>
        <w:sectPr>
          <w:headerReference w:type="default" r:id="rId371"/>
          <w:footerReference w:type="default" r:id="rId372"/>
          <w:pgSz w:w="12240" w:h="15840"/>
          <w:pgMar w:header="0" w:footer="666" w:top="380" w:bottom="860" w:left="600" w:right="0"/>
        </w:sectPr>
      </w:pPr>
    </w:p>
    <w:p>
      <w:pPr>
        <w:pStyle w:val="Heading5"/>
        <w:spacing w:before="100"/>
      </w:pPr>
      <w:r>
        <w:rPr/>
        <w:pict>
          <v:rect style="position:absolute;margin-left:0pt;margin-top:94.330101pt;width:612pt;height:1pt;mso-position-horizontal-relative:page;mso-position-vertical-relative:page;z-index:-17859584" id="docshape209" filled="true" fillcolor="#ce372e" stroked="false">
            <v:fill type="solid"/>
            <w10:wrap type="none"/>
          </v:rect>
        </w:pict>
      </w:r>
      <w:r>
        <w:rPr>
          <w:color w:val="CE384B"/>
        </w:rPr>
        <w:t>SAMHSA</w:t>
      </w:r>
      <w:r>
        <w:rPr>
          <w:color w:val="CE384B"/>
          <w:spacing w:val="-12"/>
        </w:rPr>
        <w:t> </w:t>
      </w:r>
      <w:r>
        <w:rPr>
          <w:color w:val="CE384B"/>
        </w:rPr>
        <w:t>Staff</w:t>
      </w:r>
    </w:p>
    <w:p>
      <w:pPr>
        <w:spacing w:line="266" w:lineRule="auto" w:before="118"/>
        <w:ind w:left="120" w:right="558" w:firstLine="0"/>
        <w:jc w:val="left"/>
        <w:rPr>
          <w:sz w:val="22"/>
        </w:rPr>
      </w:pPr>
      <w:r>
        <w:rPr>
          <w:b/>
          <w:color w:val="231F20"/>
          <w:sz w:val="22"/>
        </w:rPr>
        <w:t>Robert Baillieu, MD, MPH</w:t>
      </w:r>
      <w:r>
        <w:rPr>
          <w:color w:val="231F20"/>
          <w:sz w:val="22"/>
        </w:rPr>
        <w:t>, Center for Substance</w:t>
      </w:r>
      <w:r>
        <w:rPr>
          <w:color w:val="231F20"/>
          <w:spacing w:val="-53"/>
          <w:sz w:val="22"/>
        </w:rPr>
        <w:t> </w:t>
      </w:r>
      <w:r>
        <w:rPr>
          <w:color w:val="231F20"/>
          <w:sz w:val="22"/>
        </w:rPr>
        <w:t>Abuse</w:t>
      </w:r>
      <w:r>
        <w:rPr>
          <w:color w:val="231F20"/>
          <w:spacing w:val="-5"/>
          <w:sz w:val="22"/>
        </w:rPr>
        <w:t> </w:t>
      </w:r>
      <w:r>
        <w:rPr>
          <w:color w:val="231F20"/>
          <w:sz w:val="22"/>
        </w:rPr>
        <w:t>Treatment*</w:t>
      </w:r>
    </w:p>
    <w:p>
      <w:pPr>
        <w:spacing w:line="266" w:lineRule="auto" w:before="178"/>
        <w:ind w:left="120" w:right="824" w:firstLine="0"/>
        <w:jc w:val="left"/>
        <w:rPr>
          <w:sz w:val="22"/>
        </w:rPr>
      </w:pPr>
      <w:r>
        <w:rPr>
          <w:b/>
          <w:color w:val="231F20"/>
          <w:sz w:val="22"/>
        </w:rPr>
        <w:t>Christine</w:t>
      </w:r>
      <w:r>
        <w:rPr>
          <w:b/>
          <w:color w:val="231F20"/>
          <w:spacing w:val="-4"/>
          <w:sz w:val="22"/>
        </w:rPr>
        <w:t> </w:t>
      </w:r>
      <w:r>
        <w:rPr>
          <w:b/>
          <w:color w:val="231F20"/>
          <w:sz w:val="22"/>
        </w:rPr>
        <w:t>Cichetti</w:t>
      </w:r>
      <w:r>
        <w:rPr>
          <w:color w:val="231F20"/>
          <w:sz w:val="22"/>
        </w:rPr>
        <w:t>,</w:t>
      </w:r>
      <w:r>
        <w:rPr>
          <w:color w:val="231F20"/>
          <w:spacing w:val="-3"/>
          <w:sz w:val="22"/>
        </w:rPr>
        <w:t> </w:t>
      </w:r>
      <w:r>
        <w:rPr>
          <w:color w:val="231F20"/>
          <w:sz w:val="22"/>
        </w:rPr>
        <w:t>National</w:t>
      </w:r>
      <w:r>
        <w:rPr>
          <w:color w:val="231F20"/>
          <w:spacing w:val="-3"/>
          <w:sz w:val="22"/>
        </w:rPr>
        <w:t> </w:t>
      </w:r>
      <w:r>
        <w:rPr>
          <w:color w:val="231F20"/>
          <w:sz w:val="22"/>
        </w:rPr>
        <w:t>Mental</w:t>
      </w:r>
      <w:r>
        <w:rPr>
          <w:color w:val="231F20"/>
          <w:spacing w:val="-3"/>
          <w:sz w:val="22"/>
        </w:rPr>
        <w:t> </w:t>
      </w:r>
      <w:r>
        <w:rPr>
          <w:color w:val="231F20"/>
          <w:sz w:val="22"/>
        </w:rPr>
        <w:t>Health</w:t>
      </w:r>
      <w:r>
        <w:rPr>
          <w:color w:val="231F20"/>
          <w:spacing w:val="-3"/>
          <w:sz w:val="22"/>
        </w:rPr>
        <w:t> </w:t>
      </w:r>
      <w:r>
        <w:rPr>
          <w:color w:val="231F20"/>
          <w:sz w:val="22"/>
        </w:rPr>
        <w:t>and</w:t>
      </w:r>
      <w:r>
        <w:rPr>
          <w:color w:val="231F20"/>
          <w:spacing w:val="-52"/>
          <w:sz w:val="22"/>
        </w:rPr>
        <w:t> </w:t>
      </w:r>
      <w:r>
        <w:rPr>
          <w:color w:val="231F20"/>
          <w:sz w:val="22"/>
        </w:rPr>
        <w:t>Substance Use Policy Laboratory</w:t>
      </w:r>
    </w:p>
    <w:p>
      <w:pPr>
        <w:spacing w:line="266" w:lineRule="auto" w:before="179"/>
        <w:ind w:left="120" w:right="503" w:firstLine="0"/>
        <w:jc w:val="left"/>
        <w:rPr>
          <w:sz w:val="22"/>
        </w:rPr>
      </w:pPr>
      <w:r>
        <w:rPr>
          <w:b/>
          <w:color w:val="231F20"/>
          <w:sz w:val="22"/>
        </w:rPr>
        <w:t>Thomas Clarke, PhD</w:t>
      </w:r>
      <w:r>
        <w:rPr>
          <w:color w:val="231F20"/>
          <w:sz w:val="22"/>
        </w:rPr>
        <w:t>, National Mental Health and</w:t>
      </w:r>
      <w:r>
        <w:rPr>
          <w:color w:val="231F20"/>
          <w:spacing w:val="-53"/>
          <w:sz w:val="22"/>
        </w:rPr>
        <w:t> </w:t>
      </w:r>
      <w:r>
        <w:rPr>
          <w:color w:val="231F20"/>
          <w:sz w:val="22"/>
        </w:rPr>
        <w:t>Substance Use Policy Laboratory</w:t>
      </w:r>
    </w:p>
    <w:p>
      <w:pPr>
        <w:spacing w:line="266" w:lineRule="auto" w:before="178"/>
        <w:ind w:left="120" w:right="623" w:firstLine="0"/>
        <w:jc w:val="left"/>
        <w:rPr>
          <w:sz w:val="22"/>
        </w:rPr>
      </w:pPr>
      <w:r>
        <w:rPr>
          <w:b/>
          <w:color w:val="231F20"/>
          <w:sz w:val="22"/>
        </w:rPr>
        <w:t>Steven</w:t>
      </w:r>
      <w:r>
        <w:rPr>
          <w:b/>
          <w:color w:val="231F20"/>
          <w:spacing w:val="-7"/>
          <w:sz w:val="22"/>
        </w:rPr>
        <w:t> </w:t>
      </w:r>
      <w:r>
        <w:rPr>
          <w:b/>
          <w:color w:val="231F20"/>
          <w:sz w:val="22"/>
        </w:rPr>
        <w:t>Dettwyler,</w:t>
      </w:r>
      <w:r>
        <w:rPr>
          <w:b/>
          <w:color w:val="231F20"/>
          <w:spacing w:val="-5"/>
          <w:sz w:val="22"/>
        </w:rPr>
        <w:t> </w:t>
      </w:r>
      <w:r>
        <w:rPr>
          <w:b/>
          <w:color w:val="231F20"/>
          <w:sz w:val="22"/>
        </w:rPr>
        <w:t>PhD</w:t>
      </w:r>
      <w:r>
        <w:rPr>
          <w:color w:val="231F20"/>
          <w:sz w:val="22"/>
        </w:rPr>
        <w:t>,</w:t>
      </w:r>
      <w:r>
        <w:rPr>
          <w:color w:val="231F20"/>
          <w:spacing w:val="-6"/>
          <w:sz w:val="22"/>
        </w:rPr>
        <w:t> </w:t>
      </w:r>
      <w:r>
        <w:rPr>
          <w:color w:val="231F20"/>
          <w:sz w:val="22"/>
        </w:rPr>
        <w:t>Center</w:t>
      </w:r>
      <w:r>
        <w:rPr>
          <w:color w:val="231F20"/>
          <w:spacing w:val="-5"/>
          <w:sz w:val="22"/>
        </w:rPr>
        <w:t> </w:t>
      </w:r>
      <w:r>
        <w:rPr>
          <w:color w:val="231F20"/>
          <w:sz w:val="22"/>
        </w:rPr>
        <w:t>for</w:t>
      </w:r>
      <w:r>
        <w:rPr>
          <w:color w:val="231F20"/>
          <w:spacing w:val="-5"/>
          <w:sz w:val="22"/>
        </w:rPr>
        <w:t> </w:t>
      </w:r>
      <w:r>
        <w:rPr>
          <w:color w:val="231F20"/>
          <w:sz w:val="22"/>
        </w:rPr>
        <w:t>Mental</w:t>
      </w:r>
      <w:r>
        <w:rPr>
          <w:color w:val="231F20"/>
          <w:spacing w:val="-6"/>
          <w:sz w:val="22"/>
        </w:rPr>
        <w:t> </w:t>
      </w:r>
      <w:r>
        <w:rPr>
          <w:color w:val="231F20"/>
          <w:sz w:val="22"/>
        </w:rPr>
        <w:t>Health</w:t>
      </w:r>
      <w:r>
        <w:rPr>
          <w:color w:val="231F20"/>
          <w:spacing w:val="-52"/>
          <w:sz w:val="22"/>
        </w:rPr>
        <w:t> </w:t>
      </w:r>
      <w:r>
        <w:rPr>
          <w:color w:val="231F20"/>
          <w:sz w:val="22"/>
        </w:rPr>
        <w:t>Services*</w:t>
      </w:r>
    </w:p>
    <w:p>
      <w:pPr>
        <w:spacing w:line="266" w:lineRule="auto" w:before="178"/>
        <w:ind w:left="120" w:right="263" w:firstLine="0"/>
        <w:jc w:val="left"/>
        <w:rPr>
          <w:sz w:val="22"/>
        </w:rPr>
      </w:pPr>
      <w:r>
        <w:rPr>
          <w:b/>
          <w:color w:val="231F20"/>
          <w:sz w:val="22"/>
        </w:rPr>
        <w:t>Amanda</w:t>
      </w:r>
      <w:r>
        <w:rPr>
          <w:b/>
          <w:color w:val="231F20"/>
          <w:spacing w:val="-6"/>
          <w:sz w:val="22"/>
        </w:rPr>
        <w:t> </w:t>
      </w:r>
      <w:r>
        <w:rPr>
          <w:b/>
          <w:color w:val="231F20"/>
          <w:sz w:val="22"/>
        </w:rPr>
        <w:t>Doreson,</w:t>
      </w:r>
      <w:r>
        <w:rPr>
          <w:b/>
          <w:color w:val="231F20"/>
          <w:spacing w:val="-5"/>
          <w:sz w:val="22"/>
        </w:rPr>
        <w:t> </w:t>
      </w:r>
      <w:r>
        <w:rPr>
          <w:b/>
          <w:color w:val="231F20"/>
          <w:sz w:val="22"/>
        </w:rPr>
        <w:t>MPA</w:t>
      </w:r>
      <w:r>
        <w:rPr>
          <w:color w:val="231F20"/>
          <w:sz w:val="22"/>
        </w:rPr>
        <w:t>,</w:t>
      </w:r>
      <w:r>
        <w:rPr>
          <w:color w:val="231F20"/>
          <w:spacing w:val="-4"/>
          <w:sz w:val="22"/>
        </w:rPr>
        <w:t> </w:t>
      </w:r>
      <w:r>
        <w:rPr>
          <w:color w:val="231F20"/>
          <w:sz w:val="22"/>
        </w:rPr>
        <w:t>National</w:t>
      </w:r>
      <w:r>
        <w:rPr>
          <w:color w:val="231F20"/>
          <w:spacing w:val="-5"/>
          <w:sz w:val="22"/>
        </w:rPr>
        <w:t> </w:t>
      </w:r>
      <w:r>
        <w:rPr>
          <w:color w:val="231F20"/>
          <w:sz w:val="22"/>
        </w:rPr>
        <w:t>Mental</w:t>
      </w:r>
      <w:r>
        <w:rPr>
          <w:color w:val="231F20"/>
          <w:spacing w:val="-5"/>
          <w:sz w:val="22"/>
        </w:rPr>
        <w:t> </w:t>
      </w:r>
      <w:r>
        <w:rPr>
          <w:color w:val="231F20"/>
          <w:sz w:val="22"/>
        </w:rPr>
        <w:t>Health</w:t>
      </w:r>
      <w:r>
        <w:rPr>
          <w:color w:val="231F20"/>
          <w:spacing w:val="-4"/>
          <w:sz w:val="22"/>
        </w:rPr>
        <w:t> </w:t>
      </w:r>
      <w:r>
        <w:rPr>
          <w:color w:val="231F20"/>
          <w:sz w:val="22"/>
        </w:rPr>
        <w:t>and</w:t>
      </w:r>
      <w:r>
        <w:rPr>
          <w:color w:val="231F20"/>
          <w:spacing w:val="-52"/>
          <w:sz w:val="22"/>
        </w:rPr>
        <w:t> </w:t>
      </w:r>
      <w:r>
        <w:rPr>
          <w:color w:val="231F20"/>
          <w:sz w:val="22"/>
        </w:rPr>
        <w:t>Substance Use Policy Laboratory*</w:t>
      </w:r>
    </w:p>
    <w:p>
      <w:pPr>
        <w:spacing w:line="266" w:lineRule="auto" w:before="179"/>
        <w:ind w:left="120" w:right="106" w:firstLine="0"/>
        <w:jc w:val="left"/>
        <w:rPr>
          <w:sz w:val="22"/>
        </w:rPr>
      </w:pPr>
      <w:r>
        <w:rPr>
          <w:b/>
          <w:color w:val="231F20"/>
          <w:sz w:val="22"/>
        </w:rPr>
        <w:t>Tanya</w:t>
      </w:r>
      <w:r>
        <w:rPr>
          <w:b/>
          <w:color w:val="231F20"/>
          <w:spacing w:val="-8"/>
          <w:sz w:val="22"/>
        </w:rPr>
        <w:t> </w:t>
      </w:r>
      <w:r>
        <w:rPr>
          <w:b/>
          <w:color w:val="231F20"/>
          <w:sz w:val="22"/>
        </w:rPr>
        <w:t>Geiger,</w:t>
      </w:r>
      <w:r>
        <w:rPr>
          <w:b/>
          <w:color w:val="231F20"/>
          <w:spacing w:val="-8"/>
          <w:sz w:val="22"/>
        </w:rPr>
        <w:t> </w:t>
      </w:r>
      <w:r>
        <w:rPr>
          <w:b/>
          <w:color w:val="231F20"/>
          <w:sz w:val="22"/>
        </w:rPr>
        <w:t>PhD,</w:t>
      </w:r>
      <w:r>
        <w:rPr>
          <w:b/>
          <w:color w:val="231F20"/>
          <w:spacing w:val="-8"/>
          <w:sz w:val="22"/>
        </w:rPr>
        <w:t> </w:t>
      </w:r>
      <w:r>
        <w:rPr>
          <w:b/>
          <w:color w:val="231F20"/>
          <w:sz w:val="22"/>
        </w:rPr>
        <w:t>MPH</w:t>
      </w:r>
      <w:r>
        <w:rPr>
          <w:color w:val="231F20"/>
          <w:sz w:val="22"/>
        </w:rPr>
        <w:t>,</w:t>
      </w:r>
      <w:r>
        <w:rPr>
          <w:color w:val="231F20"/>
          <w:spacing w:val="-8"/>
          <w:sz w:val="22"/>
        </w:rPr>
        <w:t> </w:t>
      </w:r>
      <w:r>
        <w:rPr>
          <w:color w:val="231F20"/>
          <w:sz w:val="22"/>
        </w:rPr>
        <w:t>National</w:t>
      </w:r>
      <w:r>
        <w:rPr>
          <w:color w:val="231F20"/>
          <w:spacing w:val="-8"/>
          <w:sz w:val="22"/>
        </w:rPr>
        <w:t> </w:t>
      </w:r>
      <w:r>
        <w:rPr>
          <w:color w:val="231F20"/>
          <w:sz w:val="22"/>
        </w:rPr>
        <w:t>Mental</w:t>
      </w:r>
      <w:r>
        <w:rPr>
          <w:color w:val="231F20"/>
          <w:spacing w:val="-8"/>
          <w:sz w:val="22"/>
        </w:rPr>
        <w:t> </w:t>
      </w:r>
      <w:r>
        <w:rPr>
          <w:color w:val="231F20"/>
          <w:sz w:val="22"/>
        </w:rPr>
        <w:t>Health</w:t>
      </w:r>
      <w:r>
        <w:rPr>
          <w:color w:val="231F20"/>
          <w:spacing w:val="-7"/>
          <w:sz w:val="22"/>
        </w:rPr>
        <w:t> </w:t>
      </w:r>
      <w:r>
        <w:rPr>
          <w:color w:val="231F20"/>
          <w:sz w:val="22"/>
        </w:rPr>
        <w:t>and</w:t>
      </w:r>
      <w:r>
        <w:rPr>
          <w:color w:val="231F20"/>
          <w:spacing w:val="-52"/>
          <w:sz w:val="22"/>
        </w:rPr>
        <w:t> </w:t>
      </w:r>
      <w:r>
        <w:rPr>
          <w:color w:val="231F20"/>
          <w:sz w:val="22"/>
        </w:rPr>
        <w:t>Substance Use Policy Laboratory*</w:t>
      </w:r>
    </w:p>
    <w:p>
      <w:pPr>
        <w:spacing w:line="266" w:lineRule="auto" w:before="178"/>
        <w:ind w:left="120" w:right="37" w:firstLine="0"/>
        <w:jc w:val="left"/>
        <w:rPr>
          <w:sz w:val="22"/>
        </w:rPr>
      </w:pPr>
      <w:r>
        <w:rPr>
          <w:b/>
          <w:color w:val="231F20"/>
          <w:sz w:val="22"/>
        </w:rPr>
        <w:t>Donelle</w:t>
      </w:r>
      <w:r>
        <w:rPr>
          <w:b/>
          <w:color w:val="231F20"/>
          <w:spacing w:val="-4"/>
          <w:sz w:val="22"/>
        </w:rPr>
        <w:t> </w:t>
      </w:r>
      <w:r>
        <w:rPr>
          <w:b/>
          <w:color w:val="231F20"/>
          <w:sz w:val="22"/>
        </w:rPr>
        <w:t>Johnson,</w:t>
      </w:r>
      <w:r>
        <w:rPr>
          <w:b/>
          <w:color w:val="231F20"/>
          <w:spacing w:val="-3"/>
          <w:sz w:val="22"/>
        </w:rPr>
        <w:t> </w:t>
      </w:r>
      <w:r>
        <w:rPr>
          <w:b/>
          <w:color w:val="231F20"/>
          <w:sz w:val="22"/>
        </w:rPr>
        <w:t>PhD,</w:t>
      </w:r>
      <w:r>
        <w:rPr>
          <w:b/>
          <w:color w:val="231F20"/>
          <w:spacing w:val="-3"/>
          <w:sz w:val="22"/>
        </w:rPr>
        <w:t> </w:t>
      </w:r>
      <w:r>
        <w:rPr>
          <w:b/>
          <w:color w:val="231F20"/>
          <w:sz w:val="22"/>
        </w:rPr>
        <w:t>MHSA</w:t>
      </w:r>
      <w:r>
        <w:rPr>
          <w:color w:val="231F20"/>
          <w:sz w:val="22"/>
        </w:rPr>
        <w:t>,</w:t>
      </w:r>
      <w:r>
        <w:rPr>
          <w:color w:val="231F20"/>
          <w:spacing w:val="-2"/>
          <w:sz w:val="22"/>
        </w:rPr>
        <w:t> </w:t>
      </w:r>
      <w:r>
        <w:rPr>
          <w:color w:val="231F20"/>
          <w:sz w:val="22"/>
        </w:rPr>
        <w:t>National</w:t>
      </w:r>
      <w:r>
        <w:rPr>
          <w:color w:val="231F20"/>
          <w:spacing w:val="-3"/>
          <w:sz w:val="22"/>
        </w:rPr>
        <w:t> </w:t>
      </w:r>
      <w:r>
        <w:rPr>
          <w:color w:val="231F20"/>
          <w:sz w:val="22"/>
        </w:rPr>
        <w:t>Mental</w:t>
      </w:r>
      <w:r>
        <w:rPr>
          <w:color w:val="231F20"/>
          <w:spacing w:val="-3"/>
          <w:sz w:val="22"/>
        </w:rPr>
        <w:t> </w:t>
      </w:r>
      <w:r>
        <w:rPr>
          <w:color w:val="231F20"/>
          <w:sz w:val="22"/>
        </w:rPr>
        <w:t>Health</w:t>
      </w:r>
      <w:r>
        <w:rPr>
          <w:color w:val="231F20"/>
          <w:spacing w:val="-52"/>
          <w:sz w:val="22"/>
        </w:rPr>
        <w:t> </w:t>
      </w:r>
      <w:r>
        <w:rPr>
          <w:color w:val="231F20"/>
          <w:sz w:val="22"/>
        </w:rPr>
        <w:t>and Substance Use Policy Laboratory*</w:t>
      </w:r>
    </w:p>
    <w:p>
      <w:pPr>
        <w:spacing w:line="266" w:lineRule="auto" w:before="179"/>
        <w:ind w:left="120" w:right="271" w:firstLine="0"/>
        <w:jc w:val="left"/>
        <w:rPr>
          <w:sz w:val="22"/>
        </w:rPr>
      </w:pPr>
      <w:r>
        <w:rPr>
          <w:b/>
          <w:color w:val="231F20"/>
          <w:sz w:val="22"/>
        </w:rPr>
        <w:t>John Palmieri, MD, MHA</w:t>
      </w:r>
      <w:r>
        <w:rPr>
          <w:color w:val="231F20"/>
          <w:sz w:val="22"/>
        </w:rPr>
        <w:t>, Center for Mental Health</w:t>
      </w:r>
      <w:r>
        <w:rPr>
          <w:color w:val="231F20"/>
          <w:spacing w:val="-53"/>
          <w:sz w:val="22"/>
        </w:rPr>
        <w:t> </w:t>
      </w:r>
      <w:r>
        <w:rPr>
          <w:color w:val="231F20"/>
          <w:sz w:val="22"/>
        </w:rPr>
        <w:t>Services*</w:t>
      </w:r>
    </w:p>
    <w:p>
      <w:pPr>
        <w:pStyle w:val="Heading5"/>
        <w:spacing w:before="177"/>
      </w:pPr>
      <w:r>
        <w:rPr>
          <w:color w:val="CE384B"/>
        </w:rPr>
        <w:t>Expert</w:t>
      </w:r>
      <w:r>
        <w:rPr>
          <w:color w:val="CE384B"/>
          <w:spacing w:val="-1"/>
        </w:rPr>
        <w:t> </w:t>
      </w:r>
      <w:r>
        <w:rPr>
          <w:color w:val="CE384B"/>
        </w:rPr>
        <w:t>Panel</w:t>
      </w:r>
    </w:p>
    <w:p>
      <w:pPr>
        <w:pStyle w:val="BodyText"/>
        <w:spacing w:line="266" w:lineRule="auto" w:before="118"/>
        <w:ind w:left="120" w:right="503"/>
      </w:pPr>
      <w:r>
        <w:rPr>
          <w:b/>
          <w:color w:val="231F20"/>
        </w:rPr>
        <w:t>Bart Andrews, PhD</w:t>
      </w:r>
      <w:r>
        <w:rPr>
          <w:color w:val="231F20"/>
        </w:rPr>
        <w:t>, Behavioral Health Response,</w:t>
      </w:r>
      <w:r>
        <w:rPr>
          <w:color w:val="231F20"/>
          <w:spacing w:val="1"/>
        </w:rPr>
        <w:t> </w:t>
      </w:r>
      <w:r>
        <w:rPr>
          <w:color w:val="231F20"/>
          <w:w w:val="95"/>
        </w:rPr>
        <w:t>Chief</w:t>
      </w:r>
      <w:r>
        <w:rPr>
          <w:color w:val="231F20"/>
          <w:spacing w:val="1"/>
          <w:w w:val="95"/>
        </w:rPr>
        <w:t> </w:t>
      </w:r>
      <w:r>
        <w:rPr>
          <w:color w:val="231F20"/>
          <w:w w:val="95"/>
        </w:rPr>
        <w:t>Clinical</w:t>
      </w:r>
      <w:r>
        <w:rPr>
          <w:color w:val="231F20"/>
          <w:spacing w:val="1"/>
          <w:w w:val="95"/>
        </w:rPr>
        <w:t> </w:t>
      </w:r>
      <w:r>
        <w:rPr>
          <w:color w:val="231F20"/>
          <w:w w:val="95"/>
        </w:rPr>
        <w:t>Officer/ZeroSuicide Academy,</w:t>
      </w:r>
      <w:r>
        <w:rPr>
          <w:color w:val="231F20"/>
          <w:spacing w:val="1"/>
          <w:w w:val="95"/>
        </w:rPr>
        <w:t> </w:t>
      </w:r>
      <w:r>
        <w:rPr>
          <w:color w:val="231F20"/>
          <w:w w:val="95"/>
        </w:rPr>
        <w:t>Faculty</w:t>
      </w:r>
      <w:r>
        <w:rPr>
          <w:color w:val="231F20"/>
          <w:spacing w:val="-50"/>
          <w:w w:val="95"/>
        </w:rPr>
        <w:t> </w:t>
      </w:r>
      <w:r>
        <w:rPr>
          <w:color w:val="231F20"/>
        </w:rPr>
        <w:t>Member</w:t>
      </w:r>
    </w:p>
    <w:p>
      <w:pPr>
        <w:spacing w:line="266" w:lineRule="auto" w:before="178"/>
        <w:ind w:left="120" w:right="444" w:firstLine="0"/>
        <w:jc w:val="left"/>
        <w:rPr>
          <w:sz w:val="22"/>
        </w:rPr>
      </w:pPr>
      <w:r>
        <w:rPr>
          <w:b/>
          <w:color w:val="231F20"/>
          <w:spacing w:val="-1"/>
          <w:sz w:val="22"/>
        </w:rPr>
        <w:t>Brian Hepburn, </w:t>
      </w:r>
      <w:r>
        <w:rPr>
          <w:b/>
          <w:color w:val="231F20"/>
          <w:sz w:val="22"/>
        </w:rPr>
        <w:t>MD</w:t>
      </w:r>
      <w:r>
        <w:rPr>
          <w:color w:val="231F20"/>
          <w:sz w:val="22"/>
        </w:rPr>
        <w:t>, National Association of State</w:t>
      </w:r>
      <w:r>
        <w:rPr>
          <w:color w:val="231F20"/>
          <w:spacing w:val="-52"/>
          <w:sz w:val="22"/>
        </w:rPr>
        <w:t> </w:t>
      </w:r>
      <w:r>
        <w:rPr>
          <w:color w:val="231F20"/>
          <w:sz w:val="22"/>
        </w:rPr>
        <w:t>Mental Health Program Directors</w:t>
      </w:r>
    </w:p>
    <w:p>
      <w:pPr>
        <w:pStyle w:val="BodyText"/>
        <w:spacing w:line="266" w:lineRule="auto" w:before="179"/>
        <w:ind w:left="120" w:right="546"/>
      </w:pPr>
      <w:r>
        <w:rPr>
          <w:b/>
          <w:color w:val="231F20"/>
        </w:rPr>
        <w:t>Mei Wa Kwong, JD</w:t>
      </w:r>
      <w:r>
        <w:rPr>
          <w:color w:val="231F20"/>
        </w:rPr>
        <w:t>, Center for Connected Health</w:t>
      </w:r>
      <w:r>
        <w:rPr>
          <w:color w:val="231F20"/>
          <w:spacing w:val="-52"/>
        </w:rPr>
        <w:t> </w:t>
      </w:r>
      <w:r>
        <w:rPr>
          <w:color w:val="231F20"/>
        </w:rPr>
        <w:t>Policy,</w:t>
      </w:r>
      <w:r>
        <w:rPr>
          <w:color w:val="231F20"/>
          <w:spacing w:val="-9"/>
        </w:rPr>
        <w:t> </w:t>
      </w:r>
      <w:r>
        <w:rPr>
          <w:color w:val="231F20"/>
        </w:rPr>
        <w:t>National</w:t>
      </w:r>
      <w:r>
        <w:rPr>
          <w:color w:val="231F20"/>
          <w:spacing w:val="-13"/>
        </w:rPr>
        <w:t> </w:t>
      </w:r>
      <w:r>
        <w:rPr>
          <w:color w:val="231F20"/>
        </w:rPr>
        <w:t>Telehealth</w:t>
      </w:r>
      <w:r>
        <w:rPr>
          <w:color w:val="231F20"/>
          <w:spacing w:val="-9"/>
        </w:rPr>
        <w:t> </w:t>
      </w:r>
      <w:r>
        <w:rPr>
          <w:color w:val="231F20"/>
        </w:rPr>
        <w:t>Policy</w:t>
      </w:r>
      <w:r>
        <w:rPr>
          <w:color w:val="231F20"/>
          <w:spacing w:val="-9"/>
        </w:rPr>
        <w:t> </w:t>
      </w:r>
      <w:r>
        <w:rPr>
          <w:color w:val="231F20"/>
        </w:rPr>
        <w:t>Resource</w:t>
      </w:r>
      <w:r>
        <w:rPr>
          <w:color w:val="231F20"/>
          <w:spacing w:val="-9"/>
        </w:rPr>
        <w:t> </w:t>
      </w:r>
      <w:r>
        <w:rPr>
          <w:color w:val="231F20"/>
        </w:rPr>
        <w:t>Center</w:t>
      </w:r>
    </w:p>
    <w:p>
      <w:pPr>
        <w:spacing w:before="178"/>
        <w:ind w:left="120" w:right="0" w:firstLine="0"/>
        <w:jc w:val="left"/>
        <w:rPr>
          <w:sz w:val="22"/>
        </w:rPr>
      </w:pPr>
      <w:r>
        <w:rPr>
          <w:b/>
          <w:color w:val="231F20"/>
          <w:sz w:val="22"/>
        </w:rPr>
        <w:t>Jan</w:t>
      </w:r>
      <w:r>
        <w:rPr>
          <w:b/>
          <w:color w:val="231F20"/>
          <w:spacing w:val="-2"/>
          <w:sz w:val="22"/>
        </w:rPr>
        <w:t> </w:t>
      </w:r>
      <w:r>
        <w:rPr>
          <w:b/>
          <w:color w:val="231F20"/>
          <w:sz w:val="22"/>
        </w:rPr>
        <w:t>Lindsay,</w:t>
      </w:r>
      <w:r>
        <w:rPr>
          <w:b/>
          <w:color w:val="231F20"/>
          <w:spacing w:val="-2"/>
          <w:sz w:val="22"/>
        </w:rPr>
        <w:t> </w:t>
      </w:r>
      <w:r>
        <w:rPr>
          <w:b/>
          <w:color w:val="231F20"/>
          <w:sz w:val="22"/>
        </w:rPr>
        <w:t>PhD</w:t>
      </w:r>
      <w:r>
        <w:rPr>
          <w:color w:val="231F20"/>
          <w:sz w:val="22"/>
        </w:rPr>
        <w:t>,</w:t>
      </w:r>
      <w:r>
        <w:rPr>
          <w:color w:val="231F20"/>
          <w:spacing w:val="-2"/>
          <w:sz w:val="22"/>
        </w:rPr>
        <w:t> </w:t>
      </w:r>
      <w:r>
        <w:rPr>
          <w:color w:val="231F20"/>
          <w:sz w:val="22"/>
        </w:rPr>
        <w:t>Baylor</w:t>
      </w:r>
      <w:r>
        <w:rPr>
          <w:color w:val="231F20"/>
          <w:spacing w:val="-2"/>
          <w:sz w:val="22"/>
        </w:rPr>
        <w:t> </w:t>
      </w:r>
      <w:r>
        <w:rPr>
          <w:color w:val="231F20"/>
          <w:sz w:val="22"/>
        </w:rPr>
        <w:t>College</w:t>
      </w:r>
      <w:r>
        <w:rPr>
          <w:color w:val="231F20"/>
          <w:spacing w:val="-1"/>
          <w:sz w:val="22"/>
        </w:rPr>
        <w:t> </w:t>
      </w:r>
      <w:r>
        <w:rPr>
          <w:color w:val="231F20"/>
          <w:sz w:val="22"/>
        </w:rPr>
        <w:t>of</w:t>
      </w:r>
      <w:r>
        <w:rPr>
          <w:color w:val="231F20"/>
          <w:spacing w:val="-2"/>
          <w:sz w:val="22"/>
        </w:rPr>
        <w:t> </w:t>
      </w:r>
      <w:r>
        <w:rPr>
          <w:color w:val="231F20"/>
          <w:sz w:val="22"/>
        </w:rPr>
        <w:t>Medicine*</w:t>
      </w:r>
    </w:p>
    <w:p>
      <w:pPr>
        <w:spacing w:before="207"/>
        <w:ind w:left="120" w:right="0" w:firstLine="0"/>
        <w:jc w:val="left"/>
        <w:rPr>
          <w:sz w:val="22"/>
        </w:rPr>
      </w:pPr>
      <w:r>
        <w:rPr>
          <w:b/>
          <w:color w:val="231F20"/>
          <w:sz w:val="22"/>
        </w:rPr>
        <w:t>Thomas</w:t>
      </w:r>
      <w:r>
        <w:rPr>
          <w:b/>
          <w:color w:val="231F20"/>
          <w:spacing w:val="-5"/>
          <w:sz w:val="22"/>
        </w:rPr>
        <w:t> </w:t>
      </w:r>
      <w:r>
        <w:rPr>
          <w:b/>
          <w:color w:val="231F20"/>
          <w:sz w:val="22"/>
        </w:rPr>
        <w:t>Milam,</w:t>
      </w:r>
      <w:r>
        <w:rPr>
          <w:b/>
          <w:color w:val="231F20"/>
          <w:spacing w:val="-5"/>
          <w:sz w:val="22"/>
        </w:rPr>
        <w:t> </w:t>
      </w:r>
      <w:r>
        <w:rPr>
          <w:b/>
          <w:color w:val="231F20"/>
          <w:sz w:val="22"/>
        </w:rPr>
        <w:t>MD,</w:t>
      </w:r>
      <w:r>
        <w:rPr>
          <w:b/>
          <w:color w:val="231F20"/>
          <w:spacing w:val="-5"/>
          <w:sz w:val="22"/>
        </w:rPr>
        <w:t> </w:t>
      </w:r>
      <w:r>
        <w:rPr>
          <w:b/>
          <w:color w:val="231F20"/>
          <w:sz w:val="22"/>
        </w:rPr>
        <w:t>MDiv</w:t>
      </w:r>
      <w:r>
        <w:rPr>
          <w:color w:val="231F20"/>
          <w:sz w:val="22"/>
        </w:rPr>
        <w:t>,</w:t>
      </w:r>
      <w:r>
        <w:rPr>
          <w:color w:val="231F20"/>
          <w:spacing w:val="-4"/>
          <w:sz w:val="22"/>
        </w:rPr>
        <w:t> </w:t>
      </w:r>
      <w:r>
        <w:rPr>
          <w:color w:val="231F20"/>
          <w:sz w:val="22"/>
        </w:rPr>
        <w:t>Iris</w:t>
      </w:r>
      <w:r>
        <w:rPr>
          <w:color w:val="231F20"/>
          <w:spacing w:val="-9"/>
          <w:sz w:val="22"/>
        </w:rPr>
        <w:t> </w:t>
      </w:r>
      <w:r>
        <w:rPr>
          <w:color w:val="231F20"/>
          <w:sz w:val="22"/>
        </w:rPr>
        <w:t>Telehealth,</w:t>
      </w:r>
      <w:r>
        <w:rPr>
          <w:color w:val="231F20"/>
          <w:spacing w:val="-9"/>
          <w:sz w:val="22"/>
        </w:rPr>
        <w:t> </w:t>
      </w:r>
      <w:r>
        <w:rPr>
          <w:color w:val="231F20"/>
          <w:sz w:val="22"/>
        </w:rPr>
        <w:t>Virginia</w:t>
      </w:r>
    </w:p>
    <w:p>
      <w:pPr>
        <w:pStyle w:val="BodyText"/>
        <w:spacing w:before="27"/>
        <w:ind w:left="120"/>
      </w:pPr>
      <w:r>
        <w:rPr>
          <w:color w:val="231F20"/>
        </w:rPr>
        <w:t>Tech</w:t>
      </w:r>
      <w:r>
        <w:rPr>
          <w:color w:val="231F20"/>
          <w:spacing w:val="-2"/>
        </w:rPr>
        <w:t> </w:t>
      </w:r>
      <w:r>
        <w:rPr>
          <w:color w:val="231F20"/>
        </w:rPr>
        <w:t>Carilion</w:t>
      </w:r>
      <w:r>
        <w:rPr>
          <w:color w:val="231F20"/>
          <w:spacing w:val="-2"/>
        </w:rPr>
        <w:t> </w:t>
      </w:r>
      <w:r>
        <w:rPr>
          <w:color w:val="231F20"/>
        </w:rPr>
        <w:t>School</w:t>
      </w:r>
      <w:r>
        <w:rPr>
          <w:color w:val="231F20"/>
          <w:spacing w:val="-2"/>
        </w:rPr>
        <w:t> </w:t>
      </w:r>
      <w:r>
        <w:rPr>
          <w:color w:val="231F20"/>
        </w:rPr>
        <w:t>of</w:t>
      </w:r>
      <w:r>
        <w:rPr>
          <w:color w:val="231F20"/>
          <w:spacing w:val="-2"/>
        </w:rPr>
        <w:t> </w:t>
      </w:r>
      <w:r>
        <w:rPr>
          <w:color w:val="231F20"/>
        </w:rPr>
        <w:t>Medicine</w:t>
      </w:r>
      <w:r>
        <w:rPr>
          <w:color w:val="231F20"/>
          <w:spacing w:val="-2"/>
        </w:rPr>
        <w:t> </w:t>
      </w:r>
      <w:r>
        <w:rPr>
          <w:color w:val="231F20"/>
        </w:rPr>
        <w:t>and</w:t>
      </w:r>
      <w:r>
        <w:rPr>
          <w:color w:val="231F20"/>
          <w:spacing w:val="-2"/>
        </w:rPr>
        <w:t> </w:t>
      </w:r>
      <w:r>
        <w:rPr>
          <w:color w:val="231F20"/>
        </w:rPr>
        <w:t>Research</w:t>
      </w:r>
      <w:r>
        <w:rPr>
          <w:color w:val="231F20"/>
          <w:spacing w:val="-2"/>
        </w:rPr>
        <w:t> </w:t>
      </w:r>
      <w:r>
        <w:rPr>
          <w:color w:val="231F20"/>
        </w:rPr>
        <w:t>Institute</w:t>
      </w:r>
    </w:p>
    <w:p>
      <w:pPr>
        <w:spacing w:before="90"/>
        <w:ind w:left="120" w:right="0" w:firstLine="0"/>
        <w:jc w:val="left"/>
        <w:rPr>
          <w:sz w:val="22"/>
        </w:rPr>
      </w:pPr>
      <w:r>
        <w:rPr/>
        <w:br w:type="column"/>
      </w:r>
      <w:r>
        <w:rPr>
          <w:b/>
          <w:color w:val="231F20"/>
          <w:sz w:val="22"/>
        </w:rPr>
        <w:t>Joe Parks, MD</w:t>
      </w:r>
      <w:r>
        <w:rPr>
          <w:color w:val="231F20"/>
          <w:sz w:val="22"/>
        </w:rPr>
        <w:t>, National Council for Behavioral Health</w:t>
      </w:r>
    </w:p>
    <w:p>
      <w:pPr>
        <w:spacing w:before="207"/>
        <w:ind w:left="120" w:right="0" w:firstLine="0"/>
        <w:jc w:val="left"/>
        <w:rPr>
          <w:sz w:val="22"/>
        </w:rPr>
      </w:pPr>
      <w:r>
        <w:rPr>
          <w:b/>
          <w:color w:val="231F20"/>
          <w:spacing w:val="-1"/>
          <w:sz w:val="22"/>
        </w:rPr>
        <w:t>Mark</w:t>
      </w:r>
      <w:r>
        <w:rPr>
          <w:b/>
          <w:color w:val="231F20"/>
          <w:spacing w:val="-4"/>
          <w:sz w:val="22"/>
        </w:rPr>
        <w:t> </w:t>
      </w:r>
      <w:r>
        <w:rPr>
          <w:b/>
          <w:color w:val="231F20"/>
          <w:spacing w:val="-1"/>
          <w:sz w:val="22"/>
        </w:rPr>
        <w:t>W.</w:t>
      </w:r>
      <w:r>
        <w:rPr>
          <w:b/>
          <w:color w:val="231F20"/>
          <w:sz w:val="22"/>
        </w:rPr>
        <w:t> </w:t>
      </w:r>
      <w:r>
        <w:rPr>
          <w:b/>
          <w:color w:val="231F20"/>
          <w:spacing w:val="-1"/>
          <w:sz w:val="22"/>
        </w:rPr>
        <w:t>Parrino,</w:t>
      </w:r>
      <w:r>
        <w:rPr>
          <w:b/>
          <w:color w:val="231F20"/>
          <w:sz w:val="22"/>
        </w:rPr>
        <w:t> </w:t>
      </w:r>
      <w:r>
        <w:rPr>
          <w:b/>
          <w:color w:val="231F20"/>
          <w:spacing w:val="-1"/>
          <w:sz w:val="22"/>
        </w:rPr>
        <w:t>MPA</w:t>
      </w:r>
      <w:r>
        <w:rPr>
          <w:color w:val="231F20"/>
          <w:spacing w:val="-1"/>
          <w:sz w:val="22"/>
        </w:rPr>
        <w:t>,</w:t>
      </w:r>
      <w:r>
        <w:rPr>
          <w:color w:val="231F20"/>
          <w:spacing w:val="-13"/>
          <w:sz w:val="22"/>
        </w:rPr>
        <w:t> </w:t>
      </w:r>
      <w:r>
        <w:rPr>
          <w:color w:val="231F20"/>
          <w:spacing w:val="-1"/>
          <w:sz w:val="22"/>
        </w:rPr>
        <w:t>American</w:t>
      </w:r>
      <w:r>
        <w:rPr>
          <w:color w:val="231F20"/>
          <w:spacing w:val="-13"/>
          <w:sz w:val="22"/>
        </w:rPr>
        <w:t> </w:t>
      </w:r>
      <w:r>
        <w:rPr>
          <w:color w:val="231F20"/>
          <w:spacing w:val="-1"/>
          <w:sz w:val="22"/>
        </w:rPr>
        <w:t>Association for</w:t>
      </w:r>
      <w:r>
        <w:rPr>
          <w:color w:val="231F20"/>
          <w:sz w:val="22"/>
        </w:rPr>
        <w:t> the</w:t>
      </w:r>
    </w:p>
    <w:p>
      <w:pPr>
        <w:pStyle w:val="BodyText"/>
        <w:spacing w:before="28"/>
        <w:ind w:left="120"/>
      </w:pPr>
      <w:r>
        <w:rPr>
          <w:color w:val="231F20"/>
        </w:rPr>
        <w:t>Treatment</w:t>
      </w:r>
      <w:r>
        <w:rPr>
          <w:color w:val="231F20"/>
          <w:spacing w:val="-6"/>
        </w:rPr>
        <w:t> </w:t>
      </w:r>
      <w:r>
        <w:rPr>
          <w:color w:val="231F20"/>
        </w:rPr>
        <w:t>of</w:t>
      </w:r>
      <w:r>
        <w:rPr>
          <w:color w:val="231F20"/>
          <w:spacing w:val="-5"/>
        </w:rPr>
        <w:t> </w:t>
      </w:r>
      <w:r>
        <w:rPr>
          <w:color w:val="231F20"/>
        </w:rPr>
        <w:t>Opioid</w:t>
      </w:r>
      <w:r>
        <w:rPr>
          <w:color w:val="231F20"/>
          <w:spacing w:val="-6"/>
        </w:rPr>
        <w:t> </w:t>
      </w:r>
      <w:r>
        <w:rPr>
          <w:color w:val="231F20"/>
        </w:rPr>
        <w:t>Dependence</w:t>
      </w:r>
    </w:p>
    <w:p>
      <w:pPr>
        <w:spacing w:before="207"/>
        <w:ind w:left="120" w:right="0" w:firstLine="0"/>
        <w:jc w:val="left"/>
        <w:rPr>
          <w:sz w:val="22"/>
        </w:rPr>
      </w:pPr>
      <w:r>
        <w:rPr>
          <w:b/>
          <w:color w:val="231F20"/>
          <w:sz w:val="22"/>
        </w:rPr>
        <w:t>Jay</w:t>
      </w:r>
      <w:r>
        <w:rPr>
          <w:b/>
          <w:color w:val="231F20"/>
          <w:spacing w:val="-4"/>
          <w:sz w:val="22"/>
        </w:rPr>
        <w:t> </w:t>
      </w:r>
      <w:r>
        <w:rPr>
          <w:b/>
          <w:color w:val="231F20"/>
          <w:sz w:val="22"/>
        </w:rPr>
        <w:t>Shore,</w:t>
      </w:r>
      <w:r>
        <w:rPr>
          <w:b/>
          <w:color w:val="231F20"/>
          <w:spacing w:val="-4"/>
          <w:sz w:val="22"/>
        </w:rPr>
        <w:t> </w:t>
      </w:r>
      <w:r>
        <w:rPr>
          <w:b/>
          <w:color w:val="231F20"/>
          <w:sz w:val="22"/>
        </w:rPr>
        <w:t>MD,</w:t>
      </w:r>
      <w:r>
        <w:rPr>
          <w:b/>
          <w:color w:val="231F20"/>
          <w:spacing w:val="-4"/>
          <w:sz w:val="22"/>
        </w:rPr>
        <w:t> </w:t>
      </w:r>
      <w:r>
        <w:rPr>
          <w:b/>
          <w:color w:val="231F20"/>
          <w:sz w:val="22"/>
        </w:rPr>
        <w:t>MPH</w:t>
      </w:r>
      <w:r>
        <w:rPr>
          <w:color w:val="231F20"/>
          <w:sz w:val="22"/>
        </w:rPr>
        <w:t>,</w:t>
      </w:r>
      <w:r>
        <w:rPr>
          <w:color w:val="231F20"/>
          <w:spacing w:val="-4"/>
          <w:sz w:val="22"/>
        </w:rPr>
        <w:t> </w:t>
      </w:r>
      <w:r>
        <w:rPr>
          <w:color w:val="231F20"/>
          <w:sz w:val="22"/>
        </w:rPr>
        <w:t>Department</w:t>
      </w:r>
      <w:r>
        <w:rPr>
          <w:color w:val="231F20"/>
          <w:spacing w:val="-4"/>
          <w:sz w:val="22"/>
        </w:rPr>
        <w:t> </w:t>
      </w:r>
      <w:r>
        <w:rPr>
          <w:color w:val="231F20"/>
          <w:sz w:val="22"/>
        </w:rPr>
        <w:t>of</w:t>
      </w:r>
      <w:r>
        <w:rPr>
          <w:color w:val="231F20"/>
          <w:spacing w:val="-3"/>
          <w:sz w:val="22"/>
        </w:rPr>
        <w:t> </w:t>
      </w:r>
      <w:r>
        <w:rPr>
          <w:color w:val="231F20"/>
          <w:sz w:val="22"/>
        </w:rPr>
        <w:t>Psychiatry,</w:t>
      </w:r>
    </w:p>
    <w:p>
      <w:pPr>
        <w:pStyle w:val="BodyText"/>
        <w:spacing w:before="27"/>
        <w:ind w:left="120"/>
      </w:pPr>
      <w:r>
        <w:rPr>
          <w:color w:val="231F20"/>
          <w:spacing w:val="-1"/>
        </w:rPr>
        <w:t>University</w:t>
      </w:r>
      <w:r>
        <w:rPr>
          <w:color w:val="231F20"/>
        </w:rPr>
        <w:t> </w:t>
      </w:r>
      <w:r>
        <w:rPr>
          <w:color w:val="231F20"/>
          <w:spacing w:val="-1"/>
        </w:rPr>
        <w:t>of</w:t>
      </w:r>
      <w:r>
        <w:rPr>
          <w:color w:val="231F20"/>
          <w:spacing w:val="1"/>
        </w:rPr>
        <w:t> </w:t>
      </w:r>
      <w:r>
        <w:rPr>
          <w:color w:val="231F20"/>
          <w:spacing w:val="-1"/>
        </w:rPr>
        <w:t>Colorado</w:t>
      </w:r>
      <w:r>
        <w:rPr>
          <w:color w:val="231F20"/>
          <w:spacing w:val="-12"/>
        </w:rPr>
        <w:t> </w:t>
      </w:r>
      <w:r>
        <w:rPr>
          <w:color w:val="231F20"/>
          <w:spacing w:val="-1"/>
        </w:rPr>
        <w:t>Anschutz</w:t>
      </w:r>
      <w:r>
        <w:rPr>
          <w:color w:val="231F20"/>
        </w:rPr>
        <w:t> Medical</w:t>
      </w:r>
      <w:r>
        <w:rPr>
          <w:color w:val="231F20"/>
          <w:spacing w:val="1"/>
        </w:rPr>
        <w:t> </w:t>
      </w:r>
      <w:r>
        <w:rPr>
          <w:color w:val="231F20"/>
        </w:rPr>
        <w:t>Campus</w:t>
      </w:r>
    </w:p>
    <w:p>
      <w:pPr>
        <w:spacing w:line="266" w:lineRule="auto" w:before="207"/>
        <w:ind w:left="120" w:right="767" w:firstLine="0"/>
        <w:jc w:val="left"/>
        <w:rPr>
          <w:sz w:val="22"/>
        </w:rPr>
      </w:pPr>
      <w:r>
        <w:rPr>
          <w:b/>
          <w:color w:val="231F20"/>
          <w:w w:val="95"/>
          <w:sz w:val="22"/>
        </w:rPr>
        <w:t>Sadie</w:t>
      </w:r>
      <w:r>
        <w:rPr>
          <w:b/>
          <w:color w:val="231F20"/>
          <w:spacing w:val="26"/>
          <w:w w:val="95"/>
          <w:sz w:val="22"/>
        </w:rPr>
        <w:t> </w:t>
      </w:r>
      <w:r>
        <w:rPr>
          <w:b/>
          <w:color w:val="231F20"/>
          <w:w w:val="95"/>
          <w:sz w:val="22"/>
        </w:rPr>
        <w:t>Silcott,</w:t>
      </w:r>
      <w:r>
        <w:rPr>
          <w:b/>
          <w:color w:val="231F20"/>
          <w:spacing w:val="26"/>
          <w:w w:val="95"/>
          <w:sz w:val="22"/>
        </w:rPr>
        <w:t> </w:t>
      </w:r>
      <w:r>
        <w:rPr>
          <w:b/>
          <w:color w:val="231F20"/>
          <w:w w:val="95"/>
          <w:sz w:val="22"/>
        </w:rPr>
        <w:t>MBA,</w:t>
      </w:r>
      <w:r>
        <w:rPr>
          <w:b/>
          <w:color w:val="231F20"/>
          <w:spacing w:val="28"/>
          <w:w w:val="95"/>
          <w:sz w:val="22"/>
        </w:rPr>
        <w:t> </w:t>
      </w:r>
      <w:r>
        <w:rPr>
          <w:b/>
          <w:color w:val="231F20"/>
          <w:w w:val="95"/>
          <w:sz w:val="22"/>
        </w:rPr>
        <w:t>MPH</w:t>
      </w:r>
      <w:r>
        <w:rPr>
          <w:color w:val="231F20"/>
          <w:w w:val="95"/>
          <w:sz w:val="22"/>
        </w:rPr>
        <w:t>,</w:t>
      </w:r>
      <w:r>
        <w:rPr>
          <w:color w:val="231F20"/>
          <w:spacing w:val="27"/>
          <w:w w:val="95"/>
          <w:sz w:val="22"/>
        </w:rPr>
        <w:t> </w:t>
      </w:r>
      <w:r>
        <w:rPr>
          <w:color w:val="231F20"/>
          <w:w w:val="95"/>
          <w:sz w:val="22"/>
        </w:rPr>
        <w:t>Office</w:t>
      </w:r>
      <w:r>
        <w:rPr>
          <w:color w:val="231F20"/>
          <w:spacing w:val="27"/>
          <w:w w:val="95"/>
          <w:sz w:val="22"/>
        </w:rPr>
        <w:t> </w:t>
      </w:r>
      <w:r>
        <w:rPr>
          <w:color w:val="231F20"/>
          <w:w w:val="95"/>
          <w:sz w:val="22"/>
        </w:rPr>
        <w:t>for</w:t>
      </w:r>
      <w:r>
        <w:rPr>
          <w:color w:val="231F20"/>
          <w:spacing w:val="27"/>
          <w:w w:val="95"/>
          <w:sz w:val="22"/>
        </w:rPr>
        <w:t> </w:t>
      </w:r>
      <w:r>
        <w:rPr>
          <w:color w:val="231F20"/>
          <w:w w:val="95"/>
          <w:sz w:val="22"/>
        </w:rPr>
        <w:t>the</w:t>
      </w:r>
      <w:r>
        <w:rPr>
          <w:color w:val="231F20"/>
          <w:spacing w:val="9"/>
          <w:w w:val="95"/>
          <w:sz w:val="22"/>
        </w:rPr>
        <w:t> </w:t>
      </w:r>
      <w:r>
        <w:rPr>
          <w:color w:val="231F20"/>
          <w:w w:val="95"/>
          <w:sz w:val="22"/>
        </w:rPr>
        <w:t>Advancement</w:t>
      </w:r>
      <w:r>
        <w:rPr>
          <w:color w:val="231F20"/>
          <w:spacing w:val="-49"/>
          <w:w w:val="95"/>
          <w:sz w:val="22"/>
        </w:rPr>
        <w:t> </w:t>
      </w:r>
      <w:r>
        <w:rPr>
          <w:color w:val="231F20"/>
          <w:sz w:val="22"/>
        </w:rPr>
        <w:t>of Telehealth, Health Resources and Services</w:t>
      </w:r>
      <w:r>
        <w:rPr>
          <w:color w:val="231F20"/>
          <w:spacing w:val="1"/>
          <w:sz w:val="22"/>
        </w:rPr>
        <w:t> </w:t>
      </w:r>
      <w:r>
        <w:rPr>
          <w:color w:val="231F20"/>
          <w:sz w:val="22"/>
        </w:rPr>
        <w:t>Administration</w:t>
      </w:r>
    </w:p>
    <w:p>
      <w:pPr>
        <w:spacing w:line="266" w:lineRule="auto" w:before="177"/>
        <w:ind w:left="120" w:right="812" w:firstLine="0"/>
        <w:jc w:val="left"/>
        <w:rPr>
          <w:sz w:val="22"/>
        </w:rPr>
      </w:pPr>
      <w:r>
        <w:rPr>
          <w:b/>
          <w:color w:val="231F20"/>
          <w:spacing w:val="-1"/>
          <w:sz w:val="22"/>
        </w:rPr>
        <w:t>Peter Yellowlees, MBBS, MD</w:t>
      </w:r>
      <w:r>
        <w:rPr>
          <w:color w:val="231F20"/>
          <w:spacing w:val="-1"/>
          <w:sz w:val="22"/>
        </w:rPr>
        <w:t>, University of California</w:t>
      </w:r>
      <w:r>
        <w:rPr>
          <w:color w:val="231F20"/>
          <w:spacing w:val="-52"/>
          <w:sz w:val="22"/>
        </w:rPr>
        <w:t> </w:t>
      </w:r>
      <w:r>
        <w:rPr>
          <w:color w:val="231F20"/>
          <w:sz w:val="22"/>
        </w:rPr>
        <w:t>Davis Health</w:t>
      </w:r>
    </w:p>
    <w:p>
      <w:pPr>
        <w:pStyle w:val="Heading5"/>
        <w:spacing w:before="178"/>
      </w:pPr>
      <w:r>
        <w:rPr>
          <w:color w:val="CE384B"/>
        </w:rPr>
        <w:t>Contract</w:t>
      </w:r>
      <w:r>
        <w:rPr>
          <w:color w:val="CE384B"/>
          <w:spacing w:val="-7"/>
        </w:rPr>
        <w:t> </w:t>
      </w:r>
      <w:r>
        <w:rPr>
          <w:color w:val="CE384B"/>
        </w:rPr>
        <w:t>Staff</w:t>
      </w:r>
    </w:p>
    <w:p>
      <w:pPr>
        <w:spacing w:before="118"/>
        <w:ind w:left="120" w:right="0" w:firstLine="0"/>
        <w:jc w:val="left"/>
        <w:rPr>
          <w:sz w:val="22"/>
        </w:rPr>
      </w:pPr>
      <w:r>
        <w:rPr>
          <w:b/>
          <w:color w:val="231F20"/>
          <w:sz w:val="22"/>
        </w:rPr>
        <w:t>Olivia</w:t>
      </w:r>
      <w:r>
        <w:rPr>
          <w:b/>
          <w:color w:val="231F20"/>
          <w:spacing w:val="-1"/>
          <w:sz w:val="22"/>
        </w:rPr>
        <w:t> </w:t>
      </w:r>
      <w:r>
        <w:rPr>
          <w:b/>
          <w:color w:val="231F20"/>
          <w:sz w:val="22"/>
        </w:rPr>
        <w:t>Bacon,</w:t>
      </w:r>
      <w:r>
        <w:rPr>
          <w:b/>
          <w:color w:val="231F20"/>
          <w:spacing w:val="-13"/>
          <w:sz w:val="22"/>
        </w:rPr>
        <w:t> </w:t>
      </w:r>
      <w:r>
        <w:rPr>
          <w:color w:val="231F20"/>
          <w:sz w:val="22"/>
        </w:rPr>
        <w:t>Abt</w:t>
      </w:r>
      <w:r>
        <w:rPr>
          <w:color w:val="231F20"/>
          <w:spacing w:val="-13"/>
          <w:sz w:val="22"/>
        </w:rPr>
        <w:t> </w:t>
      </w:r>
      <w:r>
        <w:rPr>
          <w:color w:val="231F20"/>
          <w:sz w:val="22"/>
        </w:rPr>
        <w:t>Associates</w:t>
      </w:r>
    </w:p>
    <w:p>
      <w:pPr>
        <w:spacing w:before="207"/>
        <w:ind w:left="120" w:right="0" w:firstLine="0"/>
        <w:jc w:val="left"/>
        <w:rPr>
          <w:sz w:val="22"/>
        </w:rPr>
      </w:pPr>
      <w:r>
        <w:rPr>
          <w:b/>
          <w:color w:val="231F20"/>
          <w:sz w:val="22"/>
        </w:rPr>
        <w:t>Korrin</w:t>
      </w:r>
      <w:r>
        <w:rPr>
          <w:b/>
          <w:color w:val="231F20"/>
          <w:spacing w:val="-2"/>
          <w:sz w:val="22"/>
        </w:rPr>
        <w:t> </w:t>
      </w:r>
      <w:r>
        <w:rPr>
          <w:b/>
          <w:color w:val="231F20"/>
          <w:sz w:val="22"/>
        </w:rPr>
        <w:t>L.</w:t>
      </w:r>
      <w:r>
        <w:rPr>
          <w:b/>
          <w:color w:val="231F20"/>
          <w:spacing w:val="-1"/>
          <w:sz w:val="22"/>
        </w:rPr>
        <w:t> </w:t>
      </w:r>
      <w:r>
        <w:rPr>
          <w:b/>
          <w:color w:val="231F20"/>
          <w:sz w:val="22"/>
        </w:rPr>
        <w:t>Bishop,</w:t>
      </w:r>
      <w:r>
        <w:rPr>
          <w:b/>
          <w:color w:val="231F20"/>
          <w:spacing w:val="-1"/>
          <w:sz w:val="22"/>
        </w:rPr>
        <w:t> </w:t>
      </w:r>
      <w:r>
        <w:rPr>
          <w:color w:val="231F20"/>
          <w:sz w:val="22"/>
        </w:rPr>
        <w:t>Korrin</w:t>
      </w:r>
      <w:r>
        <w:rPr>
          <w:color w:val="231F20"/>
          <w:spacing w:val="-1"/>
          <w:sz w:val="22"/>
        </w:rPr>
        <w:t> </w:t>
      </w:r>
      <w:r>
        <w:rPr>
          <w:color w:val="231F20"/>
          <w:sz w:val="22"/>
        </w:rPr>
        <w:t>Bishop</w:t>
      </w:r>
      <w:r>
        <w:rPr>
          <w:color w:val="231F20"/>
          <w:spacing w:val="-5"/>
          <w:sz w:val="22"/>
        </w:rPr>
        <w:t> </w:t>
      </w:r>
      <w:r>
        <w:rPr>
          <w:color w:val="231F20"/>
          <w:sz w:val="22"/>
        </w:rPr>
        <w:t>Writing</w:t>
      </w:r>
      <w:r>
        <w:rPr>
          <w:color w:val="231F20"/>
          <w:spacing w:val="-1"/>
          <w:sz w:val="22"/>
        </w:rPr>
        <w:t> </w:t>
      </w:r>
      <w:r>
        <w:rPr>
          <w:color w:val="231F20"/>
          <w:sz w:val="22"/>
        </w:rPr>
        <w:t>&amp;</w:t>
      </w:r>
      <w:r>
        <w:rPr>
          <w:color w:val="231F20"/>
          <w:spacing w:val="-1"/>
          <w:sz w:val="22"/>
        </w:rPr>
        <w:t> </w:t>
      </w:r>
      <w:r>
        <w:rPr>
          <w:color w:val="231F20"/>
          <w:sz w:val="22"/>
        </w:rPr>
        <w:t>Editing</w:t>
      </w:r>
    </w:p>
    <w:p>
      <w:pPr>
        <w:spacing w:before="207"/>
        <w:ind w:left="120" w:right="0" w:firstLine="0"/>
        <w:jc w:val="left"/>
        <w:rPr>
          <w:sz w:val="22"/>
        </w:rPr>
      </w:pPr>
      <w:r>
        <w:rPr>
          <w:b/>
          <w:color w:val="231F20"/>
          <w:spacing w:val="-1"/>
          <w:sz w:val="22"/>
        </w:rPr>
        <w:t>Ellen </w:t>
      </w:r>
      <w:r>
        <w:rPr>
          <w:b/>
          <w:color w:val="231F20"/>
          <w:sz w:val="22"/>
        </w:rPr>
        <w:t>Childs,</w:t>
      </w:r>
      <w:r>
        <w:rPr>
          <w:b/>
          <w:color w:val="231F20"/>
          <w:spacing w:val="-1"/>
          <w:sz w:val="22"/>
        </w:rPr>
        <w:t> </w:t>
      </w:r>
      <w:r>
        <w:rPr>
          <w:b/>
          <w:color w:val="231F20"/>
          <w:sz w:val="22"/>
        </w:rPr>
        <w:t>PhD, </w:t>
      </w:r>
      <w:r>
        <w:rPr>
          <w:color w:val="231F20"/>
          <w:sz w:val="22"/>
        </w:rPr>
        <w:t>Abt</w:t>
      </w:r>
      <w:r>
        <w:rPr>
          <w:color w:val="231F20"/>
          <w:spacing w:val="-13"/>
          <w:sz w:val="22"/>
        </w:rPr>
        <w:t> </w:t>
      </w:r>
      <w:r>
        <w:rPr>
          <w:color w:val="231F20"/>
          <w:sz w:val="22"/>
        </w:rPr>
        <w:t>Associates</w:t>
      </w:r>
    </w:p>
    <w:p>
      <w:pPr>
        <w:spacing w:before="207"/>
        <w:ind w:left="120" w:right="0" w:firstLine="0"/>
        <w:jc w:val="left"/>
        <w:rPr>
          <w:sz w:val="22"/>
        </w:rPr>
      </w:pPr>
      <w:r>
        <w:rPr>
          <w:b/>
          <w:color w:val="231F20"/>
          <w:spacing w:val="-2"/>
          <w:sz w:val="22"/>
        </w:rPr>
        <w:t>Yvonne</w:t>
      </w:r>
      <w:r>
        <w:rPr>
          <w:b/>
          <w:color w:val="231F20"/>
          <w:spacing w:val="3"/>
          <w:sz w:val="22"/>
        </w:rPr>
        <w:t> </w:t>
      </w:r>
      <w:r>
        <w:rPr>
          <w:b/>
          <w:color w:val="231F20"/>
          <w:spacing w:val="-2"/>
          <w:sz w:val="22"/>
        </w:rPr>
        <w:t>Cristy,</w:t>
      </w:r>
      <w:r>
        <w:rPr>
          <w:b/>
          <w:color w:val="231F20"/>
          <w:spacing w:val="-10"/>
          <w:sz w:val="22"/>
        </w:rPr>
        <w:t> </w:t>
      </w:r>
      <w:r>
        <w:rPr>
          <w:color w:val="231F20"/>
          <w:spacing w:val="-2"/>
          <w:sz w:val="22"/>
        </w:rPr>
        <w:t>Abt</w:t>
      </w:r>
      <w:r>
        <w:rPr>
          <w:color w:val="231F20"/>
          <w:spacing w:val="-11"/>
          <w:sz w:val="22"/>
        </w:rPr>
        <w:t> </w:t>
      </w:r>
      <w:r>
        <w:rPr>
          <w:color w:val="231F20"/>
          <w:spacing w:val="-2"/>
          <w:sz w:val="22"/>
        </w:rPr>
        <w:t>Associates</w:t>
      </w:r>
    </w:p>
    <w:p>
      <w:pPr>
        <w:spacing w:line="436" w:lineRule="auto" w:before="207"/>
        <w:ind w:left="120" w:right="1541" w:firstLine="0"/>
        <w:jc w:val="left"/>
        <w:rPr>
          <w:sz w:val="22"/>
        </w:rPr>
      </w:pPr>
      <w:r>
        <w:rPr>
          <w:b/>
          <w:color w:val="231F20"/>
          <w:spacing w:val="-1"/>
          <w:sz w:val="22"/>
        </w:rPr>
        <w:t>Margaret Gwaltney, </w:t>
      </w:r>
      <w:r>
        <w:rPr>
          <w:b/>
          <w:color w:val="231F20"/>
          <w:sz w:val="22"/>
        </w:rPr>
        <w:t>MBA, </w:t>
      </w:r>
      <w:r>
        <w:rPr>
          <w:color w:val="231F20"/>
          <w:sz w:val="22"/>
        </w:rPr>
        <w:t>Abt Associates*</w:t>
      </w:r>
      <w:r>
        <w:rPr>
          <w:color w:val="231F20"/>
          <w:spacing w:val="1"/>
          <w:sz w:val="22"/>
        </w:rPr>
        <w:t> </w:t>
      </w:r>
      <w:r>
        <w:rPr>
          <w:b/>
          <w:color w:val="231F20"/>
          <w:spacing w:val="-1"/>
          <w:sz w:val="22"/>
        </w:rPr>
        <w:t>Alexis</w:t>
      </w:r>
      <w:r>
        <w:rPr>
          <w:b/>
          <w:color w:val="231F20"/>
          <w:spacing w:val="1"/>
          <w:sz w:val="22"/>
        </w:rPr>
        <w:t> </w:t>
      </w:r>
      <w:r>
        <w:rPr>
          <w:b/>
          <w:color w:val="231F20"/>
          <w:spacing w:val="-1"/>
          <w:sz w:val="22"/>
        </w:rPr>
        <w:t>Marbach,</w:t>
      </w:r>
      <w:r>
        <w:rPr>
          <w:b/>
          <w:color w:val="231F20"/>
          <w:spacing w:val="2"/>
          <w:sz w:val="22"/>
        </w:rPr>
        <w:t> </w:t>
      </w:r>
      <w:r>
        <w:rPr>
          <w:b/>
          <w:color w:val="231F20"/>
          <w:spacing w:val="-1"/>
          <w:sz w:val="22"/>
        </w:rPr>
        <w:t>MPH,</w:t>
      </w:r>
      <w:r>
        <w:rPr>
          <w:b/>
          <w:color w:val="231F20"/>
          <w:spacing w:val="2"/>
          <w:sz w:val="22"/>
        </w:rPr>
        <w:t> </w:t>
      </w:r>
      <w:r>
        <w:rPr>
          <w:b/>
          <w:color w:val="231F20"/>
          <w:spacing w:val="-1"/>
          <w:sz w:val="22"/>
        </w:rPr>
        <w:t>PMP,</w:t>
      </w:r>
      <w:r>
        <w:rPr>
          <w:b/>
          <w:color w:val="231F20"/>
          <w:spacing w:val="-12"/>
          <w:sz w:val="22"/>
        </w:rPr>
        <w:t> </w:t>
      </w:r>
      <w:r>
        <w:rPr>
          <w:color w:val="231F20"/>
          <w:spacing w:val="-1"/>
          <w:sz w:val="22"/>
        </w:rPr>
        <w:t>Abt</w:t>
      </w:r>
      <w:r>
        <w:rPr>
          <w:color w:val="231F20"/>
          <w:spacing w:val="-11"/>
          <w:sz w:val="22"/>
        </w:rPr>
        <w:t> </w:t>
      </w:r>
      <w:r>
        <w:rPr>
          <w:color w:val="231F20"/>
          <w:spacing w:val="-1"/>
          <w:sz w:val="22"/>
        </w:rPr>
        <w:t>Associates*</w:t>
      </w:r>
      <w:r>
        <w:rPr>
          <w:color w:val="231F20"/>
          <w:spacing w:val="-52"/>
          <w:sz w:val="22"/>
        </w:rPr>
        <w:t> </w:t>
      </w:r>
      <w:r>
        <w:rPr>
          <w:b/>
          <w:color w:val="231F20"/>
          <w:sz w:val="22"/>
        </w:rPr>
        <w:t>Nikitha</w:t>
      </w:r>
      <w:r>
        <w:rPr>
          <w:b/>
          <w:color w:val="231F20"/>
          <w:spacing w:val="-2"/>
          <w:sz w:val="22"/>
        </w:rPr>
        <w:t> </w:t>
      </w:r>
      <w:r>
        <w:rPr>
          <w:b/>
          <w:color w:val="231F20"/>
          <w:sz w:val="22"/>
        </w:rPr>
        <w:t>Reddy,</w:t>
      </w:r>
      <w:r>
        <w:rPr>
          <w:b/>
          <w:color w:val="231F20"/>
          <w:spacing w:val="-14"/>
          <w:sz w:val="22"/>
        </w:rPr>
        <w:t> </w:t>
      </w:r>
      <w:r>
        <w:rPr>
          <w:color w:val="231F20"/>
          <w:sz w:val="22"/>
        </w:rPr>
        <w:t>Abt</w:t>
      </w:r>
      <w:r>
        <w:rPr>
          <w:color w:val="231F20"/>
          <w:spacing w:val="-14"/>
          <w:sz w:val="22"/>
        </w:rPr>
        <w:t> </w:t>
      </w:r>
      <w:r>
        <w:rPr>
          <w:color w:val="231F20"/>
          <w:sz w:val="22"/>
        </w:rPr>
        <w:t>Associates</w:t>
      </w:r>
    </w:p>
    <w:p>
      <w:pPr>
        <w:spacing w:line="252" w:lineRule="exact" w:before="0"/>
        <w:ind w:left="120" w:right="0" w:firstLine="0"/>
        <w:jc w:val="left"/>
        <w:rPr>
          <w:sz w:val="22"/>
        </w:rPr>
      </w:pPr>
      <w:r>
        <w:rPr>
          <w:b/>
          <w:color w:val="231F20"/>
          <w:w w:val="95"/>
          <w:sz w:val="22"/>
        </w:rPr>
        <w:t>Daniel</w:t>
      </w:r>
      <w:r>
        <w:rPr>
          <w:b/>
          <w:color w:val="231F20"/>
          <w:spacing w:val="30"/>
          <w:w w:val="95"/>
          <w:sz w:val="22"/>
        </w:rPr>
        <w:t> </w:t>
      </w:r>
      <w:r>
        <w:rPr>
          <w:b/>
          <w:color w:val="231F20"/>
          <w:w w:val="95"/>
          <w:sz w:val="22"/>
        </w:rPr>
        <w:t>Jefferson</w:t>
      </w:r>
      <w:r>
        <w:rPr>
          <w:b/>
          <w:color w:val="231F20"/>
          <w:spacing w:val="32"/>
          <w:w w:val="95"/>
          <w:sz w:val="22"/>
        </w:rPr>
        <w:t> </w:t>
      </w:r>
      <w:r>
        <w:rPr>
          <w:b/>
          <w:color w:val="231F20"/>
          <w:w w:val="95"/>
          <w:sz w:val="22"/>
        </w:rPr>
        <w:t>Smith</w:t>
      </w:r>
      <w:r>
        <w:rPr>
          <w:color w:val="231F20"/>
          <w:w w:val="95"/>
          <w:sz w:val="22"/>
        </w:rPr>
        <w:t>,</w:t>
      </w:r>
      <w:r>
        <w:rPr>
          <w:color w:val="231F20"/>
          <w:spacing w:val="11"/>
          <w:w w:val="95"/>
          <w:sz w:val="22"/>
        </w:rPr>
        <w:t> </w:t>
      </w:r>
      <w:r>
        <w:rPr>
          <w:color w:val="231F20"/>
          <w:w w:val="95"/>
          <w:sz w:val="22"/>
        </w:rPr>
        <w:t>Abt</w:t>
      </w:r>
      <w:r>
        <w:rPr>
          <w:color w:val="231F20"/>
          <w:spacing w:val="12"/>
          <w:w w:val="95"/>
          <w:sz w:val="22"/>
        </w:rPr>
        <w:t> </w:t>
      </w:r>
      <w:r>
        <w:rPr>
          <w:color w:val="231F20"/>
          <w:w w:val="95"/>
          <w:sz w:val="22"/>
        </w:rPr>
        <w:t>Associates</w:t>
      </w:r>
    </w:p>
    <w:p>
      <w:pPr>
        <w:spacing w:before="207"/>
        <w:ind w:left="120" w:right="0" w:firstLine="0"/>
        <w:jc w:val="left"/>
        <w:rPr>
          <w:sz w:val="22"/>
        </w:rPr>
      </w:pPr>
      <w:r>
        <w:rPr>
          <w:b/>
          <w:color w:val="231F20"/>
          <w:spacing w:val="-1"/>
          <w:sz w:val="22"/>
        </w:rPr>
        <w:t>Sarah Steverman, PhD,</w:t>
      </w:r>
      <w:r>
        <w:rPr>
          <w:b/>
          <w:color w:val="231F20"/>
          <w:spacing w:val="1"/>
          <w:sz w:val="22"/>
        </w:rPr>
        <w:t> </w:t>
      </w:r>
      <w:r>
        <w:rPr>
          <w:b/>
          <w:color w:val="231F20"/>
          <w:spacing w:val="-1"/>
          <w:sz w:val="22"/>
        </w:rPr>
        <w:t>MSW,</w:t>
      </w:r>
      <w:r>
        <w:rPr>
          <w:b/>
          <w:color w:val="231F20"/>
          <w:spacing w:val="-13"/>
          <w:sz w:val="22"/>
        </w:rPr>
        <w:t> </w:t>
      </w:r>
      <w:r>
        <w:rPr>
          <w:color w:val="231F20"/>
          <w:spacing w:val="-1"/>
          <w:sz w:val="22"/>
        </w:rPr>
        <w:t>Abt</w:t>
      </w:r>
      <w:r>
        <w:rPr>
          <w:color w:val="231F20"/>
          <w:spacing w:val="-12"/>
          <w:sz w:val="22"/>
        </w:rPr>
        <w:t> </w:t>
      </w:r>
      <w:r>
        <w:rPr>
          <w:color w:val="231F20"/>
          <w:spacing w:val="-1"/>
          <w:sz w:val="22"/>
        </w:rPr>
        <w:t>Associates*</w:t>
      </w:r>
    </w:p>
    <w:p>
      <w:pPr>
        <w:spacing w:before="207"/>
        <w:ind w:left="120" w:right="0" w:firstLine="0"/>
        <w:jc w:val="left"/>
        <w:rPr>
          <w:sz w:val="22"/>
        </w:rPr>
      </w:pPr>
      <w:r>
        <w:rPr>
          <w:b/>
          <w:color w:val="231F20"/>
          <w:spacing w:val="-1"/>
          <w:sz w:val="22"/>
        </w:rPr>
        <w:t>Christopher</w:t>
      </w:r>
      <w:r>
        <w:rPr>
          <w:b/>
          <w:color w:val="231F20"/>
          <w:spacing w:val="-8"/>
          <w:sz w:val="22"/>
        </w:rPr>
        <w:t> </w:t>
      </w:r>
      <w:r>
        <w:rPr>
          <w:b/>
          <w:color w:val="231F20"/>
          <w:spacing w:val="-1"/>
          <w:sz w:val="22"/>
        </w:rPr>
        <w:t>Weiss,</w:t>
      </w:r>
      <w:r>
        <w:rPr>
          <w:b/>
          <w:color w:val="231F20"/>
          <w:sz w:val="22"/>
        </w:rPr>
        <w:t> </w:t>
      </w:r>
      <w:r>
        <w:rPr>
          <w:b/>
          <w:color w:val="231F20"/>
          <w:spacing w:val="-1"/>
          <w:sz w:val="22"/>
        </w:rPr>
        <w:t>PhD,</w:t>
      </w:r>
      <w:r>
        <w:rPr>
          <w:b/>
          <w:color w:val="231F20"/>
          <w:spacing w:val="-13"/>
          <w:sz w:val="22"/>
        </w:rPr>
        <w:t> </w:t>
      </w:r>
      <w:r>
        <w:rPr>
          <w:color w:val="231F20"/>
          <w:spacing w:val="-1"/>
          <w:sz w:val="22"/>
        </w:rPr>
        <w:t>Abt</w:t>
      </w:r>
      <w:r>
        <w:rPr>
          <w:color w:val="231F20"/>
          <w:spacing w:val="-13"/>
          <w:sz w:val="22"/>
        </w:rPr>
        <w:t> </w:t>
      </w:r>
      <w:r>
        <w:rPr>
          <w:color w:val="231F20"/>
          <w:sz w:val="22"/>
        </w:rPr>
        <w:t>Associates</w:t>
      </w:r>
    </w:p>
    <w:p>
      <w:pPr>
        <w:spacing w:before="207"/>
        <w:ind w:left="120" w:right="0" w:firstLine="0"/>
        <w:jc w:val="left"/>
        <w:rPr>
          <w:sz w:val="22"/>
        </w:rPr>
      </w:pPr>
      <w:r>
        <w:rPr>
          <w:b/>
          <w:color w:val="231F20"/>
          <w:spacing w:val="-2"/>
          <w:sz w:val="22"/>
        </w:rPr>
        <w:t>Elyse</w:t>
      </w:r>
      <w:r>
        <w:rPr>
          <w:b/>
          <w:color w:val="231F20"/>
          <w:spacing w:val="-8"/>
          <w:sz w:val="22"/>
        </w:rPr>
        <w:t> </w:t>
      </w:r>
      <w:r>
        <w:rPr>
          <w:b/>
          <w:color w:val="231F20"/>
          <w:spacing w:val="-2"/>
          <w:sz w:val="22"/>
        </w:rPr>
        <w:t>Yarmosky,</w:t>
      </w:r>
      <w:r>
        <w:rPr>
          <w:b/>
          <w:color w:val="231F20"/>
          <w:spacing w:val="1"/>
          <w:sz w:val="22"/>
        </w:rPr>
        <w:t> </w:t>
      </w:r>
      <w:r>
        <w:rPr>
          <w:b/>
          <w:color w:val="231F20"/>
          <w:spacing w:val="-2"/>
          <w:sz w:val="22"/>
        </w:rPr>
        <w:t>LISCW,</w:t>
      </w:r>
      <w:r>
        <w:rPr>
          <w:b/>
          <w:color w:val="231F20"/>
          <w:spacing w:val="-12"/>
          <w:sz w:val="22"/>
        </w:rPr>
        <w:t> </w:t>
      </w:r>
      <w:r>
        <w:rPr>
          <w:color w:val="231F20"/>
          <w:spacing w:val="-2"/>
          <w:sz w:val="22"/>
        </w:rPr>
        <w:t>Abt</w:t>
      </w:r>
      <w:r>
        <w:rPr>
          <w:color w:val="231F20"/>
          <w:spacing w:val="-12"/>
          <w:sz w:val="22"/>
        </w:rPr>
        <w:t> </w:t>
      </w:r>
      <w:r>
        <w:rPr>
          <w:color w:val="231F20"/>
          <w:spacing w:val="-2"/>
          <w:sz w:val="22"/>
        </w:rPr>
        <w:t>Associates</w:t>
      </w:r>
    </w:p>
    <w:p>
      <w:pPr>
        <w:pStyle w:val="BodyText"/>
        <w:spacing w:before="207"/>
        <w:ind w:left="120"/>
      </w:pPr>
      <w:r>
        <w:rPr>
          <w:color w:val="231F20"/>
        </w:rPr>
        <w:t>*Members</w:t>
      </w:r>
      <w:r>
        <w:rPr>
          <w:color w:val="231F20"/>
          <w:spacing w:val="-4"/>
        </w:rPr>
        <w:t> </w:t>
      </w:r>
      <w:r>
        <w:rPr>
          <w:color w:val="231F20"/>
        </w:rPr>
        <w:t>of</w:t>
      </w:r>
      <w:r>
        <w:rPr>
          <w:color w:val="231F20"/>
          <w:spacing w:val="-3"/>
        </w:rPr>
        <w:t> </w:t>
      </w:r>
      <w:r>
        <w:rPr>
          <w:color w:val="231F20"/>
        </w:rPr>
        <w:t>Guide</w:t>
      </w:r>
      <w:r>
        <w:rPr>
          <w:color w:val="231F20"/>
          <w:spacing w:val="-3"/>
        </w:rPr>
        <w:t> </w:t>
      </w:r>
      <w:r>
        <w:rPr>
          <w:color w:val="231F20"/>
        </w:rPr>
        <w:t>Planning</w:t>
      </w:r>
      <w:r>
        <w:rPr>
          <w:color w:val="231F20"/>
          <w:spacing w:val="-8"/>
        </w:rPr>
        <w:t> </w:t>
      </w:r>
      <w:r>
        <w:rPr>
          <w:color w:val="231F20"/>
        </w:rPr>
        <w:t>Team</w:t>
      </w:r>
    </w:p>
    <w:p>
      <w:pPr>
        <w:spacing w:after="0"/>
        <w:sectPr>
          <w:type w:val="continuous"/>
          <w:pgSz w:w="12240" w:h="15840"/>
          <w:pgMar w:header="0" w:footer="666" w:top="1500" w:bottom="0" w:left="600" w:right="0"/>
          <w:cols w:num="2" w:equalWidth="0">
            <w:col w:w="5189" w:space="571"/>
            <w:col w:w="5880"/>
          </w:cols>
        </w:sectPr>
      </w:pPr>
    </w:p>
    <w:p>
      <w:pPr>
        <w:pStyle w:val="BodyText"/>
        <w:rPr>
          <w:sz w:val="20"/>
        </w:rPr>
      </w:pPr>
    </w:p>
    <w:p>
      <w:pPr>
        <w:pStyle w:val="BodyText"/>
        <w:rPr>
          <w:sz w:val="18"/>
        </w:rPr>
      </w:pPr>
    </w:p>
    <w:p>
      <w:pPr>
        <w:pStyle w:val="Heading1"/>
      </w:pPr>
      <w:bookmarkStart w:name="Appendix 2: Evidence Review Methodology" w:id="40"/>
      <w:bookmarkEnd w:id="40"/>
      <w:r>
        <w:rPr/>
      </w:r>
      <w:r>
        <w:rPr>
          <w:color w:val="1C384B"/>
          <w:spacing w:val="-2"/>
        </w:rPr>
        <w:t>Appendix</w:t>
      </w:r>
      <w:r>
        <w:rPr>
          <w:color w:val="1C384B"/>
          <w:spacing w:val="-31"/>
        </w:rPr>
        <w:t> </w:t>
      </w:r>
      <w:r>
        <w:rPr>
          <w:color w:val="1C384B"/>
          <w:spacing w:val="-1"/>
        </w:rPr>
        <w:t>2:</w:t>
      </w:r>
      <w:r>
        <w:rPr>
          <w:color w:val="1C384B"/>
          <w:spacing w:val="-30"/>
        </w:rPr>
        <w:t> </w:t>
      </w:r>
      <w:r>
        <w:rPr>
          <w:color w:val="1C384B"/>
          <w:spacing w:val="-1"/>
        </w:rPr>
        <w:t>Evidence</w:t>
      </w:r>
      <w:r>
        <w:rPr>
          <w:color w:val="1C384B"/>
          <w:spacing w:val="-31"/>
        </w:rPr>
        <w:t> </w:t>
      </w:r>
      <w:r>
        <w:rPr>
          <w:color w:val="1C384B"/>
          <w:spacing w:val="-1"/>
        </w:rPr>
        <w:t>Review</w:t>
      </w:r>
      <w:r>
        <w:rPr>
          <w:color w:val="1C384B"/>
          <w:spacing w:val="-30"/>
        </w:rPr>
        <w:t> </w:t>
      </w:r>
      <w:r>
        <w:rPr>
          <w:color w:val="1C384B"/>
          <w:spacing w:val="-1"/>
        </w:rPr>
        <w:t>Methodology</w:t>
      </w:r>
    </w:p>
    <w:p>
      <w:pPr>
        <w:pStyle w:val="BodyText"/>
        <w:rPr>
          <w:rFonts w:ascii="Arial Black"/>
          <w:sz w:val="20"/>
        </w:rPr>
      </w:pPr>
    </w:p>
    <w:p>
      <w:pPr>
        <w:pStyle w:val="BodyText"/>
        <w:spacing w:before="11"/>
        <w:rPr>
          <w:rFonts w:ascii="Arial Black"/>
          <w:sz w:val="24"/>
        </w:rPr>
      </w:pPr>
    </w:p>
    <w:p>
      <w:pPr>
        <w:spacing w:after="0"/>
        <w:rPr>
          <w:rFonts w:ascii="Arial Black"/>
          <w:sz w:val="24"/>
        </w:rPr>
        <w:sectPr>
          <w:headerReference w:type="default" r:id="rId373"/>
          <w:footerReference w:type="default" r:id="rId374"/>
          <w:pgSz w:w="12240" w:h="15840"/>
          <w:pgMar w:header="0" w:footer="666" w:top="380" w:bottom="860" w:left="600" w:right="0"/>
        </w:sectPr>
      </w:pPr>
    </w:p>
    <w:p>
      <w:pPr>
        <w:pStyle w:val="BodyText"/>
        <w:spacing w:line="266" w:lineRule="auto" w:before="182"/>
        <w:ind w:left="120" w:right="297"/>
      </w:pPr>
      <w:r>
        <w:rPr/>
        <w:pict>
          <v:rect style="position:absolute;margin-left:0pt;margin-top:94.330101pt;width:612pt;height:1pt;mso-position-horizontal-relative:page;mso-position-vertical-relative:page;z-index:-17859072" id="docshape216" filled="true" fillcolor="#ce372e" stroked="false">
            <v:fill type="solid"/>
            <w10:wrap type="none"/>
          </v:rect>
        </w:pict>
      </w:r>
      <w:r>
        <w:rPr>
          <w:color w:val="231F20"/>
        </w:rPr>
        <w:t>The authors followed a rigorous, systematic evidence</w:t>
      </w:r>
      <w:r>
        <w:rPr>
          <w:color w:val="231F20"/>
          <w:spacing w:val="-52"/>
        </w:rPr>
        <w:t> </w:t>
      </w:r>
      <w:r>
        <w:rPr>
          <w:color w:val="231F20"/>
        </w:rPr>
        <w:t>review process</w:t>
      </w:r>
      <w:r>
        <w:rPr>
          <w:color w:val="231F20"/>
          <w:spacing w:val="-1"/>
        </w:rPr>
        <w:t> </w:t>
      </w:r>
      <w:r>
        <w:rPr>
          <w:color w:val="231F20"/>
        </w:rPr>
        <w:t>in the development of this guide.</w:t>
      </w:r>
    </w:p>
    <w:p>
      <w:pPr>
        <w:pStyle w:val="BodyText"/>
        <w:spacing w:line="266" w:lineRule="auto"/>
        <w:ind w:left="120" w:right="72"/>
      </w:pPr>
      <w:r>
        <w:rPr>
          <w:color w:val="231F20"/>
        </w:rPr>
        <w:t>This appendix provides an overview of the evidence</w:t>
      </w:r>
      <w:r>
        <w:rPr>
          <w:color w:val="231F20"/>
          <w:spacing w:val="1"/>
        </w:rPr>
        <w:t> </w:t>
      </w:r>
      <w:r>
        <w:rPr>
          <w:color w:val="231F20"/>
        </w:rPr>
        <w:t>review methodology used to identify the ratings for the</w:t>
      </w:r>
      <w:r>
        <w:rPr>
          <w:color w:val="231F20"/>
          <w:spacing w:val="1"/>
        </w:rPr>
        <w:t> </w:t>
      </w:r>
      <w:r>
        <w:rPr>
          <w:color w:val="231F20"/>
        </w:rPr>
        <w:t>treatments included in the guide: behavioral therapies</w:t>
      </w:r>
      <w:r>
        <w:rPr>
          <w:color w:val="231F20"/>
          <w:spacing w:val="1"/>
        </w:rPr>
        <w:t> </w:t>
      </w:r>
      <w:r>
        <w:rPr>
          <w:color w:val="231F20"/>
          <w:spacing w:val="-1"/>
        </w:rPr>
        <w:t>(Behavioral Activation </w:t>
      </w:r>
      <w:r>
        <w:rPr>
          <w:color w:val="231F20"/>
        </w:rPr>
        <w:t>Therapy, Cognitive Behavioral</w:t>
      </w:r>
      <w:r>
        <w:rPr>
          <w:color w:val="231F20"/>
          <w:spacing w:val="1"/>
        </w:rPr>
        <w:t> </w:t>
      </w:r>
      <w:r>
        <w:rPr>
          <w:color w:val="231F20"/>
        </w:rPr>
        <w:t>Therapy, Cognitive Processing Therapy, Prolonged</w:t>
      </w:r>
      <w:r>
        <w:rPr>
          <w:color w:val="231F20"/>
          <w:spacing w:val="1"/>
        </w:rPr>
        <w:t> </w:t>
      </w:r>
      <w:r>
        <w:rPr>
          <w:color w:val="231F20"/>
        </w:rPr>
        <w:t>Exposure</w:t>
      </w:r>
      <w:r>
        <w:rPr>
          <w:color w:val="231F20"/>
          <w:spacing w:val="-10"/>
        </w:rPr>
        <w:t> </w:t>
      </w:r>
      <w:r>
        <w:rPr>
          <w:color w:val="231F20"/>
        </w:rPr>
        <w:t>Therapy)</w:t>
      </w:r>
      <w:r>
        <w:rPr>
          <w:color w:val="231F20"/>
          <w:spacing w:val="-6"/>
        </w:rPr>
        <w:t> </w:t>
      </w:r>
      <w:r>
        <w:rPr>
          <w:color w:val="231F20"/>
        </w:rPr>
        <w:t>and</w:t>
      </w:r>
      <w:r>
        <w:rPr>
          <w:color w:val="231F20"/>
          <w:spacing w:val="-6"/>
        </w:rPr>
        <w:t> </w:t>
      </w:r>
      <w:r>
        <w:rPr>
          <w:color w:val="231F20"/>
        </w:rPr>
        <w:t>Medication-Assisted</w:t>
      </w:r>
      <w:r>
        <w:rPr>
          <w:color w:val="231F20"/>
          <w:spacing w:val="-10"/>
        </w:rPr>
        <w:t> </w:t>
      </w:r>
      <w:r>
        <w:rPr>
          <w:color w:val="231F20"/>
        </w:rPr>
        <w:t>Treatment.</w:t>
      </w:r>
    </w:p>
    <w:p>
      <w:pPr>
        <w:spacing w:line="266" w:lineRule="auto" w:before="174"/>
        <w:ind w:left="120" w:right="192" w:firstLine="0"/>
        <w:jc w:val="left"/>
        <w:rPr>
          <w:i/>
          <w:sz w:val="22"/>
        </w:rPr>
      </w:pPr>
      <w:r>
        <w:rPr>
          <w:i/>
          <w:color w:val="231F20"/>
          <w:sz w:val="22"/>
        </w:rPr>
        <w:t>Note: behavioral therapies and medication-assisted</w:t>
      </w:r>
      <w:r>
        <w:rPr>
          <w:i/>
          <w:color w:val="231F20"/>
          <w:spacing w:val="1"/>
          <w:sz w:val="22"/>
        </w:rPr>
        <w:t> </w:t>
      </w:r>
      <w:r>
        <w:rPr>
          <w:i/>
          <w:color w:val="231F20"/>
          <w:sz w:val="22"/>
        </w:rPr>
        <w:t>treatment</w:t>
      </w:r>
      <w:r>
        <w:rPr>
          <w:i/>
          <w:color w:val="231F20"/>
          <w:spacing w:val="-8"/>
          <w:sz w:val="22"/>
        </w:rPr>
        <w:t> </w:t>
      </w:r>
      <w:r>
        <w:rPr>
          <w:i/>
          <w:color w:val="231F20"/>
          <w:sz w:val="22"/>
        </w:rPr>
        <w:t>are</w:t>
      </w:r>
      <w:r>
        <w:rPr>
          <w:i/>
          <w:color w:val="231F20"/>
          <w:spacing w:val="-8"/>
          <w:sz w:val="22"/>
        </w:rPr>
        <w:t> </w:t>
      </w:r>
      <w:r>
        <w:rPr>
          <w:i/>
          <w:color w:val="231F20"/>
          <w:sz w:val="22"/>
        </w:rPr>
        <w:t>referred</w:t>
      </w:r>
      <w:r>
        <w:rPr>
          <w:i/>
          <w:color w:val="231F20"/>
          <w:spacing w:val="-8"/>
          <w:sz w:val="22"/>
        </w:rPr>
        <w:t> </w:t>
      </w:r>
      <w:r>
        <w:rPr>
          <w:i/>
          <w:color w:val="231F20"/>
          <w:sz w:val="22"/>
        </w:rPr>
        <w:t>to</w:t>
      </w:r>
      <w:r>
        <w:rPr>
          <w:i/>
          <w:color w:val="231F20"/>
          <w:spacing w:val="-7"/>
          <w:sz w:val="22"/>
        </w:rPr>
        <w:t> </w:t>
      </w:r>
      <w:r>
        <w:rPr>
          <w:i/>
          <w:color w:val="231F20"/>
          <w:sz w:val="22"/>
        </w:rPr>
        <w:t>as</w:t>
      </w:r>
      <w:r>
        <w:rPr>
          <w:i/>
          <w:color w:val="231F20"/>
          <w:spacing w:val="-8"/>
          <w:sz w:val="22"/>
        </w:rPr>
        <w:t> </w:t>
      </w:r>
      <w:r>
        <w:rPr>
          <w:b/>
          <w:i/>
          <w:color w:val="231F20"/>
          <w:sz w:val="22"/>
        </w:rPr>
        <w:t>treatments</w:t>
      </w:r>
      <w:r>
        <w:rPr>
          <w:b/>
          <w:i/>
          <w:color w:val="231F20"/>
          <w:spacing w:val="-9"/>
          <w:sz w:val="22"/>
        </w:rPr>
        <w:t> </w:t>
      </w:r>
      <w:r>
        <w:rPr>
          <w:i/>
          <w:color w:val="231F20"/>
          <w:sz w:val="22"/>
        </w:rPr>
        <w:t>throughout</w:t>
      </w:r>
      <w:r>
        <w:rPr>
          <w:i/>
          <w:color w:val="231F20"/>
          <w:spacing w:val="-8"/>
          <w:sz w:val="22"/>
        </w:rPr>
        <w:t> </w:t>
      </w:r>
      <w:r>
        <w:rPr>
          <w:i/>
          <w:color w:val="231F20"/>
          <w:sz w:val="22"/>
        </w:rPr>
        <w:t>this</w:t>
      </w:r>
      <w:r>
        <w:rPr>
          <w:i/>
          <w:color w:val="231F20"/>
          <w:spacing w:val="-52"/>
          <w:sz w:val="22"/>
        </w:rPr>
        <w:t> </w:t>
      </w:r>
      <w:r>
        <w:rPr>
          <w:i/>
          <w:color w:val="231F20"/>
          <w:sz w:val="22"/>
        </w:rPr>
        <w:t>appendix.</w:t>
      </w:r>
    </w:p>
    <w:p>
      <w:pPr>
        <w:pStyle w:val="BodyText"/>
        <w:spacing w:line="266" w:lineRule="auto" w:before="178"/>
        <w:ind w:left="120" w:right="96"/>
      </w:pPr>
      <w:r>
        <w:rPr>
          <w:color w:val="231F20"/>
          <w:spacing w:val="-1"/>
        </w:rPr>
        <w:t>Reviewers, in </w:t>
      </w:r>
      <w:r>
        <w:rPr>
          <w:color w:val="231F20"/>
        </w:rPr>
        <w:t>coordination with SAMHSA and experts,</w:t>
      </w:r>
      <w:r>
        <w:rPr>
          <w:color w:val="231F20"/>
          <w:spacing w:val="-52"/>
        </w:rPr>
        <w:t> </w:t>
      </w:r>
      <w:r>
        <w:rPr>
          <w:color w:val="231F20"/>
        </w:rPr>
        <w:t>conducted a four-step process to select treatments,</w:t>
      </w:r>
      <w:r>
        <w:rPr>
          <w:color w:val="231F20"/>
          <w:spacing w:val="1"/>
        </w:rPr>
        <w:t> </w:t>
      </w:r>
      <w:r>
        <w:rPr>
          <w:color w:val="231F20"/>
        </w:rPr>
        <w:t>identify related studies, review and rate studies, and</w:t>
      </w:r>
      <w:r>
        <w:rPr>
          <w:color w:val="231F20"/>
          <w:spacing w:val="1"/>
        </w:rPr>
        <w:t> </w:t>
      </w:r>
      <w:r>
        <w:rPr>
          <w:color w:val="231F20"/>
        </w:rPr>
        <w:t>identify treatment ratings.</w:t>
      </w:r>
    </w:p>
    <w:p>
      <w:pPr>
        <w:pStyle w:val="BodyText"/>
        <w:spacing w:before="6"/>
        <w:rPr>
          <w:sz w:val="19"/>
        </w:rPr>
      </w:pPr>
    </w:p>
    <w:p>
      <w:pPr>
        <w:pStyle w:val="Heading2"/>
        <w:spacing w:line="184" w:lineRule="auto" w:before="1"/>
        <w:ind w:right="1564"/>
      </w:pPr>
      <w:r>
        <w:rPr>
          <w:color w:val="1C384B"/>
        </w:rPr>
        <w:t>Step</w:t>
      </w:r>
      <w:r>
        <w:rPr>
          <w:color w:val="1C384B"/>
          <w:spacing w:val="-16"/>
        </w:rPr>
        <w:t> </w:t>
      </w:r>
      <w:r>
        <w:rPr>
          <w:color w:val="1C384B"/>
        </w:rPr>
        <w:t>1:</w:t>
      </w:r>
      <w:r>
        <w:rPr>
          <w:color w:val="1C384B"/>
          <w:spacing w:val="-15"/>
        </w:rPr>
        <w:t> </w:t>
      </w:r>
      <w:r>
        <w:rPr>
          <w:color w:val="1C384B"/>
        </w:rPr>
        <w:t>Treatment</w:t>
      </w:r>
      <w:r>
        <w:rPr>
          <w:color w:val="1C384B"/>
          <w:spacing w:val="-114"/>
        </w:rPr>
        <w:t> </w:t>
      </w:r>
      <w:r>
        <w:rPr>
          <w:color w:val="1C384B"/>
        </w:rPr>
        <w:t>Selection</w:t>
      </w:r>
    </w:p>
    <w:p>
      <w:pPr>
        <w:pStyle w:val="BodyText"/>
        <w:spacing w:before="111"/>
        <w:ind w:left="120"/>
      </w:pPr>
      <w:r>
        <w:rPr>
          <w:color w:val="231F20"/>
        </w:rPr>
        <w:t>The</w:t>
      </w:r>
      <w:r>
        <w:rPr>
          <w:color w:val="231F20"/>
          <w:spacing w:val="-2"/>
        </w:rPr>
        <w:t> </w:t>
      </w:r>
      <w:r>
        <w:rPr>
          <w:color w:val="231F20"/>
        </w:rPr>
        <w:t>authors</w:t>
      </w:r>
      <w:r>
        <w:rPr>
          <w:color w:val="231F20"/>
          <w:spacing w:val="-1"/>
        </w:rPr>
        <w:t> </w:t>
      </w:r>
      <w:r>
        <w:rPr>
          <w:color w:val="231F20"/>
        </w:rPr>
        <w:t>identified</w:t>
      </w:r>
      <w:r>
        <w:rPr>
          <w:color w:val="231F20"/>
          <w:spacing w:val="-2"/>
        </w:rPr>
        <w:t> </w:t>
      </w:r>
      <w:r>
        <w:rPr>
          <w:color w:val="231F20"/>
        </w:rPr>
        <w:t>these</w:t>
      </w:r>
      <w:r>
        <w:rPr>
          <w:color w:val="231F20"/>
          <w:spacing w:val="-1"/>
        </w:rPr>
        <w:t> </w:t>
      </w:r>
      <w:r>
        <w:rPr>
          <w:color w:val="231F20"/>
        </w:rPr>
        <w:t>treatments</w:t>
      </w:r>
      <w:r>
        <w:rPr>
          <w:color w:val="231F20"/>
          <w:spacing w:val="-2"/>
        </w:rPr>
        <w:t> </w:t>
      </w:r>
      <w:r>
        <w:rPr>
          <w:color w:val="231F20"/>
        </w:rPr>
        <w:t>after</w:t>
      </w:r>
      <w:r>
        <w:rPr>
          <w:color w:val="231F20"/>
          <w:spacing w:val="-1"/>
        </w:rPr>
        <w:t> </w:t>
      </w:r>
      <w:r>
        <w:rPr>
          <w:color w:val="231F20"/>
        </w:rPr>
        <w:t>a</w:t>
      </w:r>
      <w:r>
        <w:rPr>
          <w:color w:val="231F20"/>
          <w:spacing w:val="-2"/>
        </w:rPr>
        <w:t> </w:t>
      </w:r>
      <w:r>
        <w:rPr>
          <w:color w:val="231F20"/>
        </w:rPr>
        <w:t>review</w:t>
      </w:r>
    </w:p>
    <w:p>
      <w:pPr>
        <w:pStyle w:val="BodyText"/>
        <w:spacing w:line="266" w:lineRule="auto" w:before="27"/>
        <w:ind w:left="120" w:right="46"/>
      </w:pPr>
      <w:r>
        <w:rPr>
          <w:color w:val="231F20"/>
        </w:rPr>
        <w:t>of the literature and in consultation with experts. In an</w:t>
      </w:r>
      <w:r>
        <w:rPr>
          <w:color w:val="231F20"/>
          <w:spacing w:val="1"/>
        </w:rPr>
        <w:t> </w:t>
      </w:r>
      <w:r>
        <w:rPr>
          <w:color w:val="231F20"/>
        </w:rPr>
        <w:t>effort</w:t>
      </w:r>
      <w:r>
        <w:rPr>
          <w:color w:val="231F20"/>
          <w:spacing w:val="-7"/>
        </w:rPr>
        <w:t> </w:t>
      </w:r>
      <w:r>
        <w:rPr>
          <w:color w:val="231F20"/>
        </w:rPr>
        <w:t>to</w:t>
      </w:r>
      <w:r>
        <w:rPr>
          <w:color w:val="231F20"/>
          <w:spacing w:val="-6"/>
        </w:rPr>
        <w:t> </w:t>
      </w:r>
      <w:r>
        <w:rPr>
          <w:color w:val="231F20"/>
        </w:rPr>
        <w:t>include</w:t>
      </w:r>
      <w:r>
        <w:rPr>
          <w:color w:val="231F20"/>
          <w:spacing w:val="-6"/>
        </w:rPr>
        <w:t> </w:t>
      </w:r>
      <w:r>
        <w:rPr>
          <w:color w:val="231F20"/>
        </w:rPr>
        <w:t>treatments</w:t>
      </w:r>
      <w:r>
        <w:rPr>
          <w:color w:val="231F20"/>
          <w:spacing w:val="-6"/>
        </w:rPr>
        <w:t> </w:t>
      </w:r>
      <w:r>
        <w:rPr>
          <w:color w:val="231F20"/>
        </w:rPr>
        <w:t>offered</w:t>
      </w:r>
      <w:r>
        <w:rPr>
          <w:color w:val="231F20"/>
          <w:spacing w:val="-6"/>
        </w:rPr>
        <w:t> </w:t>
      </w:r>
      <w:r>
        <w:rPr>
          <w:color w:val="231F20"/>
        </w:rPr>
        <w:t>through</w:t>
      </w:r>
      <w:r>
        <w:rPr>
          <w:color w:val="231F20"/>
          <w:spacing w:val="-6"/>
        </w:rPr>
        <w:t> </w:t>
      </w:r>
      <w:r>
        <w:rPr>
          <w:color w:val="231F20"/>
        </w:rPr>
        <w:t>synchronous</w:t>
      </w:r>
      <w:r>
        <w:rPr>
          <w:color w:val="231F20"/>
          <w:spacing w:val="-52"/>
        </w:rPr>
        <w:t> </w:t>
      </w:r>
      <w:r>
        <w:rPr>
          <w:color w:val="231F20"/>
        </w:rPr>
        <w:t>telehealth modalities that are most useful to addressing</w:t>
      </w:r>
      <w:r>
        <w:rPr>
          <w:color w:val="231F20"/>
          <w:spacing w:val="1"/>
        </w:rPr>
        <w:t> </w:t>
      </w:r>
      <w:r>
        <w:rPr>
          <w:color w:val="231F20"/>
        </w:rPr>
        <w:t>the needs of people living with SMI and/or SUD,</w:t>
      </w:r>
      <w:r>
        <w:rPr>
          <w:color w:val="231F20"/>
          <w:spacing w:val="1"/>
        </w:rPr>
        <w:t> </w:t>
      </w:r>
      <w:r>
        <w:rPr>
          <w:color w:val="231F20"/>
        </w:rPr>
        <w:t>eligible treatments were required to meet the following</w:t>
      </w:r>
      <w:r>
        <w:rPr>
          <w:color w:val="231F20"/>
          <w:spacing w:val="1"/>
        </w:rPr>
        <w:t> </w:t>
      </w:r>
      <w:r>
        <w:rPr>
          <w:color w:val="231F20"/>
        </w:rPr>
        <w:t>criteria for evidence review:</w:t>
      </w:r>
    </w:p>
    <w:p>
      <w:pPr>
        <w:pStyle w:val="ListParagraph"/>
        <w:numPr>
          <w:ilvl w:val="1"/>
          <w:numId w:val="67"/>
        </w:numPr>
        <w:tabs>
          <w:tab w:pos="839" w:val="left" w:leader="none"/>
          <w:tab w:pos="840" w:val="left" w:leader="none"/>
        </w:tabs>
        <w:spacing w:line="240" w:lineRule="auto" w:before="159" w:after="0"/>
        <w:ind w:left="839" w:right="0" w:hanging="361"/>
        <w:jc w:val="left"/>
        <w:rPr>
          <w:sz w:val="22"/>
        </w:rPr>
      </w:pPr>
      <w:r>
        <w:rPr>
          <w:color w:val="010202"/>
          <w:sz w:val="22"/>
        </w:rPr>
        <w:t>Be</w:t>
      </w:r>
      <w:r>
        <w:rPr>
          <w:color w:val="010202"/>
          <w:spacing w:val="-3"/>
          <w:sz w:val="22"/>
        </w:rPr>
        <w:t> </w:t>
      </w:r>
      <w:r>
        <w:rPr>
          <w:color w:val="010202"/>
          <w:sz w:val="22"/>
        </w:rPr>
        <w:t>clearly</w:t>
      </w:r>
      <w:r>
        <w:rPr>
          <w:color w:val="010202"/>
          <w:spacing w:val="-2"/>
          <w:sz w:val="22"/>
        </w:rPr>
        <w:t> </w:t>
      </w:r>
      <w:r>
        <w:rPr>
          <w:color w:val="010202"/>
          <w:sz w:val="22"/>
        </w:rPr>
        <w:t>defined</w:t>
      </w:r>
      <w:r>
        <w:rPr>
          <w:color w:val="010202"/>
          <w:spacing w:val="-2"/>
          <w:sz w:val="22"/>
        </w:rPr>
        <w:t> </w:t>
      </w:r>
      <w:r>
        <w:rPr>
          <w:color w:val="010202"/>
          <w:sz w:val="22"/>
        </w:rPr>
        <w:t>and</w:t>
      </w:r>
      <w:r>
        <w:rPr>
          <w:color w:val="010202"/>
          <w:spacing w:val="-3"/>
          <w:sz w:val="22"/>
        </w:rPr>
        <w:t> </w:t>
      </w:r>
      <w:r>
        <w:rPr>
          <w:color w:val="010202"/>
          <w:sz w:val="22"/>
        </w:rPr>
        <w:t>replicable</w:t>
      </w:r>
    </w:p>
    <w:p>
      <w:pPr>
        <w:pStyle w:val="ListParagraph"/>
        <w:numPr>
          <w:ilvl w:val="1"/>
          <w:numId w:val="67"/>
        </w:numPr>
        <w:tabs>
          <w:tab w:pos="839" w:val="left" w:leader="none"/>
          <w:tab w:pos="840" w:val="left" w:leader="none"/>
        </w:tabs>
        <w:spacing w:line="264" w:lineRule="auto" w:before="58" w:after="0"/>
        <w:ind w:left="839" w:right="80" w:hanging="360"/>
        <w:jc w:val="left"/>
        <w:rPr>
          <w:sz w:val="22"/>
        </w:rPr>
      </w:pPr>
      <w:r>
        <w:rPr>
          <w:color w:val="010202"/>
          <w:sz w:val="22"/>
        </w:rPr>
        <w:t>Address</w:t>
      </w:r>
      <w:r>
        <w:rPr>
          <w:color w:val="010202"/>
          <w:spacing w:val="-4"/>
          <w:sz w:val="22"/>
        </w:rPr>
        <w:t> </w:t>
      </w:r>
      <w:r>
        <w:rPr>
          <w:color w:val="010202"/>
          <w:sz w:val="22"/>
        </w:rPr>
        <w:t>the</w:t>
      </w:r>
      <w:r>
        <w:rPr>
          <w:color w:val="010202"/>
          <w:spacing w:val="-3"/>
          <w:sz w:val="22"/>
        </w:rPr>
        <w:t> </w:t>
      </w:r>
      <w:r>
        <w:rPr>
          <w:color w:val="010202"/>
          <w:sz w:val="22"/>
        </w:rPr>
        <w:t>target</w:t>
      </w:r>
      <w:r>
        <w:rPr>
          <w:color w:val="010202"/>
          <w:spacing w:val="-3"/>
          <w:sz w:val="22"/>
        </w:rPr>
        <w:t> </w:t>
      </w:r>
      <w:r>
        <w:rPr>
          <w:color w:val="010202"/>
          <w:sz w:val="22"/>
        </w:rPr>
        <w:t>outcome</w:t>
      </w:r>
      <w:r>
        <w:rPr>
          <w:color w:val="010202"/>
          <w:spacing w:val="-3"/>
          <w:sz w:val="22"/>
        </w:rPr>
        <w:t> </w:t>
      </w:r>
      <w:r>
        <w:rPr>
          <w:color w:val="010202"/>
          <w:sz w:val="22"/>
        </w:rPr>
        <w:t>of</w:t>
      </w:r>
      <w:r>
        <w:rPr>
          <w:color w:val="010202"/>
          <w:spacing w:val="-3"/>
          <w:sz w:val="22"/>
        </w:rPr>
        <w:t> </w:t>
      </w:r>
      <w:r>
        <w:rPr>
          <w:color w:val="010202"/>
          <w:sz w:val="22"/>
        </w:rPr>
        <w:t>improving</w:t>
      </w:r>
      <w:r>
        <w:rPr>
          <w:color w:val="010202"/>
          <w:spacing w:val="-4"/>
          <w:sz w:val="22"/>
        </w:rPr>
        <w:t> </w:t>
      </w:r>
      <w:r>
        <w:rPr>
          <w:color w:val="010202"/>
          <w:sz w:val="22"/>
        </w:rPr>
        <w:t>health</w:t>
      </w:r>
      <w:r>
        <w:rPr>
          <w:color w:val="010202"/>
          <w:spacing w:val="-52"/>
          <w:sz w:val="22"/>
        </w:rPr>
        <w:t> </w:t>
      </w:r>
      <w:r>
        <w:rPr>
          <w:color w:val="010202"/>
          <w:sz w:val="22"/>
        </w:rPr>
        <w:t>outcomes for people living with SMI and SUD</w:t>
      </w:r>
      <w:r>
        <w:rPr>
          <w:color w:val="010202"/>
          <w:spacing w:val="1"/>
          <w:sz w:val="22"/>
        </w:rPr>
        <w:t> </w:t>
      </w:r>
      <w:r>
        <w:rPr>
          <w:color w:val="010202"/>
          <w:sz w:val="22"/>
        </w:rPr>
        <w:t>through telehealth modalities</w:t>
      </w:r>
    </w:p>
    <w:p>
      <w:pPr>
        <w:pStyle w:val="ListParagraph"/>
        <w:numPr>
          <w:ilvl w:val="1"/>
          <w:numId w:val="67"/>
        </w:numPr>
        <w:tabs>
          <w:tab w:pos="839" w:val="left" w:leader="none"/>
          <w:tab w:pos="840" w:val="left" w:leader="none"/>
        </w:tabs>
        <w:spacing w:line="240" w:lineRule="auto" w:before="33" w:after="0"/>
        <w:ind w:left="839" w:right="0" w:hanging="361"/>
        <w:jc w:val="left"/>
        <w:rPr>
          <w:sz w:val="22"/>
        </w:rPr>
      </w:pPr>
      <w:r>
        <w:rPr>
          <w:color w:val="010202"/>
          <w:sz w:val="22"/>
        </w:rPr>
        <w:t>Be</w:t>
      </w:r>
      <w:r>
        <w:rPr>
          <w:color w:val="010202"/>
          <w:spacing w:val="-3"/>
          <w:sz w:val="22"/>
        </w:rPr>
        <w:t> </w:t>
      </w:r>
      <w:r>
        <w:rPr>
          <w:color w:val="010202"/>
          <w:sz w:val="22"/>
        </w:rPr>
        <w:t>currently</w:t>
      </w:r>
      <w:r>
        <w:rPr>
          <w:color w:val="010202"/>
          <w:spacing w:val="-3"/>
          <w:sz w:val="22"/>
        </w:rPr>
        <w:t> </w:t>
      </w:r>
      <w:r>
        <w:rPr>
          <w:color w:val="010202"/>
          <w:sz w:val="22"/>
        </w:rPr>
        <w:t>implemented</w:t>
      </w:r>
      <w:r>
        <w:rPr>
          <w:color w:val="010202"/>
          <w:spacing w:val="-3"/>
          <w:sz w:val="22"/>
        </w:rPr>
        <w:t> </w:t>
      </w:r>
      <w:r>
        <w:rPr>
          <w:color w:val="010202"/>
          <w:sz w:val="22"/>
        </w:rPr>
        <w:t>in</w:t>
      </w:r>
      <w:r>
        <w:rPr>
          <w:color w:val="010202"/>
          <w:spacing w:val="-2"/>
          <w:sz w:val="22"/>
        </w:rPr>
        <w:t> </w:t>
      </w:r>
      <w:r>
        <w:rPr>
          <w:color w:val="010202"/>
          <w:sz w:val="22"/>
        </w:rPr>
        <w:t>the</w:t>
      </w:r>
      <w:r>
        <w:rPr>
          <w:color w:val="010202"/>
          <w:spacing w:val="-3"/>
          <w:sz w:val="22"/>
        </w:rPr>
        <w:t> </w:t>
      </w:r>
      <w:r>
        <w:rPr>
          <w:color w:val="010202"/>
          <w:sz w:val="22"/>
        </w:rPr>
        <w:t>field</w:t>
      </w:r>
    </w:p>
    <w:p>
      <w:pPr>
        <w:pStyle w:val="ListParagraph"/>
        <w:numPr>
          <w:ilvl w:val="1"/>
          <w:numId w:val="67"/>
        </w:numPr>
        <w:tabs>
          <w:tab w:pos="839" w:val="left" w:leader="none"/>
          <w:tab w:pos="840" w:val="left" w:leader="none"/>
        </w:tabs>
        <w:spacing w:line="240" w:lineRule="auto" w:before="58" w:after="0"/>
        <w:ind w:left="839" w:right="0" w:hanging="361"/>
        <w:jc w:val="left"/>
        <w:rPr>
          <w:sz w:val="22"/>
        </w:rPr>
      </w:pPr>
      <w:r>
        <w:rPr>
          <w:color w:val="010202"/>
          <w:sz w:val="22"/>
        </w:rPr>
        <w:t>Have</w:t>
      </w:r>
      <w:r>
        <w:rPr>
          <w:color w:val="010202"/>
          <w:spacing w:val="-6"/>
          <w:sz w:val="22"/>
        </w:rPr>
        <w:t> </w:t>
      </w:r>
      <w:r>
        <w:rPr>
          <w:color w:val="010202"/>
          <w:sz w:val="22"/>
        </w:rPr>
        <w:t>studies</w:t>
      </w:r>
      <w:r>
        <w:rPr>
          <w:color w:val="010202"/>
          <w:spacing w:val="-5"/>
          <w:sz w:val="22"/>
        </w:rPr>
        <w:t> </w:t>
      </w:r>
      <w:r>
        <w:rPr>
          <w:color w:val="010202"/>
          <w:sz w:val="22"/>
        </w:rPr>
        <w:t>of</w:t>
      </w:r>
      <w:r>
        <w:rPr>
          <w:color w:val="010202"/>
          <w:spacing w:val="-4"/>
          <w:sz w:val="22"/>
        </w:rPr>
        <w:t> </w:t>
      </w:r>
      <w:r>
        <w:rPr>
          <w:color w:val="010202"/>
          <w:sz w:val="22"/>
        </w:rPr>
        <w:t>their</w:t>
      </w:r>
      <w:r>
        <w:rPr>
          <w:color w:val="010202"/>
          <w:spacing w:val="-4"/>
          <w:sz w:val="22"/>
        </w:rPr>
        <w:t> </w:t>
      </w:r>
      <w:r>
        <w:rPr>
          <w:color w:val="010202"/>
          <w:sz w:val="22"/>
        </w:rPr>
        <w:t>effectiveness</w:t>
      </w:r>
    </w:p>
    <w:p>
      <w:pPr>
        <w:pStyle w:val="ListParagraph"/>
        <w:numPr>
          <w:ilvl w:val="1"/>
          <w:numId w:val="67"/>
        </w:numPr>
        <w:tabs>
          <w:tab w:pos="839" w:val="left" w:leader="none"/>
          <w:tab w:pos="840" w:val="left" w:leader="none"/>
        </w:tabs>
        <w:spacing w:line="240" w:lineRule="auto" w:before="57" w:after="0"/>
        <w:ind w:left="839" w:right="0" w:hanging="361"/>
        <w:jc w:val="left"/>
        <w:rPr>
          <w:sz w:val="22"/>
        </w:rPr>
      </w:pPr>
      <w:r>
        <w:rPr>
          <w:color w:val="010202"/>
          <w:sz w:val="22"/>
        </w:rPr>
        <w:t>Have</w:t>
      </w:r>
      <w:r>
        <w:rPr>
          <w:color w:val="010202"/>
          <w:spacing w:val="-6"/>
          <w:sz w:val="22"/>
        </w:rPr>
        <w:t> </w:t>
      </w:r>
      <w:r>
        <w:rPr>
          <w:color w:val="010202"/>
          <w:sz w:val="22"/>
        </w:rPr>
        <w:t>accessible</w:t>
      </w:r>
      <w:r>
        <w:rPr>
          <w:color w:val="010202"/>
          <w:spacing w:val="-4"/>
          <w:sz w:val="22"/>
        </w:rPr>
        <w:t> </w:t>
      </w:r>
      <w:r>
        <w:rPr>
          <w:color w:val="010202"/>
          <w:sz w:val="22"/>
        </w:rPr>
        <w:t>implementation</w:t>
      </w:r>
      <w:r>
        <w:rPr>
          <w:color w:val="010202"/>
          <w:spacing w:val="-4"/>
          <w:sz w:val="22"/>
        </w:rPr>
        <w:t> </w:t>
      </w:r>
      <w:r>
        <w:rPr>
          <w:color w:val="010202"/>
          <w:sz w:val="22"/>
        </w:rPr>
        <w:t>and</w:t>
      </w:r>
      <w:r>
        <w:rPr>
          <w:color w:val="010202"/>
          <w:spacing w:val="-5"/>
          <w:sz w:val="22"/>
        </w:rPr>
        <w:t> </w:t>
      </w:r>
      <w:r>
        <w:rPr>
          <w:color w:val="010202"/>
          <w:sz w:val="22"/>
        </w:rPr>
        <w:t>fidelity</w:t>
      </w:r>
    </w:p>
    <w:p>
      <w:pPr>
        <w:pStyle w:val="BodyText"/>
        <w:spacing w:before="26"/>
        <w:ind w:left="839"/>
      </w:pPr>
      <w:r>
        <w:rPr>
          <w:color w:val="010202"/>
        </w:rPr>
        <w:t>supports</w:t>
      </w:r>
    </w:p>
    <w:p>
      <w:pPr>
        <w:pStyle w:val="BodyText"/>
        <w:spacing w:line="266" w:lineRule="auto" w:before="207"/>
        <w:ind w:left="119" w:right="23"/>
      </w:pPr>
      <w:r>
        <w:rPr>
          <w:color w:val="231F20"/>
          <w:spacing w:val="-1"/>
        </w:rPr>
        <w:t>At the conclusion of this </w:t>
      </w:r>
      <w:r>
        <w:rPr>
          <w:color w:val="231F20"/>
        </w:rPr>
        <w:t>step, SAMHSA and the guide’s</w:t>
      </w:r>
      <w:r>
        <w:rPr>
          <w:color w:val="231F20"/>
          <w:spacing w:val="-52"/>
        </w:rPr>
        <w:t> </w:t>
      </w:r>
      <w:r>
        <w:rPr>
          <w:color w:val="231F20"/>
        </w:rPr>
        <w:t>Expert Panel reviewed the proposed programs identified</w:t>
      </w:r>
      <w:r>
        <w:rPr>
          <w:color w:val="231F20"/>
          <w:spacing w:val="-52"/>
        </w:rPr>
        <w:t> </w:t>
      </w:r>
      <w:r>
        <w:rPr>
          <w:color w:val="231F20"/>
        </w:rPr>
        <w:t>by the authors and agreed on four behavioral therapies</w:t>
      </w:r>
      <w:r>
        <w:rPr>
          <w:color w:val="231F20"/>
          <w:spacing w:val="1"/>
        </w:rPr>
        <w:t> </w:t>
      </w:r>
      <w:r>
        <w:rPr>
          <w:color w:val="231F20"/>
        </w:rPr>
        <w:t>and medication-assisted treatment for inclusion in the</w:t>
      </w:r>
      <w:r>
        <w:rPr>
          <w:color w:val="231F20"/>
          <w:spacing w:val="1"/>
        </w:rPr>
        <w:t> </w:t>
      </w:r>
      <w:r>
        <w:rPr>
          <w:color w:val="231F20"/>
        </w:rPr>
        <w:t>evidence review and rating process.</w:t>
      </w:r>
    </w:p>
    <w:p>
      <w:pPr>
        <w:pStyle w:val="Heading2"/>
        <w:spacing w:line="437" w:lineRule="exact" w:before="101"/>
      </w:pPr>
      <w:r>
        <w:rPr/>
        <w:br w:type="column"/>
      </w:r>
      <w:r>
        <w:rPr>
          <w:color w:val="1C384B"/>
        </w:rPr>
        <w:t>Step</w:t>
      </w:r>
      <w:r>
        <w:rPr>
          <w:color w:val="1C384B"/>
          <w:spacing w:val="-2"/>
        </w:rPr>
        <w:t> </w:t>
      </w:r>
      <w:r>
        <w:rPr>
          <w:color w:val="1C384B"/>
        </w:rPr>
        <w:t>2:</w:t>
      </w:r>
      <w:r>
        <w:rPr>
          <w:color w:val="1C384B"/>
          <w:spacing w:val="-1"/>
        </w:rPr>
        <w:t> </w:t>
      </w:r>
      <w:r>
        <w:rPr>
          <w:color w:val="1C384B"/>
        </w:rPr>
        <w:t>Study</w:t>
      </w:r>
    </w:p>
    <w:p>
      <w:pPr>
        <w:spacing w:line="437" w:lineRule="exact" w:before="0"/>
        <w:ind w:left="120" w:right="0" w:firstLine="0"/>
        <w:jc w:val="left"/>
        <w:rPr>
          <w:rFonts w:ascii="Arial Black"/>
          <w:sz w:val="35"/>
        </w:rPr>
      </w:pPr>
      <w:r>
        <w:rPr>
          <w:rFonts w:ascii="Arial Black"/>
          <w:color w:val="1C384B"/>
          <w:sz w:val="35"/>
        </w:rPr>
        <w:t>Identification</w:t>
      </w:r>
    </w:p>
    <w:p>
      <w:pPr>
        <w:pStyle w:val="BodyText"/>
        <w:spacing w:line="266" w:lineRule="auto" w:before="86"/>
        <w:ind w:left="120" w:right="706"/>
      </w:pPr>
      <w:r>
        <w:rPr>
          <w:color w:val="231F20"/>
        </w:rPr>
        <w:t>Once the treatments were identified, the reviewers</w:t>
      </w:r>
      <w:r>
        <w:rPr>
          <w:color w:val="231F20"/>
          <w:spacing w:val="1"/>
        </w:rPr>
        <w:t> </w:t>
      </w:r>
      <w:r>
        <w:rPr>
          <w:color w:val="231F20"/>
        </w:rPr>
        <w:t>conducted a comprehensive review of published research</w:t>
      </w:r>
      <w:r>
        <w:rPr>
          <w:color w:val="231F20"/>
          <w:spacing w:val="-52"/>
        </w:rPr>
        <w:t> </w:t>
      </w:r>
      <w:r>
        <w:rPr>
          <w:color w:val="231F20"/>
        </w:rPr>
        <w:t>on these treatments to identify relevant studies. This</w:t>
      </w:r>
      <w:r>
        <w:rPr>
          <w:color w:val="231F20"/>
          <w:spacing w:val="1"/>
        </w:rPr>
        <w:t> </w:t>
      </w:r>
      <w:r>
        <w:rPr>
          <w:color w:val="231F20"/>
        </w:rPr>
        <w:t>review only</w:t>
      </w:r>
      <w:r>
        <w:rPr>
          <w:color w:val="231F20"/>
          <w:spacing w:val="-1"/>
        </w:rPr>
        <w:t> </w:t>
      </w:r>
      <w:r>
        <w:rPr>
          <w:color w:val="231F20"/>
        </w:rPr>
        <w:t>included studies from eligible sources</w:t>
      </w:r>
    </w:p>
    <w:p>
      <w:pPr>
        <w:pStyle w:val="BodyText"/>
        <w:spacing w:line="266" w:lineRule="auto"/>
        <w:ind w:left="120" w:right="956"/>
      </w:pPr>
      <w:r>
        <w:rPr>
          <w:color w:val="231F20"/>
        </w:rPr>
        <w:t>(i.e., peer reviewed journals and government reports)</w:t>
      </w:r>
      <w:r>
        <w:rPr>
          <w:color w:val="231F20"/>
          <w:spacing w:val="1"/>
        </w:rPr>
        <w:t> </w:t>
      </w:r>
      <w:r>
        <w:rPr>
          <w:color w:val="231F20"/>
        </w:rPr>
        <w:t>that avoid clear conflicts of interest. The reviewers</w:t>
      </w:r>
      <w:r>
        <w:rPr>
          <w:color w:val="231F20"/>
          <w:spacing w:val="1"/>
        </w:rPr>
        <w:t> </w:t>
      </w:r>
      <w:r>
        <w:rPr>
          <w:color w:val="231F20"/>
        </w:rPr>
        <w:t>documented</w:t>
      </w:r>
      <w:r>
        <w:rPr>
          <w:color w:val="231F20"/>
          <w:spacing w:val="-3"/>
        </w:rPr>
        <w:t> </w:t>
      </w:r>
      <w:r>
        <w:rPr>
          <w:color w:val="231F20"/>
        </w:rPr>
        <w:t>all</w:t>
      </w:r>
      <w:r>
        <w:rPr>
          <w:color w:val="231F20"/>
          <w:spacing w:val="-3"/>
        </w:rPr>
        <w:t> </w:t>
      </w:r>
      <w:r>
        <w:rPr>
          <w:color w:val="231F20"/>
        </w:rPr>
        <w:t>potential</w:t>
      </w:r>
      <w:r>
        <w:rPr>
          <w:color w:val="231F20"/>
          <w:spacing w:val="-3"/>
        </w:rPr>
        <w:t> </w:t>
      </w:r>
      <w:r>
        <w:rPr>
          <w:color w:val="231F20"/>
        </w:rPr>
        <w:t>studies</w:t>
      </w:r>
      <w:r>
        <w:rPr>
          <w:color w:val="231F20"/>
          <w:spacing w:val="-4"/>
        </w:rPr>
        <w:t> </w:t>
      </w:r>
      <w:r>
        <w:rPr>
          <w:color w:val="231F20"/>
        </w:rPr>
        <w:t>identified</w:t>
      </w:r>
      <w:r>
        <w:rPr>
          <w:color w:val="231F20"/>
          <w:spacing w:val="-3"/>
        </w:rPr>
        <w:t> </w:t>
      </w:r>
      <w:r>
        <w:rPr>
          <w:color w:val="231F20"/>
        </w:rPr>
        <w:t>through</w:t>
      </w:r>
      <w:r>
        <w:rPr>
          <w:color w:val="231F20"/>
          <w:spacing w:val="-3"/>
        </w:rPr>
        <w:t> </w:t>
      </w:r>
      <w:r>
        <w:rPr>
          <w:color w:val="231F20"/>
        </w:rPr>
        <w:t>the</w:t>
      </w:r>
      <w:r>
        <w:rPr>
          <w:color w:val="231F20"/>
          <w:spacing w:val="-52"/>
        </w:rPr>
        <w:t> </w:t>
      </w:r>
      <w:r>
        <w:rPr>
          <w:color w:val="231F20"/>
        </w:rPr>
        <w:t>literature search.</w:t>
      </w:r>
    </w:p>
    <w:p>
      <w:pPr>
        <w:pStyle w:val="BodyText"/>
        <w:spacing w:line="266" w:lineRule="auto" w:before="174"/>
        <w:ind w:left="120" w:right="989"/>
        <w:jc w:val="both"/>
      </w:pPr>
      <w:r>
        <w:rPr>
          <w:color w:val="231F20"/>
        </w:rPr>
        <w:t>The studies identified in the literature search varied in</w:t>
      </w:r>
      <w:r>
        <w:rPr>
          <w:color w:val="231F20"/>
          <w:spacing w:val="-52"/>
        </w:rPr>
        <w:t> </w:t>
      </w:r>
      <w:r>
        <w:rPr>
          <w:color w:val="231F20"/>
        </w:rPr>
        <w:t>type and rigor, so the reviewers assessed them further</w:t>
      </w:r>
      <w:r>
        <w:rPr>
          <w:color w:val="231F20"/>
          <w:spacing w:val="-52"/>
        </w:rPr>
        <w:t> </w:t>
      </w:r>
      <w:r>
        <w:rPr>
          <w:color w:val="231F20"/>
        </w:rPr>
        <w:t>for</w:t>
      </w:r>
      <w:r>
        <w:rPr>
          <w:color w:val="231F20"/>
          <w:spacing w:val="-6"/>
        </w:rPr>
        <w:t> </w:t>
      </w:r>
      <w:r>
        <w:rPr>
          <w:color w:val="231F20"/>
        </w:rPr>
        <w:t>inclusion</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evidence</w:t>
      </w:r>
      <w:r>
        <w:rPr>
          <w:color w:val="231F20"/>
          <w:spacing w:val="-5"/>
        </w:rPr>
        <w:t> </w:t>
      </w:r>
      <w:r>
        <w:rPr>
          <w:color w:val="231F20"/>
        </w:rPr>
        <w:t>review.</w:t>
      </w:r>
      <w:r>
        <w:rPr>
          <w:color w:val="231F20"/>
          <w:spacing w:val="-8"/>
        </w:rPr>
        <w:t> </w:t>
      </w:r>
      <w:r>
        <w:rPr>
          <w:color w:val="231F20"/>
        </w:rPr>
        <w:t>To</w:t>
      </w:r>
      <w:r>
        <w:rPr>
          <w:color w:val="231F20"/>
          <w:spacing w:val="-5"/>
        </w:rPr>
        <w:t> </w:t>
      </w:r>
      <w:r>
        <w:rPr>
          <w:color w:val="231F20"/>
        </w:rPr>
        <w:t>be</w:t>
      </w:r>
      <w:r>
        <w:rPr>
          <w:color w:val="231F20"/>
          <w:spacing w:val="-5"/>
        </w:rPr>
        <w:t> </w:t>
      </w:r>
      <w:r>
        <w:rPr>
          <w:color w:val="231F20"/>
        </w:rPr>
        <w:t>eligible</w:t>
      </w:r>
      <w:r>
        <w:rPr>
          <w:color w:val="231F20"/>
          <w:spacing w:val="-5"/>
        </w:rPr>
        <w:t> </w:t>
      </w:r>
      <w:r>
        <w:rPr>
          <w:color w:val="231F20"/>
        </w:rPr>
        <w:t>for</w:t>
      </w:r>
      <w:r>
        <w:rPr>
          <w:color w:val="231F20"/>
          <w:spacing w:val="-53"/>
        </w:rPr>
        <w:t> </w:t>
      </w:r>
      <w:r>
        <w:rPr>
          <w:color w:val="231F20"/>
        </w:rPr>
        <w:t>review and study</w:t>
      </w:r>
      <w:r>
        <w:rPr>
          <w:color w:val="231F20"/>
          <w:spacing w:val="-1"/>
        </w:rPr>
        <w:t> </w:t>
      </w:r>
      <w:r>
        <w:rPr>
          <w:color w:val="231F20"/>
        </w:rPr>
        <w:t>rating, research studies had to:</w:t>
      </w:r>
    </w:p>
    <w:p>
      <w:pPr>
        <w:pStyle w:val="ListParagraph"/>
        <w:numPr>
          <w:ilvl w:val="1"/>
          <w:numId w:val="67"/>
        </w:numPr>
        <w:tabs>
          <w:tab w:pos="839" w:val="left" w:leader="none"/>
          <w:tab w:pos="840" w:val="left" w:leader="none"/>
        </w:tabs>
        <w:spacing w:line="240" w:lineRule="auto" w:before="161" w:after="0"/>
        <w:ind w:left="839" w:right="0" w:hanging="361"/>
        <w:jc w:val="left"/>
        <w:rPr>
          <w:sz w:val="22"/>
        </w:rPr>
      </w:pPr>
      <w:r>
        <w:rPr>
          <w:color w:val="010202"/>
          <w:sz w:val="22"/>
        </w:rPr>
        <w:t>Employ a randomized or quasi-experimental</w:t>
      </w:r>
    </w:p>
    <w:p>
      <w:pPr>
        <w:pStyle w:val="BodyText"/>
        <w:spacing w:before="26"/>
        <w:ind w:left="839"/>
      </w:pPr>
      <w:r>
        <w:rPr>
          <w:color w:val="010202"/>
        </w:rPr>
        <w:t>design,</w:t>
      </w:r>
      <w:r>
        <w:rPr>
          <w:color w:val="010202"/>
          <w:spacing w:val="-1"/>
        </w:rPr>
        <w:t> </w:t>
      </w:r>
      <w:r>
        <w:rPr>
          <w:color w:val="010202"/>
        </w:rPr>
        <w:t>or</w:t>
      </w:r>
    </w:p>
    <w:p>
      <w:pPr>
        <w:pStyle w:val="ListParagraph"/>
        <w:numPr>
          <w:ilvl w:val="1"/>
          <w:numId w:val="67"/>
        </w:numPr>
        <w:tabs>
          <w:tab w:pos="839" w:val="left" w:leader="none"/>
          <w:tab w:pos="840" w:val="left" w:leader="none"/>
        </w:tabs>
        <w:spacing w:line="264" w:lineRule="auto" w:before="58" w:after="0"/>
        <w:ind w:left="839" w:right="1622" w:hanging="360"/>
        <w:jc w:val="left"/>
        <w:rPr>
          <w:sz w:val="22"/>
        </w:rPr>
      </w:pPr>
      <w:r>
        <w:rPr>
          <w:color w:val="010202"/>
          <w:sz w:val="22"/>
        </w:rPr>
        <w:t>Be a single sample pre-post design or</w:t>
      </w:r>
      <w:r>
        <w:rPr>
          <w:color w:val="010202"/>
          <w:spacing w:val="1"/>
          <w:sz w:val="22"/>
        </w:rPr>
        <w:t> </w:t>
      </w:r>
      <w:r>
        <w:rPr>
          <w:color w:val="010202"/>
          <w:sz w:val="22"/>
        </w:rPr>
        <w:t>an</w:t>
      </w:r>
      <w:r>
        <w:rPr>
          <w:color w:val="010202"/>
          <w:spacing w:val="-4"/>
          <w:sz w:val="22"/>
        </w:rPr>
        <w:t> </w:t>
      </w:r>
      <w:r>
        <w:rPr>
          <w:color w:val="010202"/>
          <w:sz w:val="22"/>
        </w:rPr>
        <w:t>epidemiological</w:t>
      </w:r>
      <w:r>
        <w:rPr>
          <w:color w:val="010202"/>
          <w:spacing w:val="-3"/>
          <w:sz w:val="22"/>
        </w:rPr>
        <w:t> </w:t>
      </w:r>
      <w:r>
        <w:rPr>
          <w:color w:val="010202"/>
          <w:sz w:val="22"/>
        </w:rPr>
        <w:t>study</w:t>
      </w:r>
      <w:r>
        <w:rPr>
          <w:color w:val="010202"/>
          <w:spacing w:val="-3"/>
          <w:sz w:val="22"/>
        </w:rPr>
        <w:t> </w:t>
      </w:r>
      <w:r>
        <w:rPr>
          <w:color w:val="010202"/>
          <w:sz w:val="22"/>
        </w:rPr>
        <w:t>with</w:t>
      </w:r>
      <w:r>
        <w:rPr>
          <w:color w:val="010202"/>
          <w:spacing w:val="-4"/>
          <w:sz w:val="22"/>
        </w:rPr>
        <w:t> </w:t>
      </w:r>
      <w:r>
        <w:rPr>
          <w:color w:val="010202"/>
          <w:sz w:val="22"/>
        </w:rPr>
        <w:t>a</w:t>
      </w:r>
      <w:r>
        <w:rPr>
          <w:color w:val="010202"/>
          <w:spacing w:val="-3"/>
          <w:sz w:val="22"/>
        </w:rPr>
        <w:t> </w:t>
      </w:r>
      <w:r>
        <w:rPr>
          <w:color w:val="010202"/>
          <w:sz w:val="22"/>
        </w:rPr>
        <w:t>strong</w:t>
      </w:r>
    </w:p>
    <w:p>
      <w:pPr>
        <w:pStyle w:val="BodyText"/>
        <w:spacing w:line="266" w:lineRule="auto" w:before="1"/>
        <w:ind w:left="839" w:right="946"/>
      </w:pPr>
      <w:r>
        <w:rPr>
          <w:color w:val="010202"/>
        </w:rPr>
        <w:t>counterfactual (i.e., a study that analyzes what</w:t>
      </w:r>
      <w:r>
        <w:rPr>
          <w:color w:val="010202"/>
          <w:spacing w:val="-52"/>
        </w:rPr>
        <w:t> </w:t>
      </w:r>
      <w:r>
        <w:rPr>
          <w:color w:val="010202"/>
        </w:rPr>
        <w:t>would have happened in the absence of the</w:t>
      </w:r>
      <w:r>
        <w:rPr>
          <w:color w:val="010202"/>
          <w:spacing w:val="1"/>
        </w:rPr>
        <w:t> </w:t>
      </w:r>
      <w:r>
        <w:rPr>
          <w:color w:val="010202"/>
        </w:rPr>
        <w:t>intervention)</w:t>
      </w:r>
    </w:p>
    <w:p>
      <w:pPr>
        <w:pStyle w:val="BodyText"/>
        <w:spacing w:line="266" w:lineRule="auto" w:before="178"/>
        <w:ind w:left="119" w:right="878"/>
      </w:pPr>
      <w:r>
        <w:rPr>
          <w:color w:val="231F20"/>
        </w:rPr>
        <w:t>Literature reviews, descriptive articles, implementation</w:t>
      </w:r>
      <w:r>
        <w:rPr>
          <w:color w:val="231F20"/>
          <w:spacing w:val="-52"/>
        </w:rPr>
        <w:t> </w:t>
      </w:r>
      <w:r>
        <w:rPr>
          <w:color w:val="231F20"/>
        </w:rPr>
        <w:t>studies, and meta-analyses were not included in the</w:t>
      </w:r>
      <w:r>
        <w:rPr>
          <w:color w:val="231F20"/>
          <w:spacing w:val="1"/>
        </w:rPr>
        <w:t> </w:t>
      </w:r>
      <w:r>
        <w:rPr>
          <w:color w:val="231F20"/>
        </w:rPr>
        <w:t>review, but were documented to provide context and</w:t>
      </w:r>
      <w:r>
        <w:rPr>
          <w:color w:val="231F20"/>
          <w:spacing w:val="1"/>
        </w:rPr>
        <w:t> </w:t>
      </w:r>
      <w:r>
        <w:rPr>
          <w:color w:val="231F20"/>
        </w:rPr>
        <w:t>identify implementation supports for the treatments.</w:t>
      </w:r>
    </w:p>
    <w:p>
      <w:pPr>
        <w:pStyle w:val="BodyText"/>
        <w:spacing w:line="266" w:lineRule="auto" w:before="177"/>
        <w:ind w:left="119" w:right="785"/>
      </w:pPr>
      <w:r>
        <w:rPr>
          <w:color w:val="231F20"/>
        </w:rPr>
        <w:t>Additionally,</w:t>
      </w:r>
      <w:r>
        <w:rPr>
          <w:color w:val="231F20"/>
          <w:spacing w:val="-4"/>
        </w:rPr>
        <w:t> </w:t>
      </w:r>
      <w:r>
        <w:rPr>
          <w:color w:val="231F20"/>
        </w:rPr>
        <w:t>to</w:t>
      </w:r>
      <w:r>
        <w:rPr>
          <w:color w:val="231F20"/>
          <w:spacing w:val="-4"/>
        </w:rPr>
        <w:t> </w:t>
      </w:r>
      <w:r>
        <w:rPr>
          <w:color w:val="231F20"/>
        </w:rPr>
        <w:t>be</w:t>
      </w:r>
      <w:r>
        <w:rPr>
          <w:color w:val="231F20"/>
          <w:spacing w:val="-4"/>
        </w:rPr>
        <w:t> </w:t>
      </w:r>
      <w:r>
        <w:rPr>
          <w:color w:val="231F20"/>
        </w:rPr>
        <w:t>eligible</w:t>
      </w:r>
      <w:r>
        <w:rPr>
          <w:color w:val="231F20"/>
          <w:spacing w:val="-3"/>
        </w:rPr>
        <w:t> </w:t>
      </w:r>
      <w:r>
        <w:rPr>
          <w:color w:val="231F20"/>
        </w:rPr>
        <w:t>for</w:t>
      </w:r>
      <w:r>
        <w:rPr>
          <w:color w:val="231F20"/>
          <w:spacing w:val="-4"/>
        </w:rPr>
        <w:t> </w:t>
      </w:r>
      <w:r>
        <w:rPr>
          <w:color w:val="231F20"/>
        </w:rPr>
        <w:t>further</w:t>
      </w:r>
      <w:r>
        <w:rPr>
          <w:color w:val="231F20"/>
          <w:spacing w:val="-4"/>
        </w:rPr>
        <w:t> </w:t>
      </w:r>
      <w:r>
        <w:rPr>
          <w:color w:val="231F20"/>
        </w:rPr>
        <w:t>review</w:t>
      </w:r>
      <w:r>
        <w:rPr>
          <w:color w:val="231F20"/>
          <w:spacing w:val="-4"/>
        </w:rPr>
        <w:t> </w:t>
      </w:r>
      <w:r>
        <w:rPr>
          <w:color w:val="231F20"/>
        </w:rPr>
        <w:t>and</w:t>
      </w:r>
      <w:r>
        <w:rPr>
          <w:color w:val="231F20"/>
          <w:spacing w:val="-3"/>
        </w:rPr>
        <w:t> </w:t>
      </w:r>
      <w:r>
        <w:rPr>
          <w:color w:val="231F20"/>
        </w:rPr>
        <w:t>rating,</w:t>
      </w:r>
      <w:r>
        <w:rPr>
          <w:color w:val="231F20"/>
          <w:spacing w:val="-52"/>
        </w:rPr>
        <w:t> </w:t>
      </w:r>
      <w:r>
        <w:rPr>
          <w:color w:val="231F20"/>
        </w:rPr>
        <w:t>studies had to:</w:t>
      </w:r>
    </w:p>
    <w:p>
      <w:pPr>
        <w:pStyle w:val="ListParagraph"/>
        <w:numPr>
          <w:ilvl w:val="1"/>
          <w:numId w:val="67"/>
        </w:numPr>
        <w:tabs>
          <w:tab w:pos="839" w:val="left" w:leader="none"/>
          <w:tab w:pos="840" w:val="left" w:leader="none"/>
        </w:tabs>
        <w:spacing w:line="240" w:lineRule="auto" w:before="163" w:after="0"/>
        <w:ind w:left="839" w:right="0" w:hanging="361"/>
        <w:jc w:val="left"/>
        <w:rPr>
          <w:sz w:val="22"/>
        </w:rPr>
      </w:pPr>
      <w:r>
        <w:rPr>
          <w:color w:val="010202"/>
          <w:sz w:val="22"/>
        </w:rPr>
        <w:t>Be published or prepared in or after 2010</w:t>
      </w:r>
    </w:p>
    <w:p>
      <w:pPr>
        <w:pStyle w:val="ListParagraph"/>
        <w:numPr>
          <w:ilvl w:val="1"/>
          <w:numId w:val="67"/>
        </w:numPr>
        <w:tabs>
          <w:tab w:pos="839" w:val="left" w:leader="none"/>
          <w:tab w:pos="840" w:val="left" w:leader="none"/>
        </w:tabs>
        <w:spacing w:line="264" w:lineRule="auto" w:before="57" w:after="0"/>
        <w:ind w:left="839" w:right="1231" w:hanging="360"/>
        <w:jc w:val="left"/>
        <w:rPr>
          <w:sz w:val="22"/>
        </w:rPr>
      </w:pPr>
      <w:r>
        <w:rPr>
          <w:color w:val="010202"/>
          <w:sz w:val="22"/>
        </w:rPr>
        <w:t>Be</w:t>
      </w:r>
      <w:r>
        <w:rPr>
          <w:color w:val="010202"/>
          <w:spacing w:val="-4"/>
          <w:sz w:val="22"/>
        </w:rPr>
        <w:t> </w:t>
      </w:r>
      <w:r>
        <w:rPr>
          <w:color w:val="010202"/>
          <w:sz w:val="22"/>
        </w:rPr>
        <w:t>available</w:t>
      </w:r>
      <w:r>
        <w:rPr>
          <w:color w:val="010202"/>
          <w:spacing w:val="-3"/>
          <w:sz w:val="22"/>
        </w:rPr>
        <w:t> </w:t>
      </w:r>
      <w:r>
        <w:rPr>
          <w:color w:val="010202"/>
          <w:sz w:val="22"/>
        </w:rPr>
        <w:t>publicly</w:t>
      </w:r>
      <w:r>
        <w:rPr>
          <w:color w:val="010202"/>
          <w:spacing w:val="-4"/>
          <w:sz w:val="22"/>
        </w:rPr>
        <w:t> </w:t>
      </w:r>
      <w:r>
        <w:rPr>
          <w:color w:val="010202"/>
          <w:sz w:val="22"/>
        </w:rPr>
        <w:t>as</w:t>
      </w:r>
      <w:r>
        <w:rPr>
          <w:color w:val="010202"/>
          <w:spacing w:val="-3"/>
          <w:sz w:val="22"/>
        </w:rPr>
        <w:t> </w:t>
      </w:r>
      <w:r>
        <w:rPr>
          <w:color w:val="010202"/>
          <w:sz w:val="22"/>
        </w:rPr>
        <w:t>a</w:t>
      </w:r>
      <w:r>
        <w:rPr>
          <w:color w:val="010202"/>
          <w:spacing w:val="-3"/>
          <w:sz w:val="22"/>
        </w:rPr>
        <w:t> </w:t>
      </w:r>
      <w:r>
        <w:rPr>
          <w:color w:val="010202"/>
          <w:sz w:val="22"/>
        </w:rPr>
        <w:t>peer-reviewed</w:t>
      </w:r>
      <w:r>
        <w:rPr>
          <w:color w:val="010202"/>
          <w:spacing w:val="-4"/>
          <w:sz w:val="22"/>
        </w:rPr>
        <w:t> </w:t>
      </w:r>
      <w:r>
        <w:rPr>
          <w:color w:val="010202"/>
          <w:sz w:val="22"/>
        </w:rPr>
        <w:t>or</w:t>
      </w:r>
      <w:r>
        <w:rPr>
          <w:color w:val="010202"/>
          <w:spacing w:val="-52"/>
          <w:sz w:val="22"/>
        </w:rPr>
        <w:t> </w:t>
      </w:r>
      <w:r>
        <w:rPr>
          <w:color w:val="010202"/>
          <w:sz w:val="22"/>
        </w:rPr>
        <w:t>research report</w:t>
      </w:r>
    </w:p>
    <w:p>
      <w:pPr>
        <w:pStyle w:val="ListParagraph"/>
        <w:numPr>
          <w:ilvl w:val="1"/>
          <w:numId w:val="67"/>
        </w:numPr>
        <w:tabs>
          <w:tab w:pos="839" w:val="left" w:leader="none"/>
          <w:tab w:pos="840" w:val="left" w:leader="none"/>
        </w:tabs>
        <w:spacing w:line="240" w:lineRule="auto" w:before="32" w:after="0"/>
        <w:ind w:left="839" w:right="0" w:hanging="361"/>
        <w:jc w:val="left"/>
        <w:rPr>
          <w:sz w:val="22"/>
        </w:rPr>
      </w:pPr>
      <w:r>
        <w:rPr>
          <w:color w:val="010202"/>
          <w:sz w:val="22"/>
        </w:rPr>
        <w:t>Be available in English</w:t>
      </w:r>
    </w:p>
    <w:p>
      <w:pPr>
        <w:pStyle w:val="ListParagraph"/>
        <w:numPr>
          <w:ilvl w:val="1"/>
          <w:numId w:val="67"/>
        </w:numPr>
        <w:tabs>
          <w:tab w:pos="839" w:val="left" w:leader="none"/>
          <w:tab w:pos="840" w:val="left" w:leader="none"/>
        </w:tabs>
        <w:spacing w:line="264" w:lineRule="auto" w:before="57" w:after="0"/>
        <w:ind w:left="839" w:right="926" w:hanging="360"/>
        <w:jc w:val="left"/>
        <w:rPr>
          <w:sz w:val="22"/>
        </w:rPr>
      </w:pPr>
      <w:r>
        <w:rPr>
          <w:color w:val="010202"/>
          <w:sz w:val="22"/>
        </w:rPr>
        <w:t>Include at least one eligible outcome related to</w:t>
      </w:r>
      <w:r>
        <w:rPr>
          <w:color w:val="010202"/>
          <w:spacing w:val="-52"/>
          <w:sz w:val="22"/>
        </w:rPr>
        <w:t> </w:t>
      </w:r>
      <w:r>
        <w:rPr>
          <w:color w:val="010202"/>
          <w:sz w:val="22"/>
        </w:rPr>
        <w:t>improvements in health outcomes for people</w:t>
      </w:r>
      <w:r>
        <w:rPr>
          <w:color w:val="010202"/>
          <w:spacing w:val="1"/>
          <w:sz w:val="22"/>
        </w:rPr>
        <w:t> </w:t>
      </w:r>
      <w:r>
        <w:rPr>
          <w:color w:val="010202"/>
          <w:sz w:val="22"/>
        </w:rPr>
        <w:t>living with</w:t>
      </w:r>
      <w:r>
        <w:rPr>
          <w:color w:val="010202"/>
          <w:spacing w:val="-1"/>
          <w:sz w:val="22"/>
        </w:rPr>
        <w:t> </w:t>
      </w:r>
      <w:r>
        <w:rPr>
          <w:color w:val="010202"/>
          <w:sz w:val="22"/>
        </w:rPr>
        <w:t>SMI and/or SUD</w:t>
      </w:r>
    </w:p>
    <w:p>
      <w:pPr>
        <w:pStyle w:val="ListParagraph"/>
        <w:numPr>
          <w:ilvl w:val="1"/>
          <w:numId w:val="67"/>
        </w:numPr>
        <w:tabs>
          <w:tab w:pos="839" w:val="left" w:leader="none"/>
          <w:tab w:pos="840" w:val="left" w:leader="none"/>
        </w:tabs>
        <w:spacing w:line="264" w:lineRule="auto" w:before="34" w:after="0"/>
        <w:ind w:left="839" w:right="938" w:hanging="360"/>
        <w:jc w:val="left"/>
        <w:rPr>
          <w:sz w:val="22"/>
        </w:rPr>
      </w:pPr>
      <w:r>
        <w:rPr>
          <w:color w:val="010202"/>
          <w:sz w:val="22"/>
        </w:rPr>
        <w:t>Have a comparison/control group that is</w:t>
      </w:r>
      <w:r>
        <w:rPr>
          <w:color w:val="010202"/>
          <w:spacing w:val="1"/>
          <w:sz w:val="22"/>
        </w:rPr>
        <w:t> </w:t>
      </w:r>
      <w:r>
        <w:rPr>
          <w:color w:val="010202"/>
          <w:sz w:val="22"/>
        </w:rPr>
        <w:t>treatment as usual or no/minimal intervention</w:t>
      </w:r>
      <w:r>
        <w:rPr>
          <w:color w:val="010202"/>
          <w:spacing w:val="1"/>
          <w:sz w:val="22"/>
        </w:rPr>
        <w:t> </w:t>
      </w:r>
      <w:r>
        <w:rPr>
          <w:color w:val="010202"/>
          <w:sz w:val="22"/>
        </w:rPr>
        <w:t>if using a randomized experimental or a quasi-</w:t>
      </w:r>
      <w:r>
        <w:rPr>
          <w:color w:val="010202"/>
          <w:spacing w:val="-52"/>
          <w:sz w:val="22"/>
        </w:rPr>
        <w:t> </w:t>
      </w:r>
      <w:r>
        <w:rPr>
          <w:color w:val="010202"/>
          <w:sz w:val="22"/>
        </w:rPr>
        <w:t>experimental design</w:t>
      </w:r>
    </w:p>
    <w:p>
      <w:pPr>
        <w:spacing w:after="0" w:line="264" w:lineRule="auto"/>
        <w:jc w:val="left"/>
        <w:rPr>
          <w:sz w:val="22"/>
        </w:rPr>
        <w:sectPr>
          <w:type w:val="continuous"/>
          <w:pgSz w:w="12240" w:h="15840"/>
          <w:pgMar w:header="0" w:footer="666" w:top="1500" w:bottom="0" w:left="600" w:right="0"/>
          <w:cols w:num="2" w:equalWidth="0">
            <w:col w:w="5135" w:space="625"/>
            <w:col w:w="5880"/>
          </w:cols>
        </w:sectPr>
      </w:pPr>
    </w:p>
    <w:p>
      <w:pPr>
        <w:pStyle w:val="BodyText"/>
        <w:rPr>
          <w:sz w:val="20"/>
        </w:rPr>
      </w:pPr>
    </w:p>
    <w:p>
      <w:pPr>
        <w:pStyle w:val="BodyText"/>
        <w:rPr>
          <w:sz w:val="25"/>
        </w:rPr>
      </w:pPr>
    </w:p>
    <w:p>
      <w:pPr>
        <w:spacing w:after="0"/>
        <w:rPr>
          <w:sz w:val="25"/>
        </w:rPr>
        <w:sectPr>
          <w:pgSz w:w="12240" w:h="15840"/>
          <w:pgMar w:header="0" w:footer="666" w:top="380" w:bottom="860" w:left="600" w:right="0"/>
        </w:sectPr>
      </w:pPr>
    </w:p>
    <w:p>
      <w:pPr>
        <w:pStyle w:val="BodyText"/>
        <w:spacing w:line="266" w:lineRule="auto" w:before="116"/>
        <w:ind w:left="120" w:right="38"/>
      </w:pPr>
      <w:r>
        <w:rPr>
          <w:color w:val="231F20"/>
        </w:rPr>
        <w:t>In some studies of telehealth treatments, the comparison/</w:t>
      </w:r>
      <w:r>
        <w:rPr>
          <w:color w:val="231F20"/>
          <w:spacing w:val="-52"/>
        </w:rPr>
        <w:t> </w:t>
      </w:r>
      <w:r>
        <w:rPr>
          <w:color w:val="231F20"/>
        </w:rPr>
        <w:t>control</w:t>
      </w:r>
      <w:r>
        <w:rPr>
          <w:color w:val="231F20"/>
          <w:spacing w:val="7"/>
        </w:rPr>
        <w:t> </w:t>
      </w:r>
      <w:r>
        <w:rPr>
          <w:color w:val="231F20"/>
        </w:rPr>
        <w:t>group</w:t>
      </w:r>
      <w:r>
        <w:rPr>
          <w:color w:val="231F20"/>
          <w:spacing w:val="7"/>
        </w:rPr>
        <w:t> </w:t>
      </w:r>
      <w:r>
        <w:rPr>
          <w:color w:val="231F20"/>
        </w:rPr>
        <w:t>was</w:t>
      </w:r>
      <w:r>
        <w:rPr>
          <w:color w:val="231F20"/>
          <w:spacing w:val="7"/>
        </w:rPr>
        <w:t> </w:t>
      </w:r>
      <w:r>
        <w:rPr>
          <w:color w:val="231F20"/>
        </w:rPr>
        <w:t>not</w:t>
      </w:r>
      <w:r>
        <w:rPr>
          <w:color w:val="231F20"/>
          <w:spacing w:val="7"/>
        </w:rPr>
        <w:t> </w:t>
      </w:r>
      <w:r>
        <w:rPr>
          <w:color w:val="231F20"/>
        </w:rPr>
        <w:t>treatment</w:t>
      </w:r>
      <w:r>
        <w:rPr>
          <w:color w:val="231F20"/>
          <w:spacing w:val="7"/>
        </w:rPr>
        <w:t> </w:t>
      </w:r>
      <w:r>
        <w:rPr>
          <w:color w:val="231F20"/>
        </w:rPr>
        <w:t>as</w:t>
      </w:r>
      <w:r>
        <w:rPr>
          <w:color w:val="231F20"/>
          <w:spacing w:val="8"/>
        </w:rPr>
        <w:t> </w:t>
      </w:r>
      <w:r>
        <w:rPr>
          <w:color w:val="231F20"/>
        </w:rPr>
        <w:t>usual</w:t>
      </w:r>
      <w:r>
        <w:rPr>
          <w:color w:val="231F20"/>
          <w:spacing w:val="7"/>
        </w:rPr>
        <w:t> </w:t>
      </w:r>
      <w:r>
        <w:rPr>
          <w:color w:val="231F20"/>
        </w:rPr>
        <w:t>nor</w:t>
      </w:r>
      <w:r>
        <w:rPr>
          <w:color w:val="231F20"/>
          <w:spacing w:val="7"/>
        </w:rPr>
        <w:t> </w:t>
      </w:r>
      <w:r>
        <w:rPr>
          <w:color w:val="231F20"/>
        </w:rPr>
        <w:t>minimal/</w:t>
      </w:r>
      <w:r>
        <w:rPr>
          <w:color w:val="231F20"/>
          <w:spacing w:val="1"/>
        </w:rPr>
        <w:t> </w:t>
      </w:r>
      <w:r>
        <w:rPr>
          <w:color w:val="231F20"/>
        </w:rPr>
        <w:t>no intervention; rather, the design compared the</w:t>
      </w:r>
      <w:r>
        <w:rPr>
          <w:color w:val="231F20"/>
          <w:spacing w:val="1"/>
        </w:rPr>
        <w:t> </w:t>
      </w:r>
      <w:r>
        <w:rPr>
          <w:color w:val="231F20"/>
        </w:rPr>
        <w:t>telehealth approach to the same treatment delivered in-</w:t>
      </w:r>
      <w:r>
        <w:rPr>
          <w:color w:val="231F20"/>
          <w:spacing w:val="1"/>
        </w:rPr>
        <w:t> </w:t>
      </w:r>
      <w:r>
        <w:rPr>
          <w:color w:val="231F20"/>
        </w:rPr>
        <w:t>person.</w:t>
      </w:r>
      <w:r>
        <w:rPr>
          <w:color w:val="231F20"/>
          <w:spacing w:val="-5"/>
        </w:rPr>
        <w:t> </w:t>
      </w:r>
      <w:r>
        <w:rPr>
          <w:color w:val="231F20"/>
        </w:rPr>
        <w:t>In</w:t>
      </w:r>
      <w:r>
        <w:rPr>
          <w:color w:val="231F20"/>
          <w:spacing w:val="-4"/>
        </w:rPr>
        <w:t> </w:t>
      </w:r>
      <w:r>
        <w:rPr>
          <w:color w:val="231F20"/>
        </w:rPr>
        <w:t>these</w:t>
      </w:r>
      <w:r>
        <w:rPr>
          <w:color w:val="231F20"/>
          <w:spacing w:val="-4"/>
        </w:rPr>
        <w:t> </w:t>
      </w:r>
      <w:r>
        <w:rPr>
          <w:color w:val="231F20"/>
        </w:rPr>
        <w:t>cases,</w:t>
      </w:r>
      <w:r>
        <w:rPr>
          <w:color w:val="231F20"/>
          <w:spacing w:val="-4"/>
        </w:rPr>
        <w:t> </w:t>
      </w:r>
      <w:r>
        <w:rPr>
          <w:color w:val="231F20"/>
        </w:rPr>
        <w:t>these</w:t>
      </w:r>
      <w:r>
        <w:rPr>
          <w:color w:val="231F20"/>
          <w:spacing w:val="-4"/>
        </w:rPr>
        <w:t> </w:t>
      </w:r>
      <w:r>
        <w:rPr>
          <w:color w:val="231F20"/>
        </w:rPr>
        <w:t>non-inferiority</w:t>
      </w:r>
      <w:r>
        <w:rPr>
          <w:color w:val="231F20"/>
          <w:spacing w:val="-4"/>
        </w:rPr>
        <w:t> </w:t>
      </w:r>
      <w:r>
        <w:rPr>
          <w:color w:val="231F20"/>
        </w:rPr>
        <w:t>studies</w:t>
      </w:r>
      <w:r>
        <w:rPr>
          <w:color w:val="231F20"/>
          <w:spacing w:val="-5"/>
        </w:rPr>
        <w:t> </w:t>
      </w:r>
      <w:r>
        <w:rPr>
          <w:color w:val="231F20"/>
        </w:rPr>
        <w:t>tested</w:t>
      </w:r>
      <w:r>
        <w:rPr>
          <w:color w:val="231F20"/>
          <w:spacing w:val="-52"/>
        </w:rPr>
        <w:t> </w:t>
      </w:r>
      <w:r>
        <w:rPr>
          <w:color w:val="231F20"/>
        </w:rPr>
        <w:t>whether administering the treatment using a telehealth</w:t>
      </w:r>
      <w:r>
        <w:rPr>
          <w:color w:val="231F20"/>
          <w:spacing w:val="1"/>
        </w:rPr>
        <w:t> </w:t>
      </w:r>
      <w:r>
        <w:rPr>
          <w:color w:val="231F20"/>
        </w:rPr>
        <w:t>modality leads to outcomes that are </w:t>
      </w:r>
      <w:r>
        <w:rPr>
          <w:b/>
          <w:i/>
          <w:color w:val="231F20"/>
        </w:rPr>
        <w:t>comparable, or no</w:t>
      </w:r>
      <w:r>
        <w:rPr>
          <w:b/>
          <w:i/>
          <w:color w:val="231F20"/>
          <w:spacing w:val="1"/>
        </w:rPr>
        <w:t> </w:t>
      </w:r>
      <w:r>
        <w:rPr>
          <w:b/>
          <w:i/>
          <w:color w:val="231F20"/>
        </w:rPr>
        <w:t>worse</w:t>
      </w:r>
      <w:r>
        <w:rPr>
          <w:color w:val="231F20"/>
        </w:rPr>
        <w:t>, than in-person treatment (which is known to be</w:t>
      </w:r>
      <w:r>
        <w:rPr>
          <w:color w:val="231F20"/>
          <w:spacing w:val="1"/>
        </w:rPr>
        <w:t> </w:t>
      </w:r>
      <w:r>
        <w:rPr>
          <w:color w:val="231F20"/>
        </w:rPr>
        <w:t>evidence-based).</w:t>
      </w:r>
    </w:p>
    <w:p>
      <w:pPr>
        <w:pStyle w:val="BodyText"/>
        <w:spacing w:before="3"/>
        <w:rPr>
          <w:sz w:val="19"/>
        </w:rPr>
      </w:pPr>
    </w:p>
    <w:p>
      <w:pPr>
        <w:pStyle w:val="Heading2"/>
        <w:spacing w:line="184" w:lineRule="auto" w:before="0"/>
      </w:pPr>
      <w:r>
        <w:rPr>
          <w:color w:val="1C384B"/>
        </w:rPr>
        <w:t>Step</w:t>
      </w:r>
      <w:r>
        <w:rPr>
          <w:color w:val="1C384B"/>
          <w:spacing w:val="-9"/>
        </w:rPr>
        <w:t> </w:t>
      </w:r>
      <w:r>
        <w:rPr>
          <w:color w:val="1C384B"/>
        </w:rPr>
        <w:t>3:</w:t>
      </w:r>
      <w:r>
        <w:rPr>
          <w:color w:val="1C384B"/>
          <w:spacing w:val="-9"/>
        </w:rPr>
        <w:t> </w:t>
      </w:r>
      <w:r>
        <w:rPr>
          <w:color w:val="1C384B"/>
        </w:rPr>
        <w:t>Study</w:t>
      </w:r>
      <w:r>
        <w:rPr>
          <w:color w:val="1C384B"/>
          <w:spacing w:val="-8"/>
        </w:rPr>
        <w:t> </w:t>
      </w:r>
      <w:r>
        <w:rPr>
          <w:color w:val="1C384B"/>
        </w:rPr>
        <w:t>Review</w:t>
      </w:r>
      <w:r>
        <w:rPr>
          <w:color w:val="1C384B"/>
          <w:spacing w:val="-9"/>
        </w:rPr>
        <w:t> </w:t>
      </w:r>
      <w:r>
        <w:rPr>
          <w:color w:val="1C384B"/>
        </w:rPr>
        <w:t>and</w:t>
      </w:r>
      <w:r>
        <w:rPr>
          <w:color w:val="1C384B"/>
          <w:spacing w:val="-113"/>
        </w:rPr>
        <w:t> </w:t>
      </w:r>
      <w:r>
        <w:rPr>
          <w:color w:val="1C384B"/>
        </w:rPr>
        <w:t>Rating</w:t>
      </w:r>
    </w:p>
    <w:p>
      <w:pPr>
        <w:pStyle w:val="BodyText"/>
        <w:spacing w:line="266" w:lineRule="auto" w:before="111"/>
        <w:ind w:left="120" w:right="357"/>
      </w:pPr>
      <w:r>
        <w:rPr>
          <w:color w:val="231F20"/>
        </w:rPr>
        <w:t>Next, trained reviewers assessed each study to ensure</w:t>
      </w:r>
      <w:r>
        <w:rPr>
          <w:color w:val="231F20"/>
          <w:spacing w:val="-52"/>
        </w:rPr>
        <w:t> </w:t>
      </w:r>
      <w:r>
        <w:rPr>
          <w:color w:val="231F20"/>
        </w:rPr>
        <w:t>the methodology was rigorous, and, therefore, could</w:t>
      </w:r>
      <w:r>
        <w:rPr>
          <w:color w:val="231F20"/>
          <w:spacing w:val="1"/>
        </w:rPr>
        <w:t> </w:t>
      </w:r>
      <w:r>
        <w:rPr>
          <w:color w:val="231F20"/>
        </w:rPr>
        <w:t>demonstrate causation between the treatment and</w:t>
      </w:r>
    </w:p>
    <w:p>
      <w:pPr>
        <w:pStyle w:val="BodyText"/>
        <w:spacing w:line="251" w:lineRule="exact"/>
        <w:ind w:left="120"/>
      </w:pPr>
      <w:r>
        <w:rPr>
          <w:color w:val="231F20"/>
        </w:rPr>
        <w:t>the</w:t>
      </w:r>
      <w:r>
        <w:rPr>
          <w:color w:val="231F20"/>
          <w:spacing w:val="-3"/>
        </w:rPr>
        <w:t> </w:t>
      </w:r>
      <w:r>
        <w:rPr>
          <w:color w:val="231F20"/>
        </w:rPr>
        <w:t>identified</w:t>
      </w:r>
      <w:r>
        <w:rPr>
          <w:color w:val="231F20"/>
          <w:spacing w:val="-2"/>
        </w:rPr>
        <w:t> </w:t>
      </w:r>
      <w:r>
        <w:rPr>
          <w:color w:val="231F20"/>
        </w:rPr>
        <w:t>outcomes.</w:t>
      </w:r>
      <w:r>
        <w:rPr>
          <w:color w:val="231F20"/>
          <w:spacing w:val="-3"/>
        </w:rPr>
        <w:t> </w:t>
      </w:r>
      <w:r>
        <w:rPr>
          <w:color w:val="231F20"/>
        </w:rPr>
        <w:t>Reviewers</w:t>
      </w:r>
      <w:r>
        <w:rPr>
          <w:color w:val="231F20"/>
          <w:spacing w:val="-2"/>
        </w:rPr>
        <w:t> </w:t>
      </w:r>
      <w:r>
        <w:rPr>
          <w:color w:val="231F20"/>
        </w:rPr>
        <w:t>analyzed</w:t>
      </w:r>
      <w:r>
        <w:rPr>
          <w:color w:val="231F20"/>
          <w:spacing w:val="-3"/>
        </w:rPr>
        <w:t> </w:t>
      </w:r>
      <w:r>
        <w:rPr>
          <w:color w:val="231F20"/>
        </w:rPr>
        <w:t>and</w:t>
      </w:r>
    </w:p>
    <w:p>
      <w:pPr>
        <w:pStyle w:val="BodyText"/>
        <w:spacing w:before="27"/>
        <w:ind w:left="120"/>
      </w:pPr>
      <w:r>
        <w:rPr>
          <w:color w:val="231F20"/>
        </w:rPr>
        <w:t>documented each study to ensure:</w:t>
      </w:r>
    </w:p>
    <w:p>
      <w:pPr>
        <w:pStyle w:val="ListParagraph"/>
        <w:numPr>
          <w:ilvl w:val="0"/>
          <w:numId w:val="94"/>
        </w:numPr>
        <w:tabs>
          <w:tab w:pos="840" w:val="left" w:leader="none"/>
        </w:tabs>
        <w:spacing w:line="266" w:lineRule="auto" w:before="207" w:after="0"/>
        <w:ind w:left="839" w:right="81" w:hanging="360"/>
        <w:jc w:val="left"/>
        <w:rPr>
          <w:sz w:val="22"/>
        </w:rPr>
      </w:pPr>
      <w:r>
        <w:rPr>
          <w:color w:val="010202"/>
          <w:sz w:val="22"/>
        </w:rPr>
        <w:t>Experimental and comparison groups were</w:t>
      </w:r>
      <w:r>
        <w:rPr>
          <w:color w:val="010202"/>
          <w:spacing w:val="1"/>
          <w:sz w:val="22"/>
        </w:rPr>
        <w:t> </w:t>
      </w:r>
      <w:r>
        <w:rPr>
          <w:color w:val="010202"/>
          <w:sz w:val="22"/>
        </w:rPr>
        <w:t>statistically equivalent, with the only difference</w:t>
      </w:r>
      <w:r>
        <w:rPr>
          <w:color w:val="010202"/>
          <w:spacing w:val="1"/>
          <w:sz w:val="22"/>
        </w:rPr>
        <w:t> </w:t>
      </w:r>
      <w:r>
        <w:rPr>
          <w:color w:val="010202"/>
          <w:sz w:val="22"/>
        </w:rPr>
        <w:t>being</w:t>
      </w:r>
      <w:r>
        <w:rPr>
          <w:color w:val="010202"/>
          <w:spacing w:val="11"/>
          <w:sz w:val="22"/>
        </w:rPr>
        <w:t> </w:t>
      </w:r>
      <w:r>
        <w:rPr>
          <w:color w:val="010202"/>
          <w:sz w:val="22"/>
        </w:rPr>
        <w:t>that</w:t>
      </w:r>
      <w:r>
        <w:rPr>
          <w:color w:val="010202"/>
          <w:spacing w:val="12"/>
          <w:sz w:val="22"/>
        </w:rPr>
        <w:t> </w:t>
      </w:r>
      <w:r>
        <w:rPr>
          <w:color w:val="010202"/>
          <w:sz w:val="22"/>
        </w:rPr>
        <w:t>participants</w:t>
      </w:r>
      <w:r>
        <w:rPr>
          <w:color w:val="010202"/>
          <w:spacing w:val="12"/>
          <w:sz w:val="22"/>
        </w:rPr>
        <w:t> </w:t>
      </w:r>
      <w:r>
        <w:rPr>
          <w:color w:val="010202"/>
          <w:sz w:val="22"/>
        </w:rPr>
        <w:t>in</w:t>
      </w:r>
      <w:r>
        <w:rPr>
          <w:color w:val="010202"/>
          <w:spacing w:val="12"/>
          <w:sz w:val="22"/>
        </w:rPr>
        <w:t> </w:t>
      </w:r>
      <w:r>
        <w:rPr>
          <w:color w:val="010202"/>
          <w:sz w:val="22"/>
        </w:rPr>
        <w:t>the</w:t>
      </w:r>
      <w:r>
        <w:rPr>
          <w:color w:val="010202"/>
          <w:spacing w:val="12"/>
          <w:sz w:val="22"/>
        </w:rPr>
        <w:t> </w:t>
      </w:r>
      <w:r>
        <w:rPr>
          <w:color w:val="010202"/>
          <w:sz w:val="22"/>
        </w:rPr>
        <w:t>experimental</w:t>
      </w:r>
      <w:r>
        <w:rPr>
          <w:color w:val="010202"/>
          <w:spacing w:val="1"/>
          <w:sz w:val="22"/>
        </w:rPr>
        <w:t> </w:t>
      </w:r>
      <w:r>
        <w:rPr>
          <w:color w:val="010202"/>
          <w:sz w:val="22"/>
        </w:rPr>
        <w:t>group received the intervention and those in the</w:t>
      </w:r>
      <w:r>
        <w:rPr>
          <w:color w:val="010202"/>
          <w:spacing w:val="1"/>
          <w:sz w:val="22"/>
        </w:rPr>
        <w:t> </w:t>
      </w:r>
      <w:r>
        <w:rPr>
          <w:color w:val="010202"/>
          <w:sz w:val="22"/>
        </w:rPr>
        <w:t>comparison group received treatment as usual or</w:t>
      </w:r>
      <w:r>
        <w:rPr>
          <w:color w:val="010202"/>
          <w:spacing w:val="-52"/>
          <w:sz w:val="22"/>
        </w:rPr>
        <w:t> </w:t>
      </w:r>
      <w:r>
        <w:rPr>
          <w:color w:val="010202"/>
          <w:sz w:val="22"/>
        </w:rPr>
        <w:t>no/minimal intervention.</w:t>
      </w:r>
    </w:p>
    <w:p>
      <w:pPr>
        <w:pStyle w:val="ListParagraph"/>
        <w:numPr>
          <w:ilvl w:val="0"/>
          <w:numId w:val="94"/>
        </w:numPr>
        <w:tabs>
          <w:tab w:pos="840" w:val="left" w:leader="none"/>
        </w:tabs>
        <w:spacing w:line="266" w:lineRule="auto" w:before="42" w:after="0"/>
        <w:ind w:left="839" w:right="184" w:hanging="360"/>
        <w:jc w:val="left"/>
        <w:rPr>
          <w:sz w:val="22"/>
        </w:rPr>
      </w:pPr>
      <w:r>
        <w:rPr>
          <w:color w:val="010202"/>
          <w:sz w:val="22"/>
        </w:rPr>
        <w:t>For randomized experiments with high attrition</w:t>
      </w:r>
      <w:r>
        <w:rPr>
          <w:color w:val="010202"/>
          <w:spacing w:val="-52"/>
          <w:sz w:val="22"/>
        </w:rPr>
        <w:t> </w:t>
      </w:r>
      <w:r>
        <w:rPr>
          <w:color w:val="010202"/>
          <w:sz w:val="22"/>
        </w:rPr>
        <w:t>and for quasi-experimental designs, baseline</w:t>
      </w:r>
      <w:r>
        <w:rPr>
          <w:color w:val="010202"/>
          <w:spacing w:val="1"/>
          <w:sz w:val="22"/>
        </w:rPr>
        <w:t> </w:t>
      </w:r>
      <w:r>
        <w:rPr>
          <w:color w:val="010202"/>
          <w:sz w:val="22"/>
        </w:rPr>
        <w:t>equivalence was established between the</w:t>
      </w:r>
      <w:r>
        <w:rPr>
          <w:color w:val="010202"/>
          <w:spacing w:val="1"/>
          <w:sz w:val="22"/>
        </w:rPr>
        <w:t> </w:t>
      </w:r>
      <w:r>
        <w:rPr>
          <w:color w:val="010202"/>
          <w:sz w:val="22"/>
        </w:rPr>
        <w:t>treatment and comparison groups.</w:t>
      </w:r>
    </w:p>
    <w:p>
      <w:pPr>
        <w:pStyle w:val="ListParagraph"/>
        <w:numPr>
          <w:ilvl w:val="0"/>
          <w:numId w:val="94"/>
        </w:numPr>
        <w:tabs>
          <w:tab w:pos="840" w:val="left" w:leader="none"/>
        </w:tabs>
        <w:spacing w:line="266" w:lineRule="auto" w:before="43" w:after="0"/>
        <w:ind w:left="839" w:right="112" w:hanging="360"/>
        <w:jc w:val="left"/>
        <w:rPr>
          <w:sz w:val="22"/>
        </w:rPr>
      </w:pPr>
      <w:r>
        <w:rPr>
          <w:color w:val="010202"/>
          <w:sz w:val="22"/>
        </w:rPr>
        <w:t>For randomized experiments, randomization</w:t>
      </w:r>
      <w:r>
        <w:rPr>
          <w:color w:val="010202"/>
          <w:spacing w:val="1"/>
          <w:sz w:val="22"/>
        </w:rPr>
        <w:t> </w:t>
      </w:r>
      <w:r>
        <w:rPr>
          <w:color w:val="010202"/>
          <w:sz w:val="22"/>
        </w:rPr>
        <w:t>was not compromised. For example, ensuring</w:t>
      </w:r>
      <w:r>
        <w:rPr>
          <w:color w:val="010202"/>
          <w:spacing w:val="1"/>
          <w:sz w:val="22"/>
        </w:rPr>
        <w:t> </w:t>
      </w:r>
      <w:r>
        <w:rPr>
          <w:color w:val="010202"/>
          <w:sz w:val="22"/>
        </w:rPr>
        <w:t>reassignment of treatment status (usually made</w:t>
      </w:r>
      <w:r>
        <w:rPr>
          <w:color w:val="010202"/>
          <w:spacing w:val="1"/>
          <w:sz w:val="22"/>
        </w:rPr>
        <w:t> </w:t>
      </w:r>
      <w:r>
        <w:rPr>
          <w:color w:val="010202"/>
          <w:sz w:val="22"/>
        </w:rPr>
        <w:t>to balance the distribution of background</w:t>
      </w:r>
      <w:r>
        <w:rPr>
          <w:color w:val="010202"/>
          <w:spacing w:val="1"/>
          <w:sz w:val="22"/>
        </w:rPr>
        <w:t> </w:t>
      </w:r>
      <w:r>
        <w:rPr>
          <w:color w:val="010202"/>
          <w:sz w:val="22"/>
        </w:rPr>
        <w:t>variables between treatment and control groups)</w:t>
      </w:r>
      <w:r>
        <w:rPr>
          <w:color w:val="010202"/>
          <w:spacing w:val="-52"/>
          <w:sz w:val="22"/>
        </w:rPr>
        <w:t> </w:t>
      </w:r>
      <w:r>
        <w:rPr>
          <w:color w:val="010202"/>
          <w:sz w:val="22"/>
        </w:rPr>
        <w:t>did</w:t>
      </w:r>
      <w:r>
        <w:rPr>
          <w:color w:val="010202"/>
          <w:spacing w:val="-1"/>
          <w:sz w:val="22"/>
        </w:rPr>
        <w:t> </w:t>
      </w:r>
      <w:r>
        <w:rPr>
          <w:color w:val="010202"/>
          <w:sz w:val="22"/>
        </w:rPr>
        <w:t>not occur.</w:t>
      </w:r>
    </w:p>
    <w:p>
      <w:pPr>
        <w:pStyle w:val="ListParagraph"/>
        <w:numPr>
          <w:ilvl w:val="0"/>
          <w:numId w:val="94"/>
        </w:numPr>
        <w:tabs>
          <w:tab w:pos="840" w:val="left" w:leader="none"/>
        </w:tabs>
        <w:spacing w:line="266" w:lineRule="auto" w:before="42" w:after="0"/>
        <w:ind w:left="839" w:right="381" w:hanging="360"/>
        <w:jc w:val="left"/>
        <w:rPr>
          <w:sz w:val="22"/>
        </w:rPr>
      </w:pPr>
      <w:r>
        <w:rPr>
          <w:color w:val="010202"/>
          <w:sz w:val="22"/>
        </w:rPr>
        <w:t>Study did not have any confounding factors</w:t>
      </w:r>
      <w:r>
        <w:rPr>
          <w:color w:val="010202"/>
          <w:spacing w:val="1"/>
          <w:sz w:val="22"/>
        </w:rPr>
        <w:t> </w:t>
      </w:r>
      <w:r>
        <w:rPr>
          <w:color w:val="010202"/>
          <w:sz w:val="22"/>
        </w:rPr>
        <w:t>(i.e.,</w:t>
      </w:r>
      <w:r>
        <w:rPr>
          <w:color w:val="010202"/>
          <w:spacing w:val="-4"/>
          <w:sz w:val="22"/>
        </w:rPr>
        <w:t> </w:t>
      </w:r>
      <w:r>
        <w:rPr>
          <w:color w:val="010202"/>
          <w:sz w:val="22"/>
        </w:rPr>
        <w:t>those</w:t>
      </w:r>
      <w:r>
        <w:rPr>
          <w:color w:val="010202"/>
          <w:spacing w:val="-3"/>
          <w:sz w:val="22"/>
        </w:rPr>
        <w:t> </w:t>
      </w:r>
      <w:r>
        <w:rPr>
          <w:color w:val="010202"/>
          <w:sz w:val="22"/>
        </w:rPr>
        <w:t>that</w:t>
      </w:r>
      <w:r>
        <w:rPr>
          <w:color w:val="010202"/>
          <w:spacing w:val="-4"/>
          <w:sz w:val="22"/>
        </w:rPr>
        <w:t> </w:t>
      </w:r>
      <w:r>
        <w:rPr>
          <w:color w:val="010202"/>
          <w:sz w:val="22"/>
        </w:rPr>
        <w:t>affect</w:t>
      </w:r>
      <w:r>
        <w:rPr>
          <w:color w:val="010202"/>
          <w:spacing w:val="-3"/>
          <w:sz w:val="22"/>
        </w:rPr>
        <w:t> </w:t>
      </w:r>
      <w:r>
        <w:rPr>
          <w:color w:val="010202"/>
          <w:sz w:val="22"/>
        </w:rPr>
        <w:t>the</w:t>
      </w:r>
      <w:r>
        <w:rPr>
          <w:color w:val="010202"/>
          <w:spacing w:val="-4"/>
          <w:sz w:val="22"/>
        </w:rPr>
        <w:t> </w:t>
      </w:r>
      <w:r>
        <w:rPr>
          <w:color w:val="010202"/>
          <w:sz w:val="22"/>
        </w:rPr>
        <w:t>outcome</w:t>
      </w:r>
      <w:r>
        <w:rPr>
          <w:color w:val="010202"/>
          <w:spacing w:val="-3"/>
          <w:sz w:val="22"/>
        </w:rPr>
        <w:t> </w:t>
      </w:r>
      <w:r>
        <w:rPr>
          <w:color w:val="010202"/>
          <w:sz w:val="22"/>
        </w:rPr>
        <w:t>but</w:t>
      </w:r>
      <w:r>
        <w:rPr>
          <w:color w:val="010202"/>
          <w:spacing w:val="-3"/>
          <w:sz w:val="22"/>
        </w:rPr>
        <w:t> </w:t>
      </w:r>
      <w:r>
        <w:rPr>
          <w:color w:val="010202"/>
          <w:sz w:val="22"/>
        </w:rPr>
        <w:t>are</w:t>
      </w:r>
      <w:r>
        <w:rPr>
          <w:color w:val="010202"/>
          <w:spacing w:val="-4"/>
          <w:sz w:val="22"/>
        </w:rPr>
        <w:t> </w:t>
      </w:r>
      <w:r>
        <w:rPr>
          <w:color w:val="010202"/>
          <w:sz w:val="22"/>
        </w:rPr>
        <w:t>not</w:t>
      </w:r>
      <w:r>
        <w:rPr>
          <w:color w:val="010202"/>
          <w:spacing w:val="-52"/>
          <w:sz w:val="22"/>
        </w:rPr>
        <w:t> </w:t>
      </w:r>
      <w:r>
        <w:rPr>
          <w:color w:val="010202"/>
          <w:sz w:val="22"/>
        </w:rPr>
        <w:t>accounted for by the study).</w:t>
      </w:r>
    </w:p>
    <w:p>
      <w:pPr>
        <w:pStyle w:val="ListParagraph"/>
        <w:numPr>
          <w:ilvl w:val="0"/>
          <w:numId w:val="94"/>
        </w:numPr>
        <w:tabs>
          <w:tab w:pos="840" w:val="left" w:leader="none"/>
        </w:tabs>
        <w:spacing w:line="266" w:lineRule="auto" w:before="45" w:after="0"/>
        <w:ind w:left="839" w:right="554" w:hanging="360"/>
        <w:jc w:val="left"/>
        <w:rPr>
          <w:sz w:val="22"/>
        </w:rPr>
      </w:pPr>
      <w:r>
        <w:rPr>
          <w:color w:val="010202"/>
          <w:sz w:val="22"/>
        </w:rPr>
        <w:t>Missing</w:t>
      </w:r>
      <w:r>
        <w:rPr>
          <w:color w:val="010202"/>
          <w:spacing w:val="-7"/>
          <w:sz w:val="22"/>
        </w:rPr>
        <w:t> </w:t>
      </w:r>
      <w:r>
        <w:rPr>
          <w:color w:val="010202"/>
          <w:sz w:val="22"/>
        </w:rPr>
        <w:t>data</w:t>
      </w:r>
      <w:r>
        <w:rPr>
          <w:color w:val="010202"/>
          <w:spacing w:val="-7"/>
          <w:sz w:val="22"/>
        </w:rPr>
        <w:t> </w:t>
      </w:r>
      <w:r>
        <w:rPr>
          <w:color w:val="010202"/>
          <w:sz w:val="22"/>
        </w:rPr>
        <w:t>were</w:t>
      </w:r>
      <w:r>
        <w:rPr>
          <w:color w:val="010202"/>
          <w:spacing w:val="-7"/>
          <w:sz w:val="22"/>
        </w:rPr>
        <w:t> </w:t>
      </w:r>
      <w:r>
        <w:rPr>
          <w:color w:val="010202"/>
          <w:sz w:val="22"/>
        </w:rPr>
        <w:t>addressed</w:t>
      </w:r>
      <w:r>
        <w:rPr>
          <w:color w:val="010202"/>
          <w:spacing w:val="-7"/>
          <w:sz w:val="22"/>
        </w:rPr>
        <w:t> </w:t>
      </w:r>
      <w:r>
        <w:rPr>
          <w:color w:val="010202"/>
          <w:sz w:val="22"/>
        </w:rPr>
        <w:t>appropriately,</w:t>
      </w:r>
      <w:r>
        <w:rPr>
          <w:color w:val="010202"/>
          <w:spacing w:val="-52"/>
          <w:sz w:val="22"/>
        </w:rPr>
        <w:t> </w:t>
      </w:r>
      <w:r>
        <w:rPr>
          <w:color w:val="010202"/>
          <w:sz w:val="22"/>
        </w:rPr>
        <w:t>including:</w:t>
      </w:r>
    </w:p>
    <w:p>
      <w:pPr>
        <w:pStyle w:val="ListParagraph"/>
        <w:numPr>
          <w:ilvl w:val="1"/>
          <w:numId w:val="94"/>
        </w:numPr>
        <w:tabs>
          <w:tab w:pos="1199" w:val="left" w:leader="none"/>
          <w:tab w:pos="1200" w:val="left" w:leader="none"/>
        </w:tabs>
        <w:spacing w:line="249" w:lineRule="auto" w:before="13" w:after="0"/>
        <w:ind w:left="1199" w:right="167" w:hanging="360"/>
        <w:jc w:val="left"/>
        <w:rPr>
          <w:sz w:val="22"/>
        </w:rPr>
      </w:pPr>
      <w:r>
        <w:rPr>
          <w:color w:val="010202"/>
          <w:sz w:val="22"/>
        </w:rPr>
        <w:t>Imputation based on surrounding cases was</w:t>
      </w:r>
      <w:r>
        <w:rPr>
          <w:color w:val="010202"/>
          <w:spacing w:val="-52"/>
          <w:sz w:val="22"/>
        </w:rPr>
        <w:t> </w:t>
      </w:r>
      <w:r>
        <w:rPr>
          <w:color w:val="010202"/>
          <w:sz w:val="22"/>
        </w:rPr>
        <w:t>considered valid.</w:t>
      </w:r>
    </w:p>
    <w:p>
      <w:pPr>
        <w:pStyle w:val="ListParagraph"/>
        <w:numPr>
          <w:ilvl w:val="1"/>
          <w:numId w:val="94"/>
        </w:numPr>
        <w:tabs>
          <w:tab w:pos="1199" w:val="left" w:leader="none"/>
          <w:tab w:pos="1200" w:val="left" w:leader="none"/>
        </w:tabs>
        <w:spacing w:line="254" w:lineRule="exact" w:before="0" w:after="0"/>
        <w:ind w:left="1199" w:right="0" w:hanging="361"/>
        <w:jc w:val="left"/>
        <w:rPr>
          <w:sz w:val="22"/>
        </w:rPr>
      </w:pPr>
      <w:r>
        <w:rPr>
          <w:color w:val="010202"/>
          <w:sz w:val="22"/>
        </w:rPr>
        <w:t>Complete</w:t>
      </w:r>
      <w:r>
        <w:rPr>
          <w:color w:val="010202"/>
          <w:spacing w:val="-1"/>
          <w:sz w:val="22"/>
        </w:rPr>
        <w:t> </w:t>
      </w:r>
      <w:r>
        <w:rPr>
          <w:color w:val="010202"/>
          <w:sz w:val="22"/>
        </w:rPr>
        <w:t>case analysis was considered valid</w:t>
      </w:r>
    </w:p>
    <w:p>
      <w:pPr>
        <w:pStyle w:val="BodyText"/>
        <w:spacing w:line="251" w:lineRule="exact" w:before="11"/>
        <w:ind w:left="1199"/>
      </w:pPr>
      <w:r>
        <w:rPr>
          <w:color w:val="010202"/>
        </w:rPr>
        <w:t>and accounted</w:t>
      </w:r>
      <w:r>
        <w:rPr>
          <w:color w:val="010202"/>
          <w:spacing w:val="-1"/>
        </w:rPr>
        <w:t> </w:t>
      </w:r>
      <w:r>
        <w:rPr>
          <w:color w:val="010202"/>
        </w:rPr>
        <w:t>for as attrition.</w:t>
      </w:r>
    </w:p>
    <w:p>
      <w:pPr>
        <w:pStyle w:val="ListParagraph"/>
        <w:numPr>
          <w:ilvl w:val="1"/>
          <w:numId w:val="94"/>
        </w:numPr>
        <w:tabs>
          <w:tab w:pos="1199" w:val="left" w:leader="none"/>
          <w:tab w:pos="1200" w:val="left" w:leader="none"/>
        </w:tabs>
        <w:spacing w:line="249" w:lineRule="auto" w:before="0" w:after="0"/>
        <w:ind w:left="1199" w:right="252" w:hanging="360"/>
        <w:jc w:val="left"/>
        <w:rPr>
          <w:sz w:val="22"/>
        </w:rPr>
      </w:pPr>
      <w:r>
        <w:rPr>
          <w:color w:val="010202"/>
          <w:sz w:val="22"/>
        </w:rPr>
        <w:t>Using model with dummy for missing as a</w:t>
      </w:r>
      <w:r>
        <w:rPr>
          <w:color w:val="010202"/>
          <w:spacing w:val="-52"/>
          <w:sz w:val="22"/>
        </w:rPr>
        <w:t> </w:t>
      </w:r>
      <w:r>
        <w:rPr>
          <w:color w:val="010202"/>
          <w:sz w:val="22"/>
        </w:rPr>
        <w:t>covariate was considered</w:t>
      </w:r>
      <w:r>
        <w:rPr>
          <w:color w:val="010202"/>
          <w:spacing w:val="-1"/>
          <w:sz w:val="22"/>
        </w:rPr>
        <w:t> </w:t>
      </w:r>
      <w:r>
        <w:rPr>
          <w:color w:val="010202"/>
          <w:sz w:val="22"/>
        </w:rPr>
        <w:t>valid.</w:t>
      </w:r>
    </w:p>
    <w:p>
      <w:pPr>
        <w:pStyle w:val="ListParagraph"/>
        <w:numPr>
          <w:ilvl w:val="1"/>
          <w:numId w:val="94"/>
        </w:numPr>
        <w:tabs>
          <w:tab w:pos="1199" w:val="left" w:leader="none"/>
          <w:tab w:pos="1200" w:val="left" w:leader="none"/>
        </w:tabs>
        <w:spacing w:line="249" w:lineRule="auto" w:before="100" w:after="0"/>
        <w:ind w:left="1199" w:right="877" w:hanging="360"/>
        <w:jc w:val="left"/>
        <w:rPr>
          <w:sz w:val="22"/>
        </w:rPr>
      </w:pPr>
      <w:r>
        <w:rPr>
          <w:color w:val="010202"/>
          <w:w w:val="99"/>
          <w:sz w:val="22"/>
        </w:rPr>
        <w:br w:type="column"/>
      </w:r>
      <w:r>
        <w:rPr>
          <w:color w:val="010202"/>
          <w:sz w:val="22"/>
        </w:rPr>
        <w:t>Assuming all missing data points are either</w:t>
      </w:r>
      <w:r>
        <w:rPr>
          <w:color w:val="010202"/>
          <w:spacing w:val="-52"/>
          <w:sz w:val="22"/>
        </w:rPr>
        <w:t> </w:t>
      </w:r>
      <w:r>
        <w:rPr>
          <w:color w:val="010202"/>
          <w:sz w:val="22"/>
        </w:rPr>
        <w:t>positive or negative was not considered</w:t>
      </w:r>
      <w:r>
        <w:rPr>
          <w:color w:val="010202"/>
          <w:spacing w:val="1"/>
          <w:sz w:val="22"/>
        </w:rPr>
        <w:t> </w:t>
      </w:r>
      <w:r>
        <w:rPr>
          <w:color w:val="010202"/>
          <w:sz w:val="22"/>
        </w:rPr>
        <w:t>valid.</w:t>
      </w:r>
    </w:p>
    <w:p>
      <w:pPr>
        <w:pStyle w:val="ListParagraph"/>
        <w:numPr>
          <w:ilvl w:val="1"/>
          <w:numId w:val="94"/>
        </w:numPr>
        <w:tabs>
          <w:tab w:pos="1199" w:val="left" w:leader="none"/>
          <w:tab w:pos="1200" w:val="left" w:leader="none"/>
        </w:tabs>
        <w:spacing w:line="255" w:lineRule="exact" w:before="0" w:after="0"/>
        <w:ind w:left="1199" w:right="0" w:hanging="361"/>
        <w:jc w:val="left"/>
        <w:rPr>
          <w:sz w:val="22"/>
        </w:rPr>
      </w:pPr>
      <w:r>
        <w:rPr>
          <w:color w:val="010202"/>
          <w:sz w:val="22"/>
        </w:rPr>
        <w:t>Regression-based</w:t>
      </w:r>
      <w:r>
        <w:rPr>
          <w:color w:val="010202"/>
          <w:spacing w:val="-3"/>
          <w:sz w:val="22"/>
        </w:rPr>
        <w:t> </w:t>
      </w:r>
      <w:r>
        <w:rPr>
          <w:color w:val="010202"/>
          <w:sz w:val="22"/>
        </w:rPr>
        <w:t>imputation</w:t>
      </w:r>
      <w:r>
        <w:rPr>
          <w:color w:val="010202"/>
          <w:spacing w:val="-2"/>
          <w:sz w:val="22"/>
        </w:rPr>
        <w:t> </w:t>
      </w:r>
      <w:r>
        <w:rPr>
          <w:color w:val="010202"/>
          <w:sz w:val="22"/>
        </w:rPr>
        <w:t>was</w:t>
      </w:r>
      <w:r>
        <w:rPr>
          <w:color w:val="010202"/>
          <w:spacing w:val="-2"/>
          <w:sz w:val="22"/>
        </w:rPr>
        <w:t> </w:t>
      </w:r>
      <w:r>
        <w:rPr>
          <w:color w:val="010202"/>
          <w:sz w:val="22"/>
        </w:rPr>
        <w:t>considered</w:t>
      </w:r>
    </w:p>
    <w:p>
      <w:pPr>
        <w:pStyle w:val="BodyText"/>
        <w:spacing w:line="249" w:lineRule="auto" w:before="10"/>
        <w:ind w:left="1199" w:right="1576"/>
      </w:pPr>
      <w:r>
        <w:rPr>
          <w:color w:val="010202"/>
        </w:rPr>
        <w:t>valid and mean imputation was not</w:t>
      </w:r>
      <w:r>
        <w:rPr>
          <w:color w:val="010202"/>
          <w:spacing w:val="-52"/>
        </w:rPr>
        <w:t> </w:t>
      </w:r>
      <w:r>
        <w:rPr>
          <w:color w:val="010202"/>
        </w:rPr>
        <w:t>considered valid.</w:t>
      </w:r>
    </w:p>
    <w:p>
      <w:pPr>
        <w:pStyle w:val="ListParagraph"/>
        <w:numPr>
          <w:ilvl w:val="0"/>
          <w:numId w:val="94"/>
        </w:numPr>
        <w:tabs>
          <w:tab w:pos="360" w:val="left" w:leader="none"/>
        </w:tabs>
        <w:spacing w:line="240" w:lineRule="auto" w:before="108" w:after="0"/>
        <w:ind w:left="840" w:right="1183" w:hanging="841"/>
        <w:jc w:val="right"/>
        <w:rPr>
          <w:sz w:val="22"/>
        </w:rPr>
      </w:pPr>
      <w:r>
        <w:rPr>
          <w:color w:val="010202"/>
          <w:sz w:val="22"/>
        </w:rPr>
        <w:t>Outcome</w:t>
      </w:r>
      <w:r>
        <w:rPr>
          <w:color w:val="010202"/>
          <w:spacing w:val="-3"/>
          <w:sz w:val="22"/>
        </w:rPr>
        <w:t> </w:t>
      </w:r>
      <w:r>
        <w:rPr>
          <w:color w:val="010202"/>
          <w:sz w:val="22"/>
        </w:rPr>
        <w:t>measures</w:t>
      </w:r>
      <w:r>
        <w:rPr>
          <w:color w:val="010202"/>
          <w:spacing w:val="-2"/>
          <w:sz w:val="22"/>
        </w:rPr>
        <w:t> </w:t>
      </w:r>
      <w:r>
        <w:rPr>
          <w:color w:val="010202"/>
          <w:sz w:val="22"/>
        </w:rPr>
        <w:t>were</w:t>
      </w:r>
      <w:r>
        <w:rPr>
          <w:color w:val="010202"/>
          <w:spacing w:val="-3"/>
          <w:sz w:val="22"/>
        </w:rPr>
        <w:t> </w:t>
      </w:r>
      <w:r>
        <w:rPr>
          <w:color w:val="010202"/>
          <w:sz w:val="22"/>
        </w:rPr>
        <w:t>reliable,</w:t>
      </w:r>
      <w:r>
        <w:rPr>
          <w:color w:val="010202"/>
          <w:spacing w:val="-1"/>
          <w:sz w:val="22"/>
        </w:rPr>
        <w:t> </w:t>
      </w:r>
      <w:r>
        <w:rPr>
          <w:color w:val="010202"/>
          <w:sz w:val="22"/>
        </w:rPr>
        <w:t>valid,</w:t>
      </w:r>
      <w:r>
        <w:rPr>
          <w:color w:val="010202"/>
          <w:spacing w:val="-2"/>
          <w:sz w:val="22"/>
        </w:rPr>
        <w:t> </w:t>
      </w:r>
      <w:r>
        <w:rPr>
          <w:color w:val="010202"/>
          <w:sz w:val="22"/>
        </w:rPr>
        <w:t>and</w:t>
      </w:r>
    </w:p>
    <w:p>
      <w:pPr>
        <w:pStyle w:val="BodyText"/>
        <w:spacing w:before="27"/>
        <w:ind w:right="1243"/>
        <w:jc w:val="right"/>
      </w:pPr>
      <w:r>
        <w:rPr>
          <w:color w:val="010202"/>
        </w:rPr>
        <w:t>collected consistently from all participants.</w:t>
      </w:r>
    </w:p>
    <w:p>
      <w:pPr>
        <w:pStyle w:val="ListParagraph"/>
        <w:numPr>
          <w:ilvl w:val="0"/>
          <w:numId w:val="94"/>
        </w:numPr>
        <w:tabs>
          <w:tab w:pos="841" w:val="left" w:leader="none"/>
        </w:tabs>
        <w:spacing w:line="240" w:lineRule="auto" w:before="74" w:after="0"/>
        <w:ind w:left="840" w:right="0" w:hanging="361"/>
        <w:jc w:val="left"/>
        <w:rPr>
          <w:sz w:val="22"/>
        </w:rPr>
      </w:pPr>
      <w:r>
        <w:rPr>
          <w:color w:val="010202"/>
          <w:sz w:val="22"/>
        </w:rPr>
        <w:t>Valid</w:t>
      </w:r>
      <w:r>
        <w:rPr>
          <w:color w:val="010202"/>
          <w:spacing w:val="-6"/>
          <w:sz w:val="22"/>
        </w:rPr>
        <w:t> </w:t>
      </w:r>
      <w:r>
        <w:rPr>
          <w:color w:val="010202"/>
          <w:sz w:val="22"/>
        </w:rPr>
        <w:t>statistical</w:t>
      </w:r>
      <w:r>
        <w:rPr>
          <w:color w:val="010202"/>
          <w:spacing w:val="-6"/>
          <w:sz w:val="22"/>
        </w:rPr>
        <w:t> </w:t>
      </w:r>
      <w:r>
        <w:rPr>
          <w:color w:val="010202"/>
          <w:sz w:val="22"/>
        </w:rPr>
        <w:t>models</w:t>
      </w:r>
      <w:r>
        <w:rPr>
          <w:color w:val="010202"/>
          <w:spacing w:val="-5"/>
          <w:sz w:val="22"/>
        </w:rPr>
        <w:t> </w:t>
      </w:r>
      <w:r>
        <w:rPr>
          <w:color w:val="010202"/>
          <w:sz w:val="22"/>
        </w:rPr>
        <w:t>were</w:t>
      </w:r>
      <w:r>
        <w:rPr>
          <w:color w:val="010202"/>
          <w:spacing w:val="-6"/>
          <w:sz w:val="22"/>
        </w:rPr>
        <w:t> </w:t>
      </w:r>
      <w:r>
        <w:rPr>
          <w:color w:val="010202"/>
          <w:sz w:val="22"/>
        </w:rPr>
        <w:t>used</w:t>
      </w:r>
      <w:r>
        <w:rPr>
          <w:color w:val="010202"/>
          <w:spacing w:val="-5"/>
          <w:sz w:val="22"/>
        </w:rPr>
        <w:t> </w:t>
      </w:r>
      <w:r>
        <w:rPr>
          <w:color w:val="010202"/>
          <w:sz w:val="22"/>
        </w:rPr>
        <w:t>to</w:t>
      </w:r>
      <w:r>
        <w:rPr>
          <w:color w:val="010202"/>
          <w:spacing w:val="-6"/>
          <w:sz w:val="22"/>
        </w:rPr>
        <w:t> </w:t>
      </w:r>
      <w:r>
        <w:rPr>
          <w:color w:val="010202"/>
          <w:sz w:val="22"/>
        </w:rPr>
        <w:t>estimate</w:t>
      </w:r>
    </w:p>
    <w:p>
      <w:pPr>
        <w:pStyle w:val="BodyText"/>
        <w:spacing w:before="27"/>
        <w:ind w:left="840"/>
      </w:pPr>
      <w:r>
        <w:rPr>
          <w:color w:val="010202"/>
        </w:rPr>
        <w:t>impacts.</w:t>
      </w:r>
    </w:p>
    <w:p>
      <w:pPr>
        <w:pStyle w:val="ListParagraph"/>
        <w:numPr>
          <w:ilvl w:val="0"/>
          <w:numId w:val="94"/>
        </w:numPr>
        <w:tabs>
          <w:tab w:pos="841" w:val="left" w:leader="none"/>
        </w:tabs>
        <w:spacing w:line="266" w:lineRule="auto" w:before="74" w:after="0"/>
        <w:ind w:left="840" w:right="1105" w:hanging="360"/>
        <w:jc w:val="left"/>
        <w:rPr>
          <w:sz w:val="22"/>
        </w:rPr>
      </w:pPr>
      <w:r>
        <w:rPr>
          <w:color w:val="010202"/>
          <w:sz w:val="22"/>
        </w:rPr>
        <w:t>Treatment</w:t>
      </w:r>
      <w:r>
        <w:rPr>
          <w:color w:val="010202"/>
          <w:spacing w:val="-8"/>
          <w:sz w:val="22"/>
        </w:rPr>
        <w:t> </w:t>
      </w:r>
      <w:r>
        <w:rPr>
          <w:color w:val="010202"/>
          <w:sz w:val="22"/>
        </w:rPr>
        <w:t>demonstrated</w:t>
      </w:r>
      <w:r>
        <w:rPr>
          <w:color w:val="010202"/>
          <w:spacing w:val="-7"/>
          <w:sz w:val="22"/>
        </w:rPr>
        <w:t> </w:t>
      </w:r>
      <w:r>
        <w:rPr>
          <w:color w:val="010202"/>
          <w:sz w:val="22"/>
        </w:rPr>
        <w:t>improved</w:t>
      </w:r>
      <w:r>
        <w:rPr>
          <w:color w:val="010202"/>
          <w:spacing w:val="-7"/>
          <w:sz w:val="22"/>
        </w:rPr>
        <w:t> </w:t>
      </w:r>
      <w:r>
        <w:rPr>
          <w:color w:val="010202"/>
          <w:sz w:val="22"/>
        </w:rPr>
        <w:t>outcomes</w:t>
      </w:r>
      <w:r>
        <w:rPr>
          <w:color w:val="010202"/>
          <w:spacing w:val="-52"/>
          <w:sz w:val="22"/>
        </w:rPr>
        <w:t> </w:t>
      </w:r>
      <w:r>
        <w:rPr>
          <w:color w:val="010202"/>
          <w:sz w:val="22"/>
        </w:rPr>
        <w:t>related to</w:t>
      </w:r>
      <w:r>
        <w:rPr>
          <w:color w:val="010202"/>
          <w:spacing w:val="-1"/>
          <w:sz w:val="22"/>
        </w:rPr>
        <w:t> </w:t>
      </w:r>
      <w:r>
        <w:rPr>
          <w:color w:val="010202"/>
          <w:sz w:val="22"/>
        </w:rPr>
        <w:t>SMI and/or SUD.</w:t>
      </w:r>
    </w:p>
    <w:p>
      <w:pPr>
        <w:pStyle w:val="BodyText"/>
        <w:spacing w:line="266" w:lineRule="auto" w:before="178"/>
        <w:ind w:left="120" w:right="914"/>
      </w:pPr>
      <w:r>
        <w:rPr>
          <w:color w:val="231F20"/>
        </w:rPr>
        <w:t>Based on the study design and these study</w:t>
      </w:r>
      <w:r>
        <w:rPr>
          <w:color w:val="231F20"/>
          <w:spacing w:val="1"/>
        </w:rPr>
        <w:t> </w:t>
      </w:r>
      <w:r>
        <w:rPr>
          <w:color w:val="231F20"/>
        </w:rPr>
        <w:t>characteristics, reviewers </w:t>
      </w:r>
      <w:r>
        <w:rPr>
          <w:b/>
          <w:color w:val="231F20"/>
        </w:rPr>
        <w:t>gave each </w:t>
      </w:r>
      <w:r>
        <w:rPr>
          <w:b/>
          <w:i/>
          <w:color w:val="231F20"/>
        </w:rPr>
        <w:t>study </w:t>
      </w:r>
      <w:r>
        <w:rPr>
          <w:b/>
          <w:color w:val="231F20"/>
        </w:rPr>
        <w:t>a rating </w:t>
      </w:r>
      <w:r>
        <w:rPr>
          <w:color w:val="231F20"/>
        </w:rPr>
        <w:t>for</w:t>
      </w:r>
      <w:r>
        <w:rPr>
          <w:color w:val="231F20"/>
          <w:spacing w:val="-52"/>
        </w:rPr>
        <w:t> </w:t>
      </w:r>
      <w:r>
        <w:rPr>
          <w:color w:val="231F20"/>
        </w:rPr>
        <w:t>causal impact. Reviewers used the following scoring</w:t>
      </w:r>
      <w:r>
        <w:rPr>
          <w:color w:val="231F20"/>
          <w:spacing w:val="1"/>
        </w:rPr>
        <w:t> </w:t>
      </w:r>
      <w:r>
        <w:rPr>
          <w:color w:val="231F20"/>
        </w:rPr>
        <w:t>metric</w:t>
      </w:r>
      <w:r>
        <w:rPr>
          <w:color w:val="231F20"/>
          <w:spacing w:val="-1"/>
        </w:rPr>
        <w:t> </w:t>
      </w:r>
      <w:r>
        <w:rPr>
          <w:color w:val="231F20"/>
        </w:rPr>
        <w:t>for each study based on the eight factors above:</w:t>
      </w:r>
    </w:p>
    <w:p>
      <w:pPr>
        <w:pStyle w:val="ListParagraph"/>
        <w:numPr>
          <w:ilvl w:val="1"/>
          <w:numId w:val="67"/>
        </w:numPr>
        <w:tabs>
          <w:tab w:pos="839" w:val="left" w:leader="none"/>
          <w:tab w:pos="841" w:val="left" w:leader="none"/>
        </w:tabs>
        <w:spacing w:line="240" w:lineRule="auto" w:before="161" w:after="0"/>
        <w:ind w:left="840" w:right="0" w:hanging="361"/>
        <w:jc w:val="left"/>
        <w:rPr>
          <w:sz w:val="22"/>
        </w:rPr>
      </w:pPr>
      <w:r>
        <w:rPr>
          <w:color w:val="010202"/>
          <w:sz w:val="22"/>
        </w:rPr>
        <w:t>High support of causal evidence</w:t>
      </w:r>
    </w:p>
    <w:p>
      <w:pPr>
        <w:pStyle w:val="ListParagraph"/>
        <w:numPr>
          <w:ilvl w:val="1"/>
          <w:numId w:val="67"/>
        </w:numPr>
        <w:tabs>
          <w:tab w:pos="839" w:val="left" w:leader="none"/>
          <w:tab w:pos="841" w:val="left" w:leader="none"/>
        </w:tabs>
        <w:spacing w:line="240" w:lineRule="auto" w:before="58" w:after="0"/>
        <w:ind w:left="840" w:right="0" w:hanging="361"/>
        <w:jc w:val="left"/>
        <w:rPr>
          <w:sz w:val="22"/>
        </w:rPr>
      </w:pPr>
      <w:r>
        <w:rPr>
          <w:color w:val="010202"/>
          <w:sz w:val="22"/>
        </w:rPr>
        <w:t>Moderate support of causal evidence</w:t>
      </w:r>
    </w:p>
    <w:p>
      <w:pPr>
        <w:pStyle w:val="ListParagraph"/>
        <w:numPr>
          <w:ilvl w:val="1"/>
          <w:numId w:val="67"/>
        </w:numPr>
        <w:tabs>
          <w:tab w:pos="839" w:val="left" w:leader="none"/>
          <w:tab w:pos="841" w:val="left" w:leader="none"/>
        </w:tabs>
        <w:spacing w:line="240" w:lineRule="auto" w:before="57" w:after="0"/>
        <w:ind w:left="840" w:right="0" w:hanging="361"/>
        <w:jc w:val="left"/>
        <w:rPr>
          <w:sz w:val="22"/>
        </w:rPr>
      </w:pPr>
      <w:r>
        <w:rPr>
          <w:color w:val="010202"/>
          <w:sz w:val="22"/>
        </w:rPr>
        <w:t>Low support of causal evidence</w:t>
      </w:r>
    </w:p>
    <w:p>
      <w:pPr>
        <w:pStyle w:val="BodyText"/>
        <w:spacing w:line="266" w:lineRule="auto" w:before="206"/>
        <w:ind w:left="120" w:right="890"/>
      </w:pPr>
      <w:r>
        <w:rPr>
          <w:color w:val="231F20"/>
        </w:rPr>
        <w:t>Only randomized controlled trials, quasi-experimental</w:t>
      </w:r>
      <w:r>
        <w:rPr>
          <w:color w:val="231F20"/>
          <w:spacing w:val="1"/>
        </w:rPr>
        <w:t> </w:t>
      </w:r>
      <w:r>
        <w:rPr>
          <w:color w:val="231F20"/>
        </w:rPr>
        <w:t>designs, and epidemiological studies with a strong</w:t>
      </w:r>
      <w:r>
        <w:rPr>
          <w:color w:val="231F20"/>
          <w:spacing w:val="1"/>
        </w:rPr>
        <w:t> </w:t>
      </w:r>
      <w:r>
        <w:rPr>
          <w:color w:val="231F20"/>
        </w:rPr>
        <w:t>comparison were eligible to receive a high or moderate</w:t>
      </w:r>
      <w:r>
        <w:rPr>
          <w:color w:val="231F20"/>
          <w:spacing w:val="-52"/>
        </w:rPr>
        <w:t> </w:t>
      </w:r>
      <w:r>
        <w:rPr>
          <w:color w:val="231F20"/>
        </w:rPr>
        <w:t>study rating.</w:t>
      </w:r>
    </w:p>
    <w:p>
      <w:pPr>
        <w:pStyle w:val="Heading2"/>
        <w:spacing w:before="137"/>
      </w:pPr>
      <w:r>
        <w:rPr>
          <w:color w:val="1C384B"/>
        </w:rPr>
        <w:t>Step</w:t>
      </w:r>
      <w:r>
        <w:rPr>
          <w:color w:val="1C384B"/>
          <w:spacing w:val="-7"/>
        </w:rPr>
        <w:t> </w:t>
      </w:r>
      <w:r>
        <w:rPr>
          <w:color w:val="1C384B"/>
        </w:rPr>
        <w:t>4:</w:t>
      </w:r>
      <w:r>
        <w:rPr>
          <w:color w:val="1C384B"/>
          <w:spacing w:val="-7"/>
        </w:rPr>
        <w:t> </w:t>
      </w:r>
      <w:r>
        <w:rPr>
          <w:color w:val="1C384B"/>
        </w:rPr>
        <w:t>Treatment</w:t>
      </w:r>
      <w:r>
        <w:rPr>
          <w:color w:val="1C384B"/>
          <w:spacing w:val="-6"/>
        </w:rPr>
        <w:t> </w:t>
      </w:r>
      <w:r>
        <w:rPr>
          <w:color w:val="1C384B"/>
        </w:rPr>
        <w:t>Rating</w:t>
      </w:r>
    </w:p>
    <w:p>
      <w:pPr>
        <w:pStyle w:val="BodyText"/>
        <w:spacing w:line="266" w:lineRule="auto" w:before="86"/>
        <w:ind w:left="120" w:right="884"/>
      </w:pPr>
      <w:r>
        <w:rPr>
          <w:color w:val="231F20"/>
        </w:rPr>
        <w:t>After all studies for a treatment were assessed for these</w:t>
      </w:r>
      <w:r>
        <w:rPr>
          <w:color w:val="231F20"/>
          <w:spacing w:val="-52"/>
        </w:rPr>
        <w:t> </w:t>
      </w:r>
      <w:r>
        <w:rPr>
          <w:color w:val="231F20"/>
        </w:rPr>
        <w:t>criteria, the reviewers </w:t>
      </w:r>
      <w:r>
        <w:rPr>
          <w:b/>
          <w:color w:val="231F20"/>
        </w:rPr>
        <w:t>gave each </w:t>
      </w:r>
      <w:r>
        <w:rPr>
          <w:b/>
          <w:i/>
          <w:color w:val="231F20"/>
        </w:rPr>
        <w:t>treatment </w:t>
      </w:r>
      <w:r>
        <w:rPr>
          <w:b/>
          <w:color w:val="231F20"/>
        </w:rPr>
        <w:t>a rating</w:t>
      </w:r>
      <w:r>
        <w:rPr>
          <w:b/>
          <w:color w:val="231F20"/>
          <w:spacing w:val="1"/>
        </w:rPr>
        <w:t> </w:t>
      </w:r>
      <w:r>
        <w:rPr>
          <w:color w:val="231F20"/>
        </w:rPr>
        <w:t>based on the number of studies with strong, moderate,</w:t>
      </w:r>
      <w:r>
        <w:rPr>
          <w:color w:val="231F20"/>
          <w:spacing w:val="1"/>
        </w:rPr>
        <w:t> </w:t>
      </w:r>
      <w:r>
        <w:rPr>
          <w:color w:val="231F20"/>
        </w:rPr>
        <w:t>or emerging support of causal impact. Causal impact is</w:t>
      </w:r>
      <w:r>
        <w:rPr>
          <w:color w:val="231F20"/>
          <w:spacing w:val="-52"/>
        </w:rPr>
        <w:t> </w:t>
      </w:r>
      <w:r>
        <w:rPr>
          <w:color w:val="231F20"/>
        </w:rPr>
        <w:t>evidence demonstrating that an intervention causes, or</w:t>
      </w:r>
      <w:r>
        <w:rPr>
          <w:color w:val="231F20"/>
          <w:spacing w:val="1"/>
        </w:rPr>
        <w:t> </w:t>
      </w:r>
      <w:r>
        <w:rPr>
          <w:color w:val="231F20"/>
        </w:rPr>
        <w:t>is responsible for, the outcome measured in the study’s</w:t>
      </w:r>
      <w:r>
        <w:rPr>
          <w:color w:val="231F20"/>
          <w:spacing w:val="-52"/>
        </w:rPr>
        <w:t> </w:t>
      </w:r>
      <w:r>
        <w:rPr>
          <w:color w:val="231F20"/>
        </w:rPr>
        <w:t>sample population.</w:t>
      </w:r>
    </w:p>
    <w:p>
      <w:pPr>
        <w:pStyle w:val="BodyText"/>
        <w:spacing w:line="266" w:lineRule="auto" w:before="175"/>
        <w:ind w:left="120" w:right="1031"/>
      </w:pPr>
      <w:r>
        <w:rPr>
          <w:color w:val="231F20"/>
        </w:rPr>
        <w:t>The treatment was placed into one of the following</w:t>
      </w:r>
      <w:r>
        <w:rPr>
          <w:color w:val="231F20"/>
          <w:spacing w:val="1"/>
        </w:rPr>
        <w:t> </w:t>
      </w:r>
      <w:r>
        <w:rPr>
          <w:color w:val="231F20"/>
        </w:rPr>
        <w:t>categories based on the level of causal evidence of its</w:t>
      </w:r>
      <w:r>
        <w:rPr>
          <w:color w:val="231F20"/>
          <w:spacing w:val="-52"/>
        </w:rPr>
        <w:t> </w:t>
      </w:r>
      <w:r>
        <w:rPr>
          <w:color w:val="231F20"/>
        </w:rPr>
        <w:t>studies:</w:t>
      </w:r>
    </w:p>
    <w:p>
      <w:pPr>
        <w:pStyle w:val="ListParagraph"/>
        <w:numPr>
          <w:ilvl w:val="0"/>
          <w:numId w:val="95"/>
        </w:numPr>
        <w:tabs>
          <w:tab w:pos="841" w:val="left" w:leader="none"/>
        </w:tabs>
        <w:spacing w:line="266" w:lineRule="auto" w:before="177" w:after="0"/>
        <w:ind w:left="840" w:right="871" w:hanging="360"/>
        <w:jc w:val="left"/>
        <w:rPr>
          <w:sz w:val="22"/>
        </w:rPr>
      </w:pPr>
      <w:r>
        <w:rPr>
          <w:b/>
          <w:color w:val="010202"/>
          <w:sz w:val="22"/>
        </w:rPr>
        <w:t>Strong Evidence</w:t>
      </w:r>
      <w:r>
        <w:rPr>
          <w:color w:val="010202"/>
          <w:sz w:val="22"/>
        </w:rPr>
        <w:t>: Causal impact demonstrated</w:t>
      </w:r>
      <w:r>
        <w:rPr>
          <w:color w:val="010202"/>
          <w:spacing w:val="-52"/>
          <w:sz w:val="22"/>
        </w:rPr>
        <w:t> </w:t>
      </w:r>
      <w:r>
        <w:rPr>
          <w:color w:val="010202"/>
          <w:sz w:val="22"/>
        </w:rPr>
        <w:t>by at least </w:t>
      </w:r>
      <w:r>
        <w:rPr>
          <w:b/>
          <w:i/>
          <w:color w:val="010202"/>
          <w:sz w:val="22"/>
        </w:rPr>
        <w:t>two </w:t>
      </w:r>
      <w:r>
        <w:rPr>
          <w:color w:val="010202"/>
          <w:sz w:val="22"/>
        </w:rPr>
        <w:t>randomized controlled trials,</w:t>
      </w:r>
      <w:r>
        <w:rPr>
          <w:color w:val="010202"/>
          <w:spacing w:val="1"/>
          <w:sz w:val="22"/>
        </w:rPr>
        <w:t> </w:t>
      </w:r>
      <w:r>
        <w:rPr>
          <w:color w:val="010202"/>
          <w:sz w:val="22"/>
        </w:rPr>
        <w:t>quasi-experimental designs, or epidemiological</w:t>
      </w:r>
      <w:r>
        <w:rPr>
          <w:color w:val="010202"/>
          <w:spacing w:val="-52"/>
          <w:sz w:val="22"/>
        </w:rPr>
        <w:t> </w:t>
      </w:r>
      <w:r>
        <w:rPr>
          <w:color w:val="010202"/>
          <w:sz w:val="22"/>
        </w:rPr>
        <w:t>studies with a</w:t>
      </w:r>
      <w:r>
        <w:rPr>
          <w:color w:val="010202"/>
          <w:spacing w:val="-1"/>
          <w:sz w:val="22"/>
        </w:rPr>
        <w:t> </w:t>
      </w:r>
      <w:r>
        <w:rPr>
          <w:color w:val="010202"/>
          <w:sz w:val="22"/>
        </w:rPr>
        <w:t>high or moderate rating.</w:t>
      </w:r>
    </w:p>
    <w:p>
      <w:pPr>
        <w:pStyle w:val="ListParagraph"/>
        <w:numPr>
          <w:ilvl w:val="0"/>
          <w:numId w:val="95"/>
        </w:numPr>
        <w:tabs>
          <w:tab w:pos="841" w:val="left" w:leader="none"/>
        </w:tabs>
        <w:spacing w:line="266" w:lineRule="auto" w:before="44" w:after="0"/>
        <w:ind w:left="840" w:right="931" w:hanging="360"/>
        <w:jc w:val="left"/>
        <w:rPr>
          <w:sz w:val="22"/>
        </w:rPr>
      </w:pPr>
      <w:r>
        <w:rPr>
          <w:b/>
          <w:color w:val="010202"/>
          <w:sz w:val="22"/>
        </w:rPr>
        <w:t>Moderate Evidence</w:t>
      </w:r>
      <w:r>
        <w:rPr>
          <w:color w:val="010202"/>
          <w:sz w:val="22"/>
        </w:rPr>
        <w:t>: Causal impact</w:t>
      </w:r>
      <w:r>
        <w:rPr>
          <w:color w:val="010202"/>
          <w:spacing w:val="1"/>
          <w:sz w:val="22"/>
        </w:rPr>
        <w:t> </w:t>
      </w:r>
      <w:r>
        <w:rPr>
          <w:color w:val="010202"/>
          <w:sz w:val="22"/>
        </w:rPr>
        <w:t>demonstrated by at least </w:t>
      </w:r>
      <w:r>
        <w:rPr>
          <w:b/>
          <w:i/>
          <w:color w:val="010202"/>
          <w:sz w:val="22"/>
        </w:rPr>
        <w:t>one </w:t>
      </w:r>
      <w:r>
        <w:rPr>
          <w:color w:val="010202"/>
          <w:sz w:val="22"/>
        </w:rPr>
        <w:t>randomized</w:t>
      </w:r>
      <w:r>
        <w:rPr>
          <w:color w:val="010202"/>
          <w:spacing w:val="1"/>
          <w:sz w:val="22"/>
        </w:rPr>
        <w:t> </w:t>
      </w:r>
      <w:r>
        <w:rPr>
          <w:color w:val="010202"/>
          <w:sz w:val="22"/>
        </w:rPr>
        <w:t>controlled trial, quasi-experimental design, or</w:t>
      </w:r>
      <w:r>
        <w:rPr>
          <w:color w:val="010202"/>
          <w:spacing w:val="1"/>
          <w:sz w:val="22"/>
        </w:rPr>
        <w:t> </w:t>
      </w:r>
      <w:r>
        <w:rPr>
          <w:color w:val="010202"/>
          <w:sz w:val="22"/>
        </w:rPr>
        <w:t>epidemiological study with a high or moderate</w:t>
      </w:r>
      <w:r>
        <w:rPr>
          <w:color w:val="010202"/>
          <w:spacing w:val="-52"/>
          <w:sz w:val="22"/>
        </w:rPr>
        <w:t> </w:t>
      </w:r>
      <w:r>
        <w:rPr>
          <w:color w:val="010202"/>
          <w:sz w:val="22"/>
        </w:rPr>
        <w:t>rating.</w:t>
      </w:r>
    </w:p>
    <w:p>
      <w:pPr>
        <w:spacing w:after="0" w:line="266" w:lineRule="auto"/>
        <w:jc w:val="left"/>
        <w:rPr>
          <w:sz w:val="22"/>
        </w:rPr>
        <w:sectPr>
          <w:type w:val="continuous"/>
          <w:pgSz w:w="12240" w:h="15840"/>
          <w:pgMar w:header="0" w:footer="666" w:top="1500" w:bottom="0" w:left="600" w:right="0"/>
          <w:cols w:num="2" w:equalWidth="0">
            <w:col w:w="5201" w:space="558"/>
            <w:col w:w="5881"/>
          </w:cols>
        </w:sectPr>
      </w:pPr>
    </w:p>
    <w:p>
      <w:pPr>
        <w:pStyle w:val="BodyText"/>
        <w:rPr>
          <w:sz w:val="20"/>
        </w:rPr>
      </w:pPr>
    </w:p>
    <w:p>
      <w:pPr>
        <w:pStyle w:val="BodyText"/>
        <w:spacing w:before="2"/>
        <w:rPr>
          <w:sz w:val="27"/>
        </w:rPr>
      </w:pPr>
    </w:p>
    <w:p>
      <w:pPr>
        <w:pStyle w:val="ListParagraph"/>
        <w:numPr>
          <w:ilvl w:val="0"/>
          <w:numId w:val="95"/>
        </w:numPr>
        <w:tabs>
          <w:tab w:pos="840" w:val="left" w:leader="none"/>
        </w:tabs>
        <w:spacing w:line="266" w:lineRule="auto" w:before="91" w:after="0"/>
        <w:ind w:left="839" w:right="6478" w:hanging="360"/>
        <w:jc w:val="left"/>
        <w:rPr>
          <w:sz w:val="22"/>
        </w:rPr>
      </w:pPr>
      <w:r>
        <w:rPr/>
        <w:drawing>
          <wp:anchor distT="0" distB="0" distL="0" distR="0" allowOverlap="1" layoutInCell="1" locked="0" behindDoc="0" simplePos="0" relativeHeight="15761920">
            <wp:simplePos x="0" y="0"/>
            <wp:positionH relativeFrom="page">
              <wp:posOffset>4114800</wp:posOffset>
            </wp:positionH>
            <wp:positionV relativeFrom="paragraph">
              <wp:posOffset>91344</wp:posOffset>
            </wp:positionV>
            <wp:extent cx="3200400" cy="2569463"/>
            <wp:effectExtent l="0" t="0" r="0" b="0"/>
            <wp:wrapNone/>
            <wp:docPr id="55" name="image29.png" descr="Image of a person typing on a laptop. Drawn next to them are various graphics illustrating communications.  "/>
            <wp:cNvGraphicFramePr>
              <a:graphicFrameLocks noChangeAspect="1"/>
            </wp:cNvGraphicFramePr>
            <a:graphic>
              <a:graphicData uri="http://schemas.openxmlformats.org/drawingml/2006/picture">
                <pic:pic>
                  <pic:nvPicPr>
                    <pic:cNvPr id="56" name="image29.png"/>
                    <pic:cNvPicPr/>
                  </pic:nvPicPr>
                  <pic:blipFill>
                    <a:blip r:embed="rId375" cstate="print"/>
                    <a:stretch>
                      <a:fillRect/>
                    </a:stretch>
                  </pic:blipFill>
                  <pic:spPr>
                    <a:xfrm>
                      <a:off x="0" y="0"/>
                      <a:ext cx="3200400" cy="2569463"/>
                    </a:xfrm>
                    <a:prstGeom prst="rect">
                      <a:avLst/>
                    </a:prstGeom>
                  </pic:spPr>
                </pic:pic>
              </a:graphicData>
            </a:graphic>
          </wp:anchor>
        </w:drawing>
      </w:r>
      <w:r>
        <w:rPr>
          <w:b/>
          <w:color w:val="010202"/>
          <w:sz w:val="22"/>
        </w:rPr>
        <w:t>Emerging Evidence</w:t>
      </w:r>
      <w:r>
        <w:rPr>
          <w:color w:val="010202"/>
          <w:sz w:val="22"/>
        </w:rPr>
        <w:t>: No study received a high</w:t>
      </w:r>
      <w:r>
        <w:rPr>
          <w:color w:val="010202"/>
          <w:spacing w:val="1"/>
          <w:sz w:val="22"/>
        </w:rPr>
        <w:t> </w:t>
      </w:r>
      <w:r>
        <w:rPr>
          <w:color w:val="010202"/>
          <w:sz w:val="22"/>
        </w:rPr>
        <w:t>or a moderate rating. The treatment may have</w:t>
      </w:r>
      <w:r>
        <w:rPr>
          <w:color w:val="010202"/>
          <w:spacing w:val="1"/>
          <w:sz w:val="22"/>
        </w:rPr>
        <w:t> </w:t>
      </w:r>
      <w:r>
        <w:rPr>
          <w:color w:val="010202"/>
          <w:sz w:val="22"/>
        </w:rPr>
        <w:t>been evaluated with less rigorous studies (e.g.,</w:t>
      </w:r>
      <w:r>
        <w:rPr>
          <w:color w:val="010202"/>
          <w:spacing w:val="1"/>
          <w:sz w:val="22"/>
        </w:rPr>
        <w:t> </w:t>
      </w:r>
      <w:r>
        <w:rPr>
          <w:color w:val="010202"/>
          <w:sz w:val="22"/>
        </w:rPr>
        <w:t>pre-post designs) that demonstrate an association</w:t>
      </w:r>
      <w:r>
        <w:rPr>
          <w:color w:val="010202"/>
          <w:spacing w:val="-52"/>
          <w:sz w:val="22"/>
        </w:rPr>
        <w:t> </w:t>
      </w:r>
      <w:r>
        <w:rPr>
          <w:color w:val="010202"/>
          <w:sz w:val="22"/>
        </w:rPr>
        <w:t>between</w:t>
      </w:r>
      <w:r>
        <w:rPr>
          <w:color w:val="010202"/>
          <w:spacing w:val="4"/>
          <w:sz w:val="22"/>
        </w:rPr>
        <w:t> </w:t>
      </w:r>
      <w:r>
        <w:rPr>
          <w:color w:val="010202"/>
          <w:sz w:val="22"/>
        </w:rPr>
        <w:t>the</w:t>
      </w:r>
      <w:r>
        <w:rPr>
          <w:color w:val="010202"/>
          <w:spacing w:val="4"/>
          <w:sz w:val="22"/>
        </w:rPr>
        <w:t> </w:t>
      </w:r>
      <w:r>
        <w:rPr>
          <w:color w:val="010202"/>
          <w:sz w:val="22"/>
        </w:rPr>
        <w:t>treatment</w:t>
      </w:r>
      <w:r>
        <w:rPr>
          <w:color w:val="010202"/>
          <w:spacing w:val="5"/>
          <w:sz w:val="22"/>
        </w:rPr>
        <w:t> </w:t>
      </w:r>
      <w:r>
        <w:rPr>
          <w:color w:val="010202"/>
          <w:sz w:val="22"/>
        </w:rPr>
        <w:t>and</w:t>
      </w:r>
      <w:r>
        <w:rPr>
          <w:color w:val="010202"/>
          <w:spacing w:val="4"/>
          <w:sz w:val="22"/>
        </w:rPr>
        <w:t> </w:t>
      </w:r>
      <w:r>
        <w:rPr>
          <w:color w:val="010202"/>
          <w:sz w:val="22"/>
        </w:rPr>
        <w:t>positive</w:t>
      </w:r>
      <w:r>
        <w:rPr>
          <w:color w:val="010202"/>
          <w:spacing w:val="5"/>
          <w:sz w:val="22"/>
        </w:rPr>
        <w:t> </w:t>
      </w:r>
      <w:r>
        <w:rPr>
          <w:color w:val="010202"/>
          <w:sz w:val="22"/>
        </w:rPr>
        <w:t>outcomes,</w:t>
      </w:r>
      <w:r>
        <w:rPr>
          <w:color w:val="010202"/>
          <w:spacing w:val="1"/>
          <w:sz w:val="22"/>
        </w:rPr>
        <w:t> </w:t>
      </w:r>
      <w:r>
        <w:rPr>
          <w:color w:val="010202"/>
          <w:sz w:val="22"/>
        </w:rPr>
        <w:t>but additional studies are needed to establish</w:t>
      </w:r>
      <w:r>
        <w:rPr>
          <w:color w:val="010202"/>
          <w:spacing w:val="1"/>
          <w:sz w:val="22"/>
        </w:rPr>
        <w:t> </w:t>
      </w:r>
      <w:r>
        <w:rPr>
          <w:color w:val="010202"/>
          <w:sz w:val="22"/>
        </w:rPr>
        <w:t>causal impact.</w:t>
      </w:r>
    </w:p>
    <w:p>
      <w:pPr>
        <w:pStyle w:val="BodyText"/>
        <w:spacing w:line="266" w:lineRule="auto" w:before="175"/>
        <w:ind w:left="119" w:right="6549"/>
      </w:pPr>
      <w:r>
        <w:rPr>
          <w:color w:val="231F20"/>
        </w:rPr>
        <w:t>The four-step process described above resulted in the</w:t>
      </w:r>
      <w:r>
        <w:rPr>
          <w:color w:val="231F20"/>
          <w:spacing w:val="1"/>
        </w:rPr>
        <w:t> </w:t>
      </w:r>
      <w:r>
        <w:rPr>
          <w:color w:val="231F20"/>
        </w:rPr>
        <w:t>identification</w:t>
      </w:r>
      <w:r>
        <w:rPr>
          <w:color w:val="231F20"/>
          <w:spacing w:val="-4"/>
        </w:rPr>
        <w:t> </w:t>
      </w:r>
      <w:r>
        <w:rPr>
          <w:color w:val="231F20"/>
        </w:rPr>
        <w:t>and</w:t>
      </w:r>
      <w:r>
        <w:rPr>
          <w:color w:val="231F20"/>
          <w:spacing w:val="-4"/>
        </w:rPr>
        <w:t> </w:t>
      </w:r>
      <w:r>
        <w:rPr>
          <w:color w:val="231F20"/>
        </w:rPr>
        <w:t>rating</w:t>
      </w:r>
      <w:r>
        <w:rPr>
          <w:color w:val="231F20"/>
          <w:spacing w:val="-3"/>
        </w:rPr>
        <w:t> </w:t>
      </w:r>
      <w:r>
        <w:rPr>
          <w:color w:val="231F20"/>
        </w:rPr>
        <w:t>of</w:t>
      </w:r>
      <w:r>
        <w:rPr>
          <w:color w:val="231F20"/>
          <w:spacing w:val="-4"/>
        </w:rPr>
        <w:t> </w:t>
      </w:r>
      <w:r>
        <w:rPr>
          <w:color w:val="231F20"/>
        </w:rPr>
        <w:t>four</w:t>
      </w:r>
      <w:r>
        <w:rPr>
          <w:color w:val="231F20"/>
          <w:spacing w:val="-4"/>
        </w:rPr>
        <w:t> </w:t>
      </w:r>
      <w:r>
        <w:rPr>
          <w:color w:val="231F20"/>
        </w:rPr>
        <w:t>behavioral</w:t>
      </w:r>
      <w:r>
        <w:rPr>
          <w:color w:val="231F20"/>
          <w:spacing w:val="-3"/>
        </w:rPr>
        <w:t> </w:t>
      </w:r>
      <w:r>
        <w:rPr>
          <w:color w:val="231F20"/>
        </w:rPr>
        <w:t>therapies</w:t>
      </w:r>
      <w:r>
        <w:rPr>
          <w:color w:val="231F20"/>
          <w:spacing w:val="-4"/>
        </w:rPr>
        <w:t> </w:t>
      </w:r>
      <w:r>
        <w:rPr>
          <w:color w:val="231F20"/>
        </w:rPr>
        <w:t>and</w:t>
      </w:r>
      <w:r>
        <w:rPr>
          <w:color w:val="231F20"/>
          <w:spacing w:val="-52"/>
        </w:rPr>
        <w:t> </w:t>
      </w:r>
      <w:r>
        <w:rPr>
          <w:color w:val="231F20"/>
        </w:rPr>
        <w:t>medication-assisted treatment, each provided to study</w:t>
      </w:r>
      <w:r>
        <w:rPr>
          <w:color w:val="231F20"/>
          <w:spacing w:val="1"/>
        </w:rPr>
        <w:t> </w:t>
      </w:r>
      <w:r>
        <w:rPr>
          <w:color w:val="231F20"/>
        </w:rPr>
        <w:t>samples using telehealth modalities. The rating given to</w:t>
      </w:r>
      <w:r>
        <w:rPr>
          <w:color w:val="231F20"/>
          <w:spacing w:val="1"/>
        </w:rPr>
        <w:t> </w:t>
      </w:r>
      <w:r>
        <w:rPr>
          <w:color w:val="231F20"/>
        </w:rPr>
        <w:t>each treatment is intended to inform decision making</w:t>
      </w:r>
      <w:r>
        <w:rPr>
          <w:color w:val="231F20"/>
          <w:spacing w:val="1"/>
        </w:rPr>
        <w:t> </w:t>
      </w:r>
      <w:r>
        <w:rPr>
          <w:color w:val="231F20"/>
        </w:rPr>
        <w:t>about adoption of new telehealth modalities that will</w:t>
      </w:r>
      <w:r>
        <w:rPr>
          <w:color w:val="231F20"/>
          <w:spacing w:val="1"/>
        </w:rPr>
        <w:t> </w:t>
      </w:r>
      <w:r>
        <w:rPr>
          <w:color w:val="231F20"/>
        </w:rPr>
        <w:t>improve</w:t>
      </w:r>
      <w:r>
        <w:rPr>
          <w:color w:val="231F20"/>
          <w:spacing w:val="-1"/>
        </w:rPr>
        <w:t> </w:t>
      </w:r>
      <w:r>
        <w:rPr>
          <w:color w:val="231F20"/>
        </w:rPr>
        <w:t>outcomes for people with SMI and/or SUD.</w:t>
      </w:r>
    </w:p>
    <w:p>
      <w:pPr>
        <w:spacing w:after="0" w:line="266" w:lineRule="auto"/>
        <w:sectPr>
          <w:pgSz w:w="12240" w:h="15840"/>
          <w:pgMar w:header="0" w:footer="666" w:top="380" w:bottom="860" w:left="600" w:right="0"/>
        </w:sectPr>
      </w:pPr>
    </w:p>
    <w:p>
      <w:pPr>
        <w:pStyle w:val="BodyText"/>
        <w:rPr>
          <w:sz w:val="20"/>
        </w:rPr>
      </w:pPr>
      <w:r>
        <w:rPr/>
        <w:pict>
          <v:group style="position:absolute;margin-left:-.0004pt;margin-top:252.848083pt;width:612.050pt;height:539.2pt;mso-position-horizontal-relative:page;mso-position-vertical-relative:page;z-index:-17858048" id="docshapegroup217" coordorigin="0,5057" coordsize="12241,10784">
            <v:rect style="position:absolute;left:0;top:5424;width:12240;height:10416" id="docshape218" filled="true" fillcolor="#231f20" stroked="false">
              <v:fill opacity="3276f" type="solid"/>
            </v:rect>
            <v:shape style="position:absolute;left:0;top:5997;width:12240;height:9525" id="docshape219" coordorigin="0,5997" coordsize="12240,9525" path="m12240,5997l1,8992,1,9000,0,9001,0,15521,8251,13502,8251,13494,12240,12518,12240,5997xe" filled="true" fillcolor="#ce372e" stroked="false">
              <v:path arrowok="t"/>
              <v:fill type="solid"/>
            </v:shape>
            <v:rect style="position:absolute;left:4056;top:5056;width:8184;height:3154" id="docshape220" filled="true" fillcolor="#231f20" stroked="false">
              <v:fill opacity="13106f" type="solid"/>
            </v:rect>
            <v:shape style="position:absolute;left:4511;top:5492;width:7729;height:2412" id="docshape221" coordorigin="4511,5492" coordsize="7729,2412" path="m12240,5492l4547,7384,4511,7903,12240,6012,12240,5492xe" filled="true" fillcolor="#1c384b" stroked="false">
              <v:path arrowok="t"/>
              <v:fill type="solid"/>
            </v:shape>
            <v:rect style="position:absolute;left:0;top:11797;width:12240;height:4043" id="docshape222" filled="true" fillcolor="#231f20" stroked="false">
              <v:fill opacity="13106f" type="solid"/>
            </v:rect>
            <v:shape style="position:absolute;left:0;top:12354;width:12240;height:3486" id="docshape223" coordorigin="0,12355" coordsize="12240,3486" path="m12240,12355l0,15338,0,15840,12240,15840,12240,12355xe" filled="true" fillcolor="#1d384a" stroked="false">
              <v:path arrowok="t"/>
              <v:fill type="solid"/>
            </v:shape>
            <v:shape style="position:absolute;left:8052;top:13622;width:3486;height:1165" type="#_x0000_t75" id="docshape224" alt="SAMHSA logo. " stroked="false">
              <v:imagedata r:id="rId378" o:title=""/>
            </v:shape>
            <v:shape style="position:absolute;left:6385;top:15397;width:1980;height:60" id="docshape225" coordorigin="6385,15397" coordsize="1980,60" path="m6444,15427l6442,15415,6436,15406,6426,15400,6415,15397,6403,15400,6394,15406,6388,15415,6385,15427,6388,15438,6394,15448,6403,15454,6415,15456,6426,15454,6436,15448,6442,15438,6444,15427xm8364,15427l8362,15415,8356,15406,8346,15400,8335,15397,8323,15400,8314,15406,8308,15415,8305,15427,8308,15438,8314,15448,8323,15454,8335,15456,8346,15454,8356,15448,8362,15438,8364,15427xe" filled="true" fillcolor="#ffffff"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spacing w:line="249" w:lineRule="auto" w:before="95"/>
        <w:ind w:left="300" w:right="8313" w:firstLine="0"/>
        <w:jc w:val="left"/>
        <w:rPr>
          <w:rFonts w:ascii="Arial"/>
          <w:sz w:val="16"/>
        </w:rPr>
      </w:pPr>
      <w:r>
        <w:rPr>
          <w:rFonts w:ascii="Arial"/>
          <w:color w:val="FFFFFF"/>
          <w:sz w:val="16"/>
        </w:rPr>
        <w:t>Photos are for illustrative purposes only.</w:t>
      </w:r>
      <w:r>
        <w:rPr>
          <w:rFonts w:ascii="Arial"/>
          <w:color w:val="FFFFFF"/>
          <w:spacing w:val="1"/>
          <w:sz w:val="16"/>
        </w:rPr>
        <w:t> </w:t>
      </w:r>
      <w:r>
        <w:rPr>
          <w:rFonts w:ascii="Arial"/>
          <w:color w:val="FFFFFF"/>
          <w:sz w:val="16"/>
        </w:rPr>
        <w:t>Any</w:t>
      </w:r>
      <w:r>
        <w:rPr>
          <w:rFonts w:ascii="Arial"/>
          <w:color w:val="FFFFFF"/>
          <w:spacing w:val="-3"/>
          <w:sz w:val="16"/>
        </w:rPr>
        <w:t> </w:t>
      </w:r>
      <w:r>
        <w:rPr>
          <w:rFonts w:ascii="Arial"/>
          <w:color w:val="FFFFFF"/>
          <w:sz w:val="16"/>
        </w:rPr>
        <w:t>person</w:t>
      </w:r>
      <w:r>
        <w:rPr>
          <w:rFonts w:ascii="Arial"/>
          <w:color w:val="FFFFFF"/>
          <w:spacing w:val="-2"/>
          <w:sz w:val="16"/>
        </w:rPr>
        <w:t> </w:t>
      </w:r>
      <w:r>
        <w:rPr>
          <w:rFonts w:ascii="Arial"/>
          <w:color w:val="FFFFFF"/>
          <w:sz w:val="16"/>
        </w:rPr>
        <w:t>depicted</w:t>
      </w:r>
      <w:r>
        <w:rPr>
          <w:rFonts w:ascii="Arial"/>
          <w:color w:val="FFFFFF"/>
          <w:spacing w:val="-2"/>
          <w:sz w:val="16"/>
        </w:rPr>
        <w:t> </w:t>
      </w:r>
      <w:r>
        <w:rPr>
          <w:rFonts w:ascii="Arial"/>
          <w:color w:val="FFFFFF"/>
          <w:sz w:val="16"/>
        </w:rPr>
        <w:t>in</w:t>
      </w:r>
      <w:r>
        <w:rPr>
          <w:rFonts w:ascii="Arial"/>
          <w:color w:val="FFFFFF"/>
          <w:spacing w:val="-2"/>
          <w:sz w:val="16"/>
        </w:rPr>
        <w:t> </w:t>
      </w:r>
      <w:r>
        <w:rPr>
          <w:rFonts w:ascii="Arial"/>
          <w:color w:val="FFFFFF"/>
          <w:sz w:val="16"/>
        </w:rPr>
        <w:t>a</w:t>
      </w:r>
      <w:r>
        <w:rPr>
          <w:rFonts w:ascii="Arial"/>
          <w:color w:val="FFFFFF"/>
          <w:spacing w:val="-2"/>
          <w:sz w:val="16"/>
        </w:rPr>
        <w:t> </w:t>
      </w:r>
      <w:r>
        <w:rPr>
          <w:rFonts w:ascii="Arial"/>
          <w:color w:val="FFFFFF"/>
          <w:sz w:val="16"/>
        </w:rPr>
        <w:t>photo</w:t>
      </w:r>
      <w:r>
        <w:rPr>
          <w:rFonts w:ascii="Arial"/>
          <w:color w:val="FFFFFF"/>
          <w:spacing w:val="-2"/>
          <w:sz w:val="16"/>
        </w:rPr>
        <w:t> </w:t>
      </w:r>
      <w:r>
        <w:rPr>
          <w:rFonts w:ascii="Arial"/>
          <w:color w:val="FFFFFF"/>
          <w:sz w:val="16"/>
        </w:rPr>
        <w:t>is</w:t>
      </w:r>
      <w:r>
        <w:rPr>
          <w:rFonts w:ascii="Arial"/>
          <w:color w:val="FFFFFF"/>
          <w:spacing w:val="-3"/>
          <w:sz w:val="16"/>
        </w:rPr>
        <w:t> </w:t>
      </w:r>
      <w:r>
        <w:rPr>
          <w:rFonts w:ascii="Arial"/>
          <w:color w:val="FFFFFF"/>
          <w:sz w:val="16"/>
        </w:rPr>
        <w:t>a</w:t>
      </w:r>
      <w:r>
        <w:rPr>
          <w:rFonts w:ascii="Arial"/>
          <w:color w:val="FFFFFF"/>
          <w:spacing w:val="-2"/>
          <w:sz w:val="16"/>
        </w:rPr>
        <w:t> </w:t>
      </w:r>
      <w:r>
        <w:rPr>
          <w:rFonts w:ascii="Arial"/>
          <w:color w:val="FFFFFF"/>
          <w:sz w:val="16"/>
        </w:rPr>
        <w:t>model.</w:t>
      </w:r>
    </w:p>
    <w:p>
      <w:pPr>
        <w:pStyle w:val="BodyText"/>
        <w:spacing w:before="9"/>
        <w:rPr>
          <w:rFonts w:ascii="Arial"/>
          <w:sz w:val="15"/>
        </w:rPr>
      </w:pPr>
    </w:p>
    <w:p>
      <w:pPr>
        <w:spacing w:line="249" w:lineRule="auto" w:before="0"/>
        <w:ind w:left="300" w:right="8918" w:firstLine="0"/>
        <w:jc w:val="left"/>
        <w:rPr>
          <w:rFonts w:ascii="Arial"/>
          <w:sz w:val="16"/>
        </w:rPr>
      </w:pPr>
      <w:r>
        <w:rPr>
          <w:rFonts w:ascii="Arial"/>
          <w:color w:val="FFFFFF"/>
          <w:sz w:val="16"/>
        </w:rPr>
        <w:t>Publication No. PEP21-06-02-001</w:t>
      </w:r>
      <w:r>
        <w:rPr>
          <w:rFonts w:ascii="Arial"/>
          <w:color w:val="FFFFFF"/>
          <w:spacing w:val="-43"/>
          <w:sz w:val="16"/>
        </w:rPr>
        <w:t> </w:t>
      </w:r>
      <w:r>
        <w:rPr>
          <w:rFonts w:ascii="Arial"/>
          <w:color w:val="FFFFFF"/>
          <w:sz w:val="16"/>
        </w:rPr>
        <w:t>First</w:t>
      </w:r>
      <w:r>
        <w:rPr>
          <w:rFonts w:ascii="Arial"/>
          <w:color w:val="FFFFFF"/>
          <w:spacing w:val="23"/>
          <w:sz w:val="16"/>
        </w:rPr>
        <w:t> </w:t>
      </w:r>
      <w:r>
        <w:rPr>
          <w:rFonts w:ascii="Arial"/>
          <w:color w:val="FFFFFF"/>
          <w:sz w:val="16"/>
        </w:rPr>
        <w:t>released</w:t>
      </w:r>
      <w:r>
        <w:rPr>
          <w:rFonts w:ascii="Arial"/>
          <w:color w:val="FFFFFF"/>
          <w:spacing w:val="23"/>
          <w:sz w:val="16"/>
        </w:rPr>
        <w:t> </w:t>
      </w:r>
      <w:r>
        <w:rPr>
          <w:rFonts w:ascii="Arial"/>
          <w:color w:val="FFFFFF"/>
          <w:sz w:val="16"/>
        </w:rPr>
        <w:t>2021</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19"/>
        </w:rPr>
      </w:pPr>
    </w:p>
    <w:p>
      <w:pPr>
        <w:spacing w:before="0"/>
        <w:ind w:left="1748" w:right="1359" w:firstLine="0"/>
        <w:jc w:val="center"/>
        <w:rPr>
          <w:rFonts w:ascii="Arial" w:hAnsi="Arial"/>
          <w:sz w:val="16"/>
        </w:rPr>
      </w:pPr>
      <w:r>
        <w:rPr>
          <w:rFonts w:ascii="Arial" w:hAnsi="Arial"/>
          <w:color w:val="FFFFFF"/>
          <w:sz w:val="16"/>
        </w:rPr>
        <w:t>SAMHSA’s</w:t>
      </w:r>
      <w:r>
        <w:rPr>
          <w:rFonts w:ascii="Arial" w:hAnsi="Arial"/>
          <w:color w:val="FFFFFF"/>
          <w:spacing w:val="51"/>
          <w:sz w:val="16"/>
        </w:rPr>
        <w:t> </w:t>
      </w:r>
      <w:r>
        <w:rPr>
          <w:rFonts w:ascii="Arial" w:hAnsi="Arial"/>
          <w:color w:val="FFFFFF"/>
          <w:sz w:val="16"/>
        </w:rPr>
        <w:t>mission</w:t>
      </w:r>
      <w:r>
        <w:rPr>
          <w:rFonts w:ascii="Arial" w:hAnsi="Arial"/>
          <w:color w:val="FFFFFF"/>
          <w:spacing w:val="51"/>
          <w:sz w:val="16"/>
        </w:rPr>
        <w:t> </w:t>
      </w:r>
      <w:r>
        <w:rPr>
          <w:rFonts w:ascii="Arial" w:hAnsi="Arial"/>
          <w:color w:val="FFFFFF"/>
          <w:sz w:val="16"/>
        </w:rPr>
        <w:t>is</w:t>
      </w:r>
      <w:r>
        <w:rPr>
          <w:rFonts w:ascii="Arial" w:hAnsi="Arial"/>
          <w:color w:val="FFFFFF"/>
          <w:spacing w:val="50"/>
          <w:sz w:val="16"/>
        </w:rPr>
        <w:t> </w:t>
      </w:r>
      <w:r>
        <w:rPr>
          <w:rFonts w:ascii="Arial" w:hAnsi="Arial"/>
          <w:color w:val="FFFFFF"/>
          <w:sz w:val="16"/>
        </w:rPr>
        <w:t>to</w:t>
      </w:r>
      <w:r>
        <w:rPr>
          <w:rFonts w:ascii="Arial" w:hAnsi="Arial"/>
          <w:color w:val="FFFFFF"/>
          <w:spacing w:val="52"/>
          <w:sz w:val="16"/>
        </w:rPr>
        <w:t> </w:t>
      </w:r>
      <w:r>
        <w:rPr>
          <w:rFonts w:ascii="Arial" w:hAnsi="Arial"/>
          <w:color w:val="FFFFFF"/>
          <w:sz w:val="16"/>
        </w:rPr>
        <w:t>reduce</w:t>
      </w:r>
      <w:r>
        <w:rPr>
          <w:rFonts w:ascii="Arial" w:hAnsi="Arial"/>
          <w:color w:val="FFFFFF"/>
          <w:spacing w:val="51"/>
          <w:sz w:val="16"/>
        </w:rPr>
        <w:t> </w:t>
      </w:r>
      <w:r>
        <w:rPr>
          <w:rFonts w:ascii="Arial" w:hAnsi="Arial"/>
          <w:color w:val="FFFFFF"/>
          <w:sz w:val="16"/>
        </w:rPr>
        <w:t>the</w:t>
      </w:r>
      <w:r>
        <w:rPr>
          <w:rFonts w:ascii="Arial" w:hAnsi="Arial"/>
          <w:color w:val="FFFFFF"/>
          <w:spacing w:val="52"/>
          <w:sz w:val="16"/>
        </w:rPr>
        <w:t> </w:t>
      </w:r>
      <w:r>
        <w:rPr>
          <w:rFonts w:ascii="Arial" w:hAnsi="Arial"/>
          <w:color w:val="FFFFFF"/>
          <w:sz w:val="16"/>
        </w:rPr>
        <w:t>impact</w:t>
      </w:r>
      <w:r>
        <w:rPr>
          <w:rFonts w:ascii="Arial" w:hAnsi="Arial"/>
          <w:color w:val="FFFFFF"/>
          <w:spacing w:val="49"/>
          <w:sz w:val="16"/>
        </w:rPr>
        <w:t> </w:t>
      </w:r>
      <w:r>
        <w:rPr>
          <w:rFonts w:ascii="Arial" w:hAnsi="Arial"/>
          <w:color w:val="FFFFFF"/>
          <w:sz w:val="16"/>
        </w:rPr>
        <w:t>of</w:t>
      </w:r>
      <w:r>
        <w:rPr>
          <w:rFonts w:ascii="Arial" w:hAnsi="Arial"/>
          <w:color w:val="FFFFFF"/>
          <w:spacing w:val="50"/>
          <w:sz w:val="16"/>
        </w:rPr>
        <w:t> </w:t>
      </w:r>
      <w:r>
        <w:rPr>
          <w:rFonts w:ascii="Arial" w:hAnsi="Arial"/>
          <w:color w:val="FFFFFF"/>
          <w:sz w:val="16"/>
        </w:rPr>
        <w:t>substance</w:t>
      </w:r>
      <w:r>
        <w:rPr>
          <w:rFonts w:ascii="Arial" w:hAnsi="Arial"/>
          <w:color w:val="FFFFFF"/>
          <w:spacing w:val="52"/>
          <w:sz w:val="16"/>
        </w:rPr>
        <w:t> </w:t>
      </w:r>
      <w:r>
        <w:rPr>
          <w:rFonts w:ascii="Arial" w:hAnsi="Arial"/>
          <w:color w:val="FFFFFF"/>
          <w:sz w:val="16"/>
        </w:rPr>
        <w:t>abuse</w:t>
      </w:r>
      <w:r>
        <w:rPr>
          <w:rFonts w:ascii="Arial" w:hAnsi="Arial"/>
          <w:color w:val="FFFFFF"/>
          <w:spacing w:val="50"/>
          <w:sz w:val="16"/>
        </w:rPr>
        <w:t> </w:t>
      </w:r>
      <w:r>
        <w:rPr>
          <w:rFonts w:ascii="Arial" w:hAnsi="Arial"/>
          <w:color w:val="FFFFFF"/>
          <w:sz w:val="16"/>
        </w:rPr>
        <w:t>and</w:t>
      </w:r>
      <w:r>
        <w:rPr>
          <w:rFonts w:ascii="Arial" w:hAnsi="Arial"/>
          <w:color w:val="FFFFFF"/>
          <w:spacing w:val="49"/>
          <w:sz w:val="16"/>
        </w:rPr>
        <w:t> </w:t>
      </w:r>
      <w:r>
        <w:rPr>
          <w:rFonts w:ascii="Arial" w:hAnsi="Arial"/>
          <w:color w:val="FFFFFF"/>
          <w:sz w:val="16"/>
        </w:rPr>
        <w:t>mental</w:t>
      </w:r>
      <w:r>
        <w:rPr>
          <w:rFonts w:ascii="Arial" w:hAnsi="Arial"/>
          <w:color w:val="FFFFFF"/>
          <w:spacing w:val="52"/>
          <w:sz w:val="16"/>
        </w:rPr>
        <w:t> </w:t>
      </w:r>
      <w:r>
        <w:rPr>
          <w:rFonts w:ascii="Arial" w:hAnsi="Arial"/>
          <w:color w:val="FFFFFF"/>
          <w:sz w:val="16"/>
        </w:rPr>
        <w:t>illness</w:t>
      </w:r>
      <w:r>
        <w:rPr>
          <w:rFonts w:ascii="Arial" w:hAnsi="Arial"/>
          <w:color w:val="FFFFFF"/>
          <w:spacing w:val="50"/>
          <w:sz w:val="16"/>
        </w:rPr>
        <w:t> </w:t>
      </w:r>
      <w:r>
        <w:rPr>
          <w:rFonts w:ascii="Arial" w:hAnsi="Arial"/>
          <w:color w:val="FFFFFF"/>
          <w:sz w:val="16"/>
        </w:rPr>
        <w:t>on</w:t>
      </w:r>
      <w:r>
        <w:rPr>
          <w:rFonts w:ascii="Arial" w:hAnsi="Arial"/>
          <w:color w:val="FFFFFF"/>
          <w:spacing w:val="37"/>
          <w:sz w:val="16"/>
        </w:rPr>
        <w:t> </w:t>
      </w:r>
      <w:r>
        <w:rPr>
          <w:rFonts w:ascii="Arial" w:hAnsi="Arial"/>
          <w:color w:val="FFFFFF"/>
          <w:sz w:val="16"/>
        </w:rPr>
        <w:t>America’s</w:t>
      </w:r>
      <w:r>
        <w:rPr>
          <w:rFonts w:ascii="Arial" w:hAnsi="Arial"/>
          <w:color w:val="FFFFFF"/>
          <w:spacing w:val="51"/>
          <w:sz w:val="16"/>
        </w:rPr>
        <w:t> </w:t>
      </w:r>
      <w:r>
        <w:rPr>
          <w:rFonts w:ascii="Arial" w:hAnsi="Arial"/>
          <w:color w:val="FFFFFF"/>
          <w:sz w:val="16"/>
        </w:rPr>
        <w:t>communities.</w:t>
      </w:r>
    </w:p>
    <w:p>
      <w:pPr>
        <w:spacing w:before="8"/>
        <w:ind w:left="1748" w:right="1359" w:firstLine="0"/>
        <w:jc w:val="center"/>
        <w:rPr>
          <w:rFonts w:ascii="Arial"/>
          <w:sz w:val="16"/>
        </w:rPr>
      </w:pPr>
      <w:r>
        <w:rPr>
          <w:rFonts w:ascii="Arial"/>
          <w:color w:val="FFFFFF"/>
          <w:sz w:val="16"/>
        </w:rPr>
        <w:t>1-877-SAMHSA</w:t>
      </w:r>
      <w:r>
        <w:rPr>
          <w:rFonts w:ascii="Arial"/>
          <w:color w:val="FFFFFF"/>
          <w:spacing w:val="46"/>
          <w:sz w:val="16"/>
        </w:rPr>
        <w:t> </w:t>
      </w:r>
      <w:r>
        <w:rPr>
          <w:rFonts w:ascii="Arial"/>
          <w:color w:val="FFFFFF"/>
          <w:sz w:val="16"/>
        </w:rPr>
        <w:t>-7</w:t>
      </w:r>
      <w:r>
        <w:rPr>
          <w:rFonts w:ascii="Arial"/>
          <w:color w:val="FFFFFF"/>
          <w:spacing w:val="63"/>
          <w:sz w:val="16"/>
        </w:rPr>
        <w:t> </w:t>
      </w:r>
      <w:r>
        <w:rPr>
          <w:rFonts w:ascii="Arial"/>
          <w:color w:val="FFFFFF"/>
          <w:sz w:val="16"/>
        </w:rPr>
        <w:t>(1-877-726-4727)     </w:t>
      </w:r>
      <w:r>
        <w:rPr>
          <w:rFonts w:ascii="Arial"/>
          <w:color w:val="FFFFFF"/>
          <w:spacing w:val="26"/>
          <w:sz w:val="16"/>
        </w:rPr>
        <w:t> </w:t>
      </w:r>
      <w:r>
        <w:rPr>
          <w:rFonts w:ascii="Arial"/>
          <w:color w:val="FFFFFF"/>
          <w:sz w:val="16"/>
        </w:rPr>
        <w:t>1-800-487-4889</w:t>
      </w:r>
      <w:r>
        <w:rPr>
          <w:rFonts w:ascii="Arial"/>
          <w:color w:val="FFFFFF"/>
          <w:spacing w:val="61"/>
          <w:sz w:val="16"/>
        </w:rPr>
        <w:t> </w:t>
      </w:r>
      <w:r>
        <w:rPr>
          <w:rFonts w:ascii="Arial"/>
          <w:color w:val="FFFFFF"/>
          <w:sz w:val="16"/>
        </w:rPr>
        <w:t>(TDD)     </w:t>
      </w:r>
      <w:r>
        <w:rPr>
          <w:rFonts w:ascii="Arial"/>
          <w:color w:val="FFFFFF"/>
          <w:spacing w:val="25"/>
          <w:sz w:val="16"/>
        </w:rPr>
        <w:t> </w:t>
      </w:r>
      <w:hyperlink r:id="rId379">
        <w:r>
          <w:rPr>
            <w:rFonts w:ascii="Arial"/>
            <w:color w:val="FFFFFF"/>
            <w:sz w:val="16"/>
          </w:rPr>
          <w:t>www.samhsa.gov</w:t>
        </w:r>
      </w:hyperlink>
    </w:p>
    <w:sectPr>
      <w:headerReference w:type="default" r:id="rId376"/>
      <w:footerReference w:type="default" r:id="rId377"/>
      <w:pgSz w:w="12240" w:h="15840"/>
      <w:pgMar w:header="0" w:footer="0" w:top="1500" w:bottom="0" w:left="60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Arial Narrow">
    <w:altName w:val="Arial Narrow"/>
    <w:charset w:val="0"/>
    <w:family w:val="swiss"/>
    <w:pitch w:val="variable"/>
  </w:font>
  <w:font w:name="Symbol">
    <w:altName w:val="Symbol"/>
    <w:charset w:val="2"/>
    <w:family w:val="roman"/>
    <w:pitch w:val="variable"/>
  </w:font>
  <w:font w:name="Century Gothic">
    <w:altName w:val="Century 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91840" id="docshape13" filled="true" fillcolor="#1d384a" stroked="false">
          <v:fill type="solid"/>
          <w10:wrap type="none"/>
        </v:rect>
      </w:pict>
    </w:r>
    <w:r>
      <w:rPr/>
      <w:pict>
        <v:shapetype id="_x0000_t202" o:spt="202" coordsize="21600,21600" path="m,l,21600r21600,l21600,xe">
          <v:stroke joinstyle="miter"/>
          <v:path gradientshapeok="t" o:connecttype="rect"/>
        </v:shapetype>
        <v:shape style="position:absolute;margin-left:35pt;margin-top:747.644714pt;width:359.95pt;height:21.45pt;mso-position-horizontal-relative:page;mso-position-vertical-relative:page;z-index:-17891328" type="#_x0000_t202" id="docshape14"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2"/>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3"/>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2"/>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Evidence-Based</w:t>
                </w:r>
                <w:r>
                  <w:rPr>
                    <w:rFonts w:ascii="Arial"/>
                    <w:color w:val="1D384A"/>
                    <w:spacing w:val="-1"/>
                    <w:sz w:val="16"/>
                  </w:rPr>
                  <w:t> </w:t>
                </w:r>
                <w:r>
                  <w:rPr>
                    <w:rFonts w:ascii="Arial"/>
                    <w:color w:val="1D384A"/>
                    <w:sz w:val="16"/>
                  </w:rPr>
                  <w:t>Resource Guide Series Overview</w:t>
                </w:r>
              </w:p>
            </w:txbxContent>
          </v:textbox>
          <w10:wrap type="none"/>
        </v:shape>
      </w:pict>
    </w:r>
    <w:r>
      <w:rPr/>
      <w:pict>
        <v:shape style="position:absolute;margin-left:567.43512pt;margin-top:755.7771pt;width:14.05pt;height:14.7pt;mso-position-horizontal-relative:page;mso-position-vertical-relative:page;z-index:-17890816" type="#_x0000_t202" id="docshape1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 ROMAN </w:instrText>
                </w:r>
                <w:r>
                  <w:rPr/>
                  <w:fldChar w:fldCharType="separate"/>
                </w:r>
                <w:r>
                  <w:rPr/>
                  <w:t>II</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73920" id="docshape89" filled="true" fillcolor="#1d384a" stroked="false">
          <v:fill type="solid"/>
          <w10:wrap type="none"/>
        </v:rect>
      </w:pict>
    </w:r>
    <w:r>
      <w:rPr/>
      <w:pict>
        <v:shape style="position:absolute;margin-left:35pt;margin-top:747.644714pt;width:359.95pt;height:21.45pt;mso-position-horizontal-relative:page;mso-position-vertical-relative:page;z-index:-17873408" type="#_x0000_t202" id="docshape90"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What</w:t>
                </w:r>
                <w:r>
                  <w:rPr>
                    <w:rFonts w:ascii="Arial"/>
                    <w:color w:val="1D384A"/>
                    <w:spacing w:val="-5"/>
                    <w:sz w:val="16"/>
                  </w:rPr>
                  <w:t> </w:t>
                </w:r>
                <w:r>
                  <w:rPr>
                    <w:rFonts w:ascii="Arial"/>
                    <w:color w:val="1D384A"/>
                    <w:sz w:val="16"/>
                  </w:rPr>
                  <w:t>Research</w:t>
                </w:r>
                <w:r>
                  <w:rPr>
                    <w:rFonts w:ascii="Arial"/>
                    <w:color w:val="1D384A"/>
                    <w:spacing w:val="-7"/>
                    <w:sz w:val="16"/>
                  </w:rPr>
                  <w:t> </w:t>
                </w:r>
                <w:r>
                  <w:rPr>
                    <w:rFonts w:ascii="Arial"/>
                    <w:color w:val="1D384A"/>
                    <w:sz w:val="16"/>
                  </w:rPr>
                  <w:t>Tells</w:t>
                </w:r>
                <w:r>
                  <w:rPr>
                    <w:rFonts w:ascii="Arial"/>
                    <w:color w:val="1D384A"/>
                    <w:spacing w:val="-4"/>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872896" type="#_x0000_t202" id="docshape9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23</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71872" id="docshape93" filled="true" fillcolor="#1d384a" stroked="false">
          <v:fill type="solid"/>
          <w10:wrap type="none"/>
        </v:rect>
      </w:pict>
    </w:r>
    <w:r>
      <w:rPr/>
      <w:pict>
        <v:shape style="position:absolute;margin-left:35pt;margin-top:747.644714pt;width:359.95pt;height:21.45pt;mso-position-horizontal-relative:page;mso-position-vertical-relative:page;z-index:-17871360" type="#_x0000_t202" id="docshape94"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What</w:t>
                </w:r>
                <w:r>
                  <w:rPr>
                    <w:rFonts w:ascii="Arial"/>
                    <w:color w:val="1D384A"/>
                    <w:spacing w:val="-5"/>
                    <w:sz w:val="16"/>
                  </w:rPr>
                  <w:t> </w:t>
                </w:r>
                <w:r>
                  <w:rPr>
                    <w:rFonts w:ascii="Arial"/>
                    <w:color w:val="1D384A"/>
                    <w:sz w:val="16"/>
                  </w:rPr>
                  <w:t>Research</w:t>
                </w:r>
                <w:r>
                  <w:rPr>
                    <w:rFonts w:ascii="Arial"/>
                    <w:color w:val="1D384A"/>
                    <w:spacing w:val="-7"/>
                    <w:sz w:val="16"/>
                  </w:rPr>
                  <w:t> </w:t>
                </w:r>
                <w:r>
                  <w:rPr>
                    <w:rFonts w:ascii="Arial"/>
                    <w:color w:val="1D384A"/>
                    <w:sz w:val="16"/>
                  </w:rPr>
                  <w:t>Tells</w:t>
                </w:r>
                <w:r>
                  <w:rPr>
                    <w:rFonts w:ascii="Arial"/>
                    <w:color w:val="1D384A"/>
                    <w:spacing w:val="-4"/>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870848" type="#_x0000_t202" id="docshape9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24</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70336" id="docshape98" filled="true" fillcolor="#1d384a" stroked="false">
          <v:fill type="solid"/>
          <w10:wrap type="none"/>
        </v:rect>
      </w:pict>
    </w:r>
    <w:r>
      <w:rPr/>
      <w:pict>
        <v:shape style="position:absolute;margin-left:35pt;margin-top:747.644714pt;width:359.95pt;height:21.45pt;mso-position-horizontal-relative:page;mso-position-vertical-relative:page;z-index:-17869824" type="#_x0000_t202" id="docshape99"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Implementing Evidence-Based Practices</w:t>
                </w:r>
              </w:p>
            </w:txbxContent>
          </v:textbox>
          <w10:wrap type="none"/>
        </v:shape>
      </w:pict>
    </w:r>
    <w:r>
      <w:rPr/>
      <w:pict>
        <v:shape style="position:absolute;margin-left:562.434082pt;margin-top:755.7771pt;width:19.05pt;height:14.7pt;mso-position-horizontal-relative:page;mso-position-vertical-relative:page;z-index:-17869312" type="#_x0000_t202" id="docshape100"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33</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68288" id="docshape109" filled="true" fillcolor="#1d384a" stroked="false">
          <v:fill type="solid"/>
          <w10:wrap type="none"/>
        </v:rect>
      </w:pict>
    </w:r>
    <w:r>
      <w:rPr/>
      <w:pict>
        <v:shape style="position:absolute;margin-left:35pt;margin-top:747.644714pt;width:359.95pt;height:21.45pt;mso-position-horizontal-relative:page;mso-position-vertical-relative:page;z-index:-17867776" type="#_x0000_t202" id="docshape110"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Implementing Evidence-Based Practices</w:t>
                </w:r>
              </w:p>
            </w:txbxContent>
          </v:textbox>
          <w10:wrap type="none"/>
        </v:shape>
      </w:pict>
    </w:r>
    <w:r>
      <w:rPr/>
      <w:pict>
        <v:shape style="position:absolute;margin-left:562.434082pt;margin-top:755.7771pt;width:19.05pt;height:14.7pt;mso-position-horizontal-relative:page;mso-position-vertical-relative:page;z-index:-17867264" type="#_x0000_t202" id="docshape11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34</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65728" id="docshape133" filled="true" fillcolor="#1d384a" stroked="false">
          <v:fill type="solid"/>
          <w10:wrap type="none"/>
        </v:rect>
      </w:pict>
    </w:r>
    <w:r>
      <w:rPr/>
      <w:pict>
        <v:shape style="position:absolute;margin-left:35pt;margin-top:747.644714pt;width:359.95pt;height:21.45pt;mso-position-horizontal-relative:page;mso-position-vertical-relative:page;z-index:-17865216" type="#_x0000_t202" id="docshape134"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Implementing Evidence-Based Practices</w:t>
                </w:r>
              </w:p>
            </w:txbxContent>
          </v:textbox>
          <w10:wrap type="none"/>
        </v:shape>
      </w:pict>
    </w:r>
    <w:r>
      <w:rPr/>
      <w:pict>
        <v:shape style="position:absolute;margin-left:562.434082pt;margin-top:755.7771pt;width:19.05pt;height:14.7pt;mso-position-horizontal-relative:page;mso-position-vertical-relative:page;z-index:-17864704" type="#_x0000_t202" id="docshape13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44</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63680" id="docshape137" filled="true" fillcolor="#1d384a" stroked="false">
          <v:fill type="solid"/>
          <w10:wrap type="none"/>
        </v:rect>
      </w:pict>
    </w:r>
    <w:r>
      <w:rPr/>
      <w:pict>
        <v:shape style="position:absolute;margin-left:35pt;margin-top:747.644714pt;width:359.95pt;height:21.45pt;mso-position-horizontal-relative:page;mso-position-vertical-relative:page;z-index:-17863168" type="#_x0000_t202" id="docshape138"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Implementing Evidence-Based Practices</w:t>
                </w:r>
              </w:p>
            </w:txbxContent>
          </v:textbox>
          <w10:wrap type="none"/>
        </v:shape>
      </w:pict>
    </w:r>
    <w:r>
      <w:rPr/>
      <w:pict>
        <v:shape style="position:absolute;margin-left:562.434082pt;margin-top:755.7771pt;width:19.05pt;height:14.7pt;mso-position-horizontal-relative:page;mso-position-vertical-relative:page;z-index:-17862656" type="#_x0000_t202" id="docshape139"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45</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62144" id="docshape140" filled="true" fillcolor="#1d384a" stroked="false">
          <v:fill type="solid"/>
          <w10:wrap type="none"/>
        </v:rect>
      </w:pict>
    </w:r>
    <w:r>
      <w:rPr/>
      <w:pict>
        <v:shape style="position:absolute;margin-left:35pt;margin-top:747.644714pt;width:359.95pt;height:21.45pt;mso-position-horizontal-relative:page;mso-position-vertical-relative:page;z-index:-17861632" type="#_x0000_t202" id="docshape141"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Examples</w:t>
                </w:r>
                <w:r>
                  <w:rPr>
                    <w:rFonts w:ascii="Arial"/>
                    <w:color w:val="1D384A"/>
                    <w:spacing w:val="-4"/>
                    <w:sz w:val="16"/>
                  </w:rPr>
                  <w:t> </w:t>
                </w:r>
                <w:r>
                  <w:rPr>
                    <w:rFonts w:ascii="Arial"/>
                    <w:color w:val="1D384A"/>
                    <w:sz w:val="16"/>
                  </w:rPr>
                  <w:t>of</w:t>
                </w:r>
                <w:r>
                  <w:rPr>
                    <w:rFonts w:ascii="Arial"/>
                    <w:color w:val="1D384A"/>
                    <w:spacing w:val="-6"/>
                    <w:sz w:val="16"/>
                  </w:rPr>
                  <w:t> </w:t>
                </w:r>
                <w:r>
                  <w:rPr>
                    <w:rFonts w:ascii="Arial"/>
                    <w:color w:val="1D384A"/>
                    <w:sz w:val="16"/>
                  </w:rPr>
                  <w:t>Telehealth</w:t>
                </w:r>
                <w:r>
                  <w:rPr>
                    <w:rFonts w:ascii="Arial"/>
                    <w:color w:val="1D384A"/>
                    <w:spacing w:val="-4"/>
                    <w:sz w:val="16"/>
                  </w:rPr>
                  <w:t> </w:t>
                </w:r>
                <w:r>
                  <w:rPr>
                    <w:rFonts w:ascii="Arial"/>
                    <w:color w:val="1D384A"/>
                    <w:sz w:val="16"/>
                  </w:rPr>
                  <w:t>Implementation</w:t>
                </w:r>
                <w:r>
                  <w:rPr>
                    <w:rFonts w:ascii="Arial"/>
                    <w:color w:val="1D384A"/>
                    <w:spacing w:val="-3"/>
                    <w:sz w:val="16"/>
                  </w:rPr>
                  <w:t> </w:t>
                </w:r>
                <w:r>
                  <w:rPr>
                    <w:rFonts w:ascii="Arial"/>
                    <w:color w:val="1D384A"/>
                    <w:sz w:val="16"/>
                  </w:rPr>
                  <w:t>in</w:t>
                </w:r>
                <w:r>
                  <w:rPr>
                    <w:rFonts w:ascii="Arial"/>
                    <w:color w:val="1D384A"/>
                    <w:spacing w:val="-7"/>
                    <w:sz w:val="16"/>
                  </w:rPr>
                  <w:t> </w:t>
                </w:r>
                <w:r>
                  <w:rPr>
                    <w:rFonts w:ascii="Arial"/>
                    <w:color w:val="1D384A"/>
                    <w:sz w:val="16"/>
                  </w:rPr>
                  <w:t>Treatment</w:t>
                </w:r>
                <w:r>
                  <w:rPr>
                    <w:rFonts w:ascii="Arial"/>
                    <w:color w:val="1D384A"/>
                    <w:spacing w:val="-3"/>
                    <w:sz w:val="16"/>
                  </w:rPr>
                  <w:t> </w:t>
                </w:r>
                <w:r>
                  <w:rPr>
                    <w:rFonts w:ascii="Arial"/>
                    <w:color w:val="1D384A"/>
                    <w:sz w:val="16"/>
                  </w:rPr>
                  <w:t>Programs</w:t>
                </w:r>
              </w:p>
            </w:txbxContent>
          </v:textbox>
          <w10:wrap type="none"/>
        </v:shape>
      </w:pict>
    </w:r>
    <w:r>
      <w:rPr/>
      <w:pict>
        <v:shape style="position:absolute;margin-left:562.434082pt;margin-top:755.7771pt;width:19.05pt;height:14.7pt;mso-position-horizontal-relative:page;mso-position-vertical-relative:page;z-index:-17861120" type="#_x0000_t202" id="docshape142"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48</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60096" id="docshape151" filled="true" fillcolor="#1d384a" stroked="false">
          <v:fill type="solid"/>
          <w10:wrap type="none"/>
        </v:rect>
      </w:pict>
    </w:r>
    <w:r>
      <w:rPr/>
      <w:pict>
        <v:shape style="position:absolute;margin-left:35pt;margin-top:747.644714pt;width:359.95pt;height:21.45pt;mso-position-horizontal-relative:page;mso-position-vertical-relative:page;z-index:-17859584" type="#_x0000_t202" id="docshape152"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Examples</w:t>
                </w:r>
                <w:r>
                  <w:rPr>
                    <w:rFonts w:ascii="Arial"/>
                    <w:color w:val="1D384A"/>
                    <w:spacing w:val="-4"/>
                    <w:sz w:val="16"/>
                  </w:rPr>
                  <w:t> </w:t>
                </w:r>
                <w:r>
                  <w:rPr>
                    <w:rFonts w:ascii="Arial"/>
                    <w:color w:val="1D384A"/>
                    <w:sz w:val="16"/>
                  </w:rPr>
                  <w:t>of</w:t>
                </w:r>
                <w:r>
                  <w:rPr>
                    <w:rFonts w:ascii="Arial"/>
                    <w:color w:val="1D384A"/>
                    <w:spacing w:val="-6"/>
                    <w:sz w:val="16"/>
                  </w:rPr>
                  <w:t> </w:t>
                </w:r>
                <w:r>
                  <w:rPr>
                    <w:rFonts w:ascii="Arial"/>
                    <w:color w:val="1D384A"/>
                    <w:sz w:val="16"/>
                  </w:rPr>
                  <w:t>Telehealth</w:t>
                </w:r>
                <w:r>
                  <w:rPr>
                    <w:rFonts w:ascii="Arial"/>
                    <w:color w:val="1D384A"/>
                    <w:spacing w:val="-4"/>
                    <w:sz w:val="16"/>
                  </w:rPr>
                  <w:t> </w:t>
                </w:r>
                <w:r>
                  <w:rPr>
                    <w:rFonts w:ascii="Arial"/>
                    <w:color w:val="1D384A"/>
                    <w:sz w:val="16"/>
                  </w:rPr>
                  <w:t>Implementation</w:t>
                </w:r>
                <w:r>
                  <w:rPr>
                    <w:rFonts w:ascii="Arial"/>
                    <w:color w:val="1D384A"/>
                    <w:spacing w:val="-3"/>
                    <w:sz w:val="16"/>
                  </w:rPr>
                  <w:t> </w:t>
                </w:r>
                <w:r>
                  <w:rPr>
                    <w:rFonts w:ascii="Arial"/>
                    <w:color w:val="1D384A"/>
                    <w:sz w:val="16"/>
                  </w:rPr>
                  <w:t>in</w:t>
                </w:r>
                <w:r>
                  <w:rPr>
                    <w:rFonts w:ascii="Arial"/>
                    <w:color w:val="1D384A"/>
                    <w:spacing w:val="-7"/>
                    <w:sz w:val="16"/>
                  </w:rPr>
                  <w:t> </w:t>
                </w:r>
                <w:r>
                  <w:rPr>
                    <w:rFonts w:ascii="Arial"/>
                    <w:color w:val="1D384A"/>
                    <w:sz w:val="16"/>
                  </w:rPr>
                  <w:t>Treatment</w:t>
                </w:r>
                <w:r>
                  <w:rPr>
                    <w:rFonts w:ascii="Arial"/>
                    <w:color w:val="1D384A"/>
                    <w:spacing w:val="-3"/>
                    <w:sz w:val="16"/>
                  </w:rPr>
                  <w:t> </w:t>
                </w:r>
                <w:r>
                  <w:rPr>
                    <w:rFonts w:ascii="Arial"/>
                    <w:color w:val="1D384A"/>
                    <w:sz w:val="16"/>
                  </w:rPr>
                  <w:t>Programs</w:t>
                </w:r>
              </w:p>
            </w:txbxContent>
          </v:textbox>
          <w10:wrap type="none"/>
        </v:shape>
      </w:pict>
    </w:r>
    <w:r>
      <w:rPr/>
      <w:pict>
        <v:shape style="position:absolute;margin-left:562.434082pt;margin-top:755.7771pt;width:19.05pt;height:14.7pt;mso-position-horizontal-relative:page;mso-position-vertical-relative:page;z-index:-17859072" type="#_x0000_t202" id="docshape153"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49</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58560" id="docshape182" filled="true" fillcolor="#1d384a" stroked="false">
          <v:fill type="solid"/>
          <w10:wrap type="none"/>
        </v:rect>
      </w:pict>
    </w:r>
    <w:r>
      <w:rPr/>
      <w:pict>
        <v:shape style="position:absolute;margin-left:35pt;margin-top:747.644714pt;width:359.95pt;height:21.45pt;mso-position-horizontal-relative:page;mso-position-vertical-relative:page;z-index:-17858048" type="#_x0000_t202" id="docshape183"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Resources</w:t>
                </w:r>
                <w:r>
                  <w:rPr>
                    <w:rFonts w:ascii="Arial"/>
                    <w:color w:val="1D384A"/>
                    <w:spacing w:val="-1"/>
                    <w:sz w:val="16"/>
                  </w:rPr>
                  <w:t> </w:t>
                </w:r>
                <w:r>
                  <w:rPr>
                    <w:rFonts w:ascii="Arial"/>
                    <w:color w:val="1D384A"/>
                    <w:sz w:val="16"/>
                  </w:rPr>
                  <w:t>for Evaluation and Quality Improvement</w:t>
                </w:r>
              </w:p>
            </w:txbxContent>
          </v:textbox>
          <w10:wrap type="none"/>
        </v:shape>
      </w:pict>
    </w:r>
    <w:r>
      <w:rPr/>
      <w:pict>
        <v:shape style="position:absolute;margin-left:562.434082pt;margin-top:755.7771pt;width:19.05pt;height:14.7pt;mso-position-horizontal-relative:page;mso-position-vertical-relative:page;z-index:-17857536" type="#_x0000_t202" id="docshape184"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59</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56512" id="docshape193" filled="true" fillcolor="#1d384a" stroked="false">
          <v:fill type="solid"/>
          <w10:wrap type="none"/>
        </v:rect>
      </w:pict>
    </w:r>
    <w:r>
      <w:rPr/>
      <w:pict>
        <v:shape style="position:absolute;margin-left:35pt;margin-top:747.644714pt;width:359.95pt;height:21.45pt;mso-position-horizontal-relative:page;mso-position-vertical-relative:page;z-index:-17856000" type="#_x0000_t202" id="docshape194"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Resources</w:t>
                </w:r>
                <w:r>
                  <w:rPr>
                    <w:rFonts w:ascii="Arial"/>
                    <w:color w:val="1D384A"/>
                    <w:spacing w:val="-1"/>
                    <w:sz w:val="16"/>
                  </w:rPr>
                  <w:t> </w:t>
                </w:r>
                <w:r>
                  <w:rPr>
                    <w:rFonts w:ascii="Arial"/>
                    <w:color w:val="1D384A"/>
                    <w:sz w:val="16"/>
                  </w:rPr>
                  <w:t>for Evaluation and Quality Improvement</w:t>
                </w:r>
              </w:p>
            </w:txbxContent>
          </v:textbox>
          <w10:wrap type="none"/>
        </v:shape>
      </w:pict>
    </w:r>
    <w:r>
      <w:rPr/>
      <w:pict>
        <v:shape style="position:absolute;margin-left:562.434082pt;margin-top:755.7771pt;width:19.05pt;height:14.7pt;mso-position-horizontal-relative:page;mso-position-vertical-relative:page;z-index:-17855488" type="#_x0000_t202" id="docshape19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60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59.95pt;height:21.45pt;mso-position-horizontal-relative:page;mso-position-vertical-relative:page;z-index:-17890304" type="#_x0000_t202" id="docshape20"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Evidence-Based</w:t>
                </w:r>
                <w:r>
                  <w:rPr>
                    <w:rFonts w:ascii="Arial"/>
                    <w:color w:val="1D384A"/>
                    <w:spacing w:val="-1"/>
                    <w:sz w:val="16"/>
                  </w:rPr>
                  <w:t> </w:t>
                </w:r>
                <w:r>
                  <w:rPr>
                    <w:rFonts w:ascii="Arial"/>
                    <w:color w:val="1D384A"/>
                    <w:sz w:val="16"/>
                  </w:rPr>
                  <w:t>Resource Guide Series Overview</w:t>
                </w:r>
              </w:p>
            </w:txbxContent>
          </v:textbox>
          <w10:wrap type="none"/>
        </v:shape>
      </w:pict>
    </w:r>
    <w:r>
      <w:rPr/>
      <w:pict>
        <v:shape style="position:absolute;margin-left:563.932678pt;margin-top:755.7771pt;width:17.55pt;height:14.7pt;mso-position-horizontal-relative:page;mso-position-vertical-relative:page;z-index:-17889792" type="#_x0000_t202" id="docshape2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 ROMAN </w:instrText>
                </w:r>
                <w:r>
                  <w:rPr/>
                  <w:fldChar w:fldCharType="separate"/>
                </w:r>
                <w:r>
                  <w:rPr/>
                  <w:t>III</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54464" id="docshape206" filled="true" fillcolor="#1d384a" stroked="false">
          <v:fill type="solid"/>
          <w10:wrap type="none"/>
        </v:rect>
      </w:pict>
    </w:r>
    <w:r>
      <w:rPr/>
      <w:pict>
        <v:shape style="position:absolute;margin-left:35pt;margin-top:747.644714pt;width:359.95pt;height:21.45pt;mso-position-horizontal-relative:page;mso-position-vertical-relative:page;z-index:-17853952" type="#_x0000_t202" id="docshape207"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Appendix</w:t>
                </w:r>
                <w:r>
                  <w:rPr>
                    <w:rFonts w:ascii="Arial"/>
                    <w:color w:val="1D384A"/>
                    <w:spacing w:val="-1"/>
                    <w:sz w:val="16"/>
                  </w:rPr>
                  <w:t> </w:t>
                </w:r>
                <w:r>
                  <w:rPr>
                    <w:rFonts w:ascii="Arial"/>
                    <w:color w:val="1D384A"/>
                    <w:sz w:val="16"/>
                  </w:rPr>
                  <w:t>1:</w:t>
                </w:r>
                <w:r>
                  <w:rPr>
                    <w:rFonts w:ascii="Arial"/>
                    <w:color w:val="1D384A"/>
                    <w:spacing w:val="-9"/>
                    <w:sz w:val="16"/>
                  </w:rPr>
                  <w:t> </w:t>
                </w:r>
                <w:r>
                  <w:rPr>
                    <w:rFonts w:ascii="Arial"/>
                    <w:color w:val="1D384A"/>
                    <w:sz w:val="16"/>
                  </w:rPr>
                  <w:t>Acknowledgments</w:t>
                </w:r>
              </w:p>
            </w:txbxContent>
          </v:textbox>
          <w10:wrap type="none"/>
        </v:shape>
      </w:pict>
    </w:r>
    <w:r>
      <w:rPr/>
      <w:pict>
        <v:shape style="position:absolute;margin-left:562.434082pt;margin-top:755.7771pt;width:19.05pt;height:14.7pt;mso-position-horizontal-relative:page;mso-position-vertical-relative:page;z-index:-17853440" type="#_x0000_t202" id="docshape208"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66</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52416" id="docshape213" filled="true" fillcolor="#1d384a" stroked="false">
          <v:fill type="solid"/>
          <w10:wrap type="none"/>
        </v:rect>
      </w:pict>
    </w:r>
    <w:r>
      <w:rPr/>
      <w:pict>
        <v:shape style="position:absolute;margin-left:35pt;margin-top:747.644714pt;width:359.95pt;height:21.45pt;mso-position-horizontal-relative:page;mso-position-vertical-relative:page;z-index:-17851904" type="#_x0000_t202" id="docshape214"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Appendix</w:t>
                </w:r>
                <w:r>
                  <w:rPr>
                    <w:rFonts w:ascii="Arial"/>
                    <w:color w:val="1D384A"/>
                    <w:spacing w:val="-1"/>
                    <w:sz w:val="16"/>
                  </w:rPr>
                  <w:t> </w:t>
                </w:r>
                <w:r>
                  <w:rPr>
                    <w:rFonts w:ascii="Arial"/>
                    <w:color w:val="1D384A"/>
                    <w:sz w:val="16"/>
                  </w:rPr>
                  <w:t>2: Evidence Review Methodology</w:t>
                </w:r>
              </w:p>
            </w:txbxContent>
          </v:textbox>
          <w10:wrap type="none"/>
        </v:shape>
      </w:pict>
    </w:r>
    <w:r>
      <w:rPr/>
      <w:pict>
        <v:shape style="position:absolute;margin-left:562.434082pt;margin-top:755.7771pt;width:19.05pt;height:14.7pt;mso-position-horizontal-relative:page;mso-position-vertical-relative:page;z-index:-17851392" type="#_x0000_t202" id="docshape21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67</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89280" id="docshape28" filled="true" fillcolor="#1d384a" stroked="false">
          <v:fill type="solid"/>
          <w10:wrap type="none"/>
        </v:rect>
      </w:pict>
    </w:r>
    <w:r>
      <w:rPr/>
      <w:pict>
        <v:shape style="position:absolute;margin-left:35pt;margin-top:747.644714pt;width:359.95pt;height:21.45pt;mso-position-horizontal-relative:page;mso-position-vertical-relative:page;z-index:-17888768" type="#_x0000_t202" id="docshape29"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Evidence-Based</w:t>
                </w:r>
                <w:r>
                  <w:rPr>
                    <w:rFonts w:ascii="Arial"/>
                    <w:color w:val="1D384A"/>
                    <w:spacing w:val="-1"/>
                    <w:sz w:val="16"/>
                  </w:rPr>
                  <w:t> </w:t>
                </w:r>
                <w:r>
                  <w:rPr>
                    <w:rFonts w:ascii="Arial"/>
                    <w:color w:val="1D384A"/>
                    <w:sz w:val="16"/>
                  </w:rPr>
                  <w:t>Resource Guide Series Overview</w:t>
                </w:r>
              </w:p>
            </w:txbxContent>
          </v:textbox>
          <w10:wrap type="none"/>
        </v:shape>
      </w:pict>
    </w:r>
    <w:r>
      <w:rPr/>
      <w:pict>
        <v:shape style="position:absolute;margin-left:563.937073pt;margin-top:755.7771pt;width:17.55pt;height:14.7pt;mso-position-horizontal-relative:page;mso-position-vertical-relative:page;z-index:-17888256" type="#_x0000_t202" id="docshape30"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 ROMAN </w:instrText>
                </w:r>
                <w:r>
                  <w:rPr/>
                  <w:fldChar w:fldCharType="separate"/>
                </w:r>
                <w:r>
                  <w:rPr/>
                  <w:t>IV</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87744" id="docshape32" filled="true" fillcolor="#1d384a" stroked="false">
          <v:fill type="solid"/>
          <w10:wrap type="none"/>
        </v:rect>
      </w:pict>
    </w:r>
    <w:r>
      <w:rPr/>
      <w:pict>
        <v:shape style="position:absolute;margin-left:35pt;margin-top:747.644714pt;width:359.95pt;height:21.45pt;mso-position-horizontal-relative:page;mso-position-vertical-relative:page;z-index:-17887232" type="#_x0000_t202" id="docshape33"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Issue</w:t>
                </w:r>
                <w:r>
                  <w:rPr>
                    <w:rFonts w:ascii="Arial"/>
                    <w:color w:val="1D384A"/>
                    <w:spacing w:val="-1"/>
                    <w:sz w:val="16"/>
                  </w:rPr>
                  <w:t> </w:t>
                </w:r>
                <w:r>
                  <w:rPr>
                    <w:rFonts w:ascii="Arial"/>
                    <w:color w:val="1D384A"/>
                    <w:sz w:val="16"/>
                  </w:rPr>
                  <w:t>Brief</w:t>
                </w:r>
              </w:p>
            </w:txbxContent>
          </v:textbox>
          <w10:wrap type="none"/>
        </v:shape>
      </w:pict>
    </w:r>
    <w:r>
      <w:rPr/>
      <w:pict>
        <v:shape style="position:absolute;margin-left:568.437073pt;margin-top:755.7771pt;width:13.05pt;height:14.7pt;mso-position-horizontal-relative:page;mso-position-vertical-relative:page;z-index:-17886720" type="#_x0000_t202" id="docshape34"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85696" id="docshape46" filled="true" fillcolor="#1d384a" stroked="false">
          <v:fill type="solid"/>
          <w10:wrap type="none"/>
        </v:rect>
      </w:pict>
    </w:r>
    <w:r>
      <w:rPr/>
      <w:pict>
        <v:shape style="position:absolute;margin-left:35pt;margin-top:747.644714pt;width:359.95pt;height:21.45pt;mso-position-horizontal-relative:page;mso-position-vertical-relative:page;z-index:-17885184" type="#_x0000_t202" id="docshape47"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Issue</w:t>
                </w:r>
                <w:r>
                  <w:rPr>
                    <w:rFonts w:ascii="Arial"/>
                    <w:color w:val="1D384A"/>
                    <w:spacing w:val="-1"/>
                    <w:sz w:val="16"/>
                  </w:rPr>
                  <w:t> </w:t>
                </w:r>
                <w:r>
                  <w:rPr>
                    <w:rFonts w:ascii="Arial"/>
                    <w:color w:val="1D384A"/>
                    <w:sz w:val="16"/>
                  </w:rPr>
                  <w:t>Brief</w:t>
                </w:r>
              </w:p>
            </w:txbxContent>
          </v:textbox>
          <w10:wrap type="none"/>
        </v:shape>
      </w:pict>
    </w:r>
    <w:r>
      <w:rPr/>
      <w:pict>
        <v:shape style="position:absolute;margin-left:562.434082pt;margin-top:755.7771pt;width:19.05pt;height:14.7pt;mso-position-horizontal-relative:page;mso-position-vertical-relative:page;z-index:-17884672" type="#_x0000_t202" id="docshape48"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59.95pt;height:21.45pt;mso-position-horizontal-relative:page;mso-position-vertical-relative:page;z-index:-17884160" type="#_x0000_t202" id="docshape59"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What</w:t>
                </w:r>
                <w:r>
                  <w:rPr>
                    <w:rFonts w:ascii="Arial"/>
                    <w:color w:val="1D384A"/>
                    <w:spacing w:val="-5"/>
                    <w:sz w:val="16"/>
                  </w:rPr>
                  <w:t> </w:t>
                </w:r>
                <w:r>
                  <w:rPr>
                    <w:rFonts w:ascii="Arial"/>
                    <w:color w:val="1D384A"/>
                    <w:sz w:val="16"/>
                  </w:rPr>
                  <w:t>Research</w:t>
                </w:r>
                <w:r>
                  <w:rPr>
                    <w:rFonts w:ascii="Arial"/>
                    <w:color w:val="1D384A"/>
                    <w:spacing w:val="-7"/>
                    <w:sz w:val="16"/>
                  </w:rPr>
                  <w:t> </w:t>
                </w:r>
                <w:r>
                  <w:rPr>
                    <w:rFonts w:ascii="Arial"/>
                    <w:color w:val="1D384A"/>
                    <w:sz w:val="16"/>
                  </w:rPr>
                  <w:t>Tells</w:t>
                </w:r>
                <w:r>
                  <w:rPr>
                    <w:rFonts w:ascii="Arial"/>
                    <w:color w:val="1D384A"/>
                    <w:spacing w:val="-4"/>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883648" type="#_x0000_t202" id="docshape60"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82624" id="docshape74" filled="true" fillcolor="#1d384a" stroked="false">
          <v:fill type="solid"/>
          <w10:wrap type="none"/>
        </v:rect>
      </w:pict>
    </w:r>
    <w:r>
      <w:rPr/>
      <w:pict>
        <v:shape style="position:absolute;margin-left:35pt;margin-top:747.644714pt;width:359.95pt;height:21.45pt;mso-position-horizontal-relative:page;mso-position-vertical-relative:page;z-index:-17882112" type="#_x0000_t202" id="docshape75"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What</w:t>
                </w:r>
                <w:r>
                  <w:rPr>
                    <w:rFonts w:ascii="Arial"/>
                    <w:color w:val="1D384A"/>
                    <w:spacing w:val="-5"/>
                    <w:sz w:val="16"/>
                  </w:rPr>
                  <w:t> </w:t>
                </w:r>
                <w:r>
                  <w:rPr>
                    <w:rFonts w:ascii="Arial"/>
                    <w:color w:val="1D384A"/>
                    <w:sz w:val="16"/>
                  </w:rPr>
                  <w:t>Research</w:t>
                </w:r>
                <w:r>
                  <w:rPr>
                    <w:rFonts w:ascii="Arial"/>
                    <w:color w:val="1D384A"/>
                    <w:spacing w:val="-7"/>
                    <w:sz w:val="16"/>
                  </w:rPr>
                  <w:t> </w:t>
                </w:r>
                <w:r>
                  <w:rPr>
                    <w:rFonts w:ascii="Arial"/>
                    <w:color w:val="1D384A"/>
                    <w:sz w:val="16"/>
                  </w:rPr>
                  <w:t>Tells</w:t>
                </w:r>
                <w:r>
                  <w:rPr>
                    <w:rFonts w:ascii="Arial"/>
                    <w:color w:val="1D384A"/>
                    <w:spacing w:val="-4"/>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881600" type="#_x0000_t202" id="docshape76"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14</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79552" id="docshape80" filled="true" fillcolor="#1d384a" stroked="false">
          <v:fill type="solid"/>
          <w10:wrap type="none"/>
        </v:rect>
      </w:pict>
    </w:r>
    <w:r>
      <w:rPr/>
      <w:pict>
        <v:shape style="position:absolute;margin-left:35pt;margin-top:747.644714pt;width:359.95pt;height:21.45pt;mso-position-horizontal-relative:page;mso-position-vertical-relative:page;z-index:-17879040" type="#_x0000_t202" id="docshape81"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What</w:t>
                </w:r>
                <w:r>
                  <w:rPr>
                    <w:rFonts w:ascii="Arial"/>
                    <w:color w:val="1D384A"/>
                    <w:spacing w:val="-5"/>
                    <w:sz w:val="16"/>
                  </w:rPr>
                  <w:t> </w:t>
                </w:r>
                <w:r>
                  <w:rPr>
                    <w:rFonts w:ascii="Arial"/>
                    <w:color w:val="1D384A"/>
                    <w:sz w:val="16"/>
                  </w:rPr>
                  <w:t>Research</w:t>
                </w:r>
                <w:r>
                  <w:rPr>
                    <w:rFonts w:ascii="Arial"/>
                    <w:color w:val="1D384A"/>
                    <w:spacing w:val="-7"/>
                    <w:sz w:val="16"/>
                  </w:rPr>
                  <w:t> </w:t>
                </w:r>
                <w:r>
                  <w:rPr>
                    <w:rFonts w:ascii="Arial"/>
                    <w:color w:val="1D384A"/>
                    <w:sz w:val="16"/>
                  </w:rPr>
                  <w:t>Tells</w:t>
                </w:r>
                <w:r>
                  <w:rPr>
                    <w:rFonts w:ascii="Arial"/>
                    <w:color w:val="1D384A"/>
                    <w:spacing w:val="-4"/>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878528" type="#_x0000_t202" id="docshape82"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21</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876480" id="docshape85" filled="true" fillcolor="#1d384a" stroked="false">
          <v:fill type="solid"/>
          <w10:wrap type="none"/>
        </v:rect>
      </w:pict>
    </w:r>
    <w:r>
      <w:rPr/>
      <w:pict>
        <v:shape style="position:absolute;margin-left:35pt;margin-top:747.644714pt;width:359.95pt;height:21.45pt;mso-position-horizontal-relative:page;mso-position-vertical-relative:page;z-index:-17875968" type="#_x0000_t202" id="docshape86" filled="false" stroked="false">
          <v:textbox inset="0,0,0,0">
            <w:txbxContent>
              <w:p>
                <w:pPr>
                  <w:spacing w:before="14"/>
                  <w:ind w:left="20" w:right="0" w:firstLine="0"/>
                  <w:jc w:val="left"/>
                  <w:rPr>
                    <w:rFonts w:ascii="Arial"/>
                    <w:b/>
                    <w:sz w:val="18"/>
                  </w:rPr>
                </w:pPr>
                <w:r>
                  <w:rPr>
                    <w:rFonts w:ascii="Arial"/>
                    <w:b/>
                    <w:color w:val="CF382D"/>
                    <w:sz w:val="18"/>
                  </w:rPr>
                  <w:t>Telehealth</w:t>
                </w:r>
                <w:r>
                  <w:rPr>
                    <w:rFonts w:ascii="Arial"/>
                    <w:b/>
                    <w:color w:val="CF382D"/>
                    <w:spacing w:val="-3"/>
                    <w:sz w:val="18"/>
                  </w:rPr>
                  <w:t> </w:t>
                </w:r>
                <w:r>
                  <w:rPr>
                    <w:rFonts w:ascii="Arial"/>
                    <w:b/>
                    <w:color w:val="CF382D"/>
                    <w:sz w:val="18"/>
                  </w:rPr>
                  <w:t>for</w:t>
                </w:r>
                <w:r>
                  <w:rPr>
                    <w:rFonts w:ascii="Arial"/>
                    <w:b/>
                    <w:color w:val="CF382D"/>
                    <w:spacing w:val="-2"/>
                    <w:sz w:val="18"/>
                  </w:rPr>
                  <w:t> </w:t>
                </w:r>
                <w:r>
                  <w:rPr>
                    <w:rFonts w:ascii="Arial"/>
                    <w:b/>
                    <w:color w:val="CF382D"/>
                    <w:sz w:val="18"/>
                  </w:rPr>
                  <w:t>the</w:t>
                </w:r>
                <w:r>
                  <w:rPr>
                    <w:rFonts w:ascii="Arial"/>
                    <w:b/>
                    <w:color w:val="CF382D"/>
                    <w:spacing w:val="-2"/>
                    <w:sz w:val="18"/>
                  </w:rPr>
                  <w:t> </w:t>
                </w:r>
                <w:r>
                  <w:rPr>
                    <w:rFonts w:ascii="Arial"/>
                    <w:b/>
                    <w:color w:val="CF382D"/>
                    <w:sz w:val="18"/>
                  </w:rPr>
                  <w:t>Treatment</w:t>
                </w:r>
                <w:r>
                  <w:rPr>
                    <w:rFonts w:ascii="Arial"/>
                    <w:b/>
                    <w:color w:val="CF382D"/>
                    <w:spacing w:val="-3"/>
                    <w:sz w:val="18"/>
                  </w:rPr>
                  <w:t> </w:t>
                </w:r>
                <w:r>
                  <w:rPr>
                    <w:rFonts w:ascii="Arial"/>
                    <w:b/>
                    <w:color w:val="CF382D"/>
                    <w:sz w:val="18"/>
                  </w:rPr>
                  <w:t>of</w:t>
                </w:r>
                <w:r>
                  <w:rPr>
                    <w:rFonts w:ascii="Arial"/>
                    <w:b/>
                    <w:color w:val="CF382D"/>
                    <w:spacing w:val="-2"/>
                    <w:sz w:val="18"/>
                  </w:rPr>
                  <w:t> </w:t>
                </w:r>
                <w:r>
                  <w:rPr>
                    <w:rFonts w:ascii="Arial"/>
                    <w:b/>
                    <w:color w:val="CF382D"/>
                    <w:sz w:val="18"/>
                  </w:rPr>
                  <w:t>Serious</w:t>
                </w:r>
                <w:r>
                  <w:rPr>
                    <w:rFonts w:ascii="Arial"/>
                    <w:b/>
                    <w:color w:val="CF382D"/>
                    <w:spacing w:val="-2"/>
                    <w:sz w:val="18"/>
                  </w:rPr>
                  <w:t> </w:t>
                </w:r>
                <w:r>
                  <w:rPr>
                    <w:rFonts w:ascii="Arial"/>
                    <w:b/>
                    <w:color w:val="CF382D"/>
                    <w:sz w:val="18"/>
                  </w:rPr>
                  <w:t>Mental</w:t>
                </w:r>
                <w:r>
                  <w:rPr>
                    <w:rFonts w:ascii="Arial"/>
                    <w:b/>
                    <w:color w:val="CF382D"/>
                    <w:spacing w:val="-2"/>
                    <w:sz w:val="18"/>
                  </w:rPr>
                  <w:t> </w:t>
                </w:r>
                <w:r>
                  <w:rPr>
                    <w:rFonts w:ascii="Arial"/>
                    <w:b/>
                    <w:color w:val="CF382D"/>
                    <w:sz w:val="18"/>
                  </w:rPr>
                  <w:t>Illness</w:t>
                </w:r>
                <w:r>
                  <w:rPr>
                    <w:rFonts w:ascii="Arial"/>
                    <w:b/>
                    <w:color w:val="CF382D"/>
                    <w:spacing w:val="-3"/>
                    <w:sz w:val="18"/>
                  </w:rPr>
                  <w:t> </w:t>
                </w:r>
                <w:r>
                  <w:rPr>
                    <w:rFonts w:ascii="Arial"/>
                    <w:b/>
                    <w:color w:val="CF382D"/>
                    <w:sz w:val="18"/>
                  </w:rPr>
                  <w:t>and</w:t>
                </w:r>
                <w:r>
                  <w:rPr>
                    <w:rFonts w:ascii="Arial"/>
                    <w:b/>
                    <w:color w:val="CF382D"/>
                    <w:spacing w:val="-2"/>
                    <w:sz w:val="18"/>
                  </w:rPr>
                  <w:t> </w:t>
                </w:r>
                <w:r>
                  <w:rPr>
                    <w:rFonts w:ascii="Arial"/>
                    <w:b/>
                    <w:color w:val="CF382D"/>
                    <w:sz w:val="18"/>
                  </w:rPr>
                  <w:t>Substance</w:t>
                </w:r>
                <w:r>
                  <w:rPr>
                    <w:rFonts w:ascii="Arial"/>
                    <w:b/>
                    <w:color w:val="CF382D"/>
                    <w:spacing w:val="-2"/>
                    <w:sz w:val="18"/>
                  </w:rPr>
                  <w:t> </w:t>
                </w:r>
                <w:r>
                  <w:rPr>
                    <w:rFonts w:ascii="Arial"/>
                    <w:b/>
                    <w:color w:val="CF382D"/>
                    <w:sz w:val="18"/>
                  </w:rPr>
                  <w:t>Use</w:t>
                </w:r>
                <w:r>
                  <w:rPr>
                    <w:rFonts w:ascii="Arial"/>
                    <w:b/>
                    <w:color w:val="CF382D"/>
                    <w:spacing w:val="-2"/>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What</w:t>
                </w:r>
                <w:r>
                  <w:rPr>
                    <w:rFonts w:ascii="Arial"/>
                    <w:color w:val="1D384A"/>
                    <w:spacing w:val="-5"/>
                    <w:sz w:val="16"/>
                  </w:rPr>
                  <w:t> </w:t>
                </w:r>
                <w:r>
                  <w:rPr>
                    <w:rFonts w:ascii="Arial"/>
                    <w:color w:val="1D384A"/>
                    <w:sz w:val="16"/>
                  </w:rPr>
                  <w:t>Research</w:t>
                </w:r>
                <w:r>
                  <w:rPr>
                    <w:rFonts w:ascii="Arial"/>
                    <w:color w:val="1D384A"/>
                    <w:spacing w:val="-7"/>
                    <w:sz w:val="16"/>
                  </w:rPr>
                  <w:t> </w:t>
                </w:r>
                <w:r>
                  <w:rPr>
                    <w:rFonts w:ascii="Arial"/>
                    <w:color w:val="1D384A"/>
                    <w:sz w:val="16"/>
                  </w:rPr>
                  <w:t>Tells</w:t>
                </w:r>
                <w:r>
                  <w:rPr>
                    <w:rFonts w:ascii="Arial"/>
                    <w:color w:val="1D384A"/>
                    <w:spacing w:val="-4"/>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875456" type="#_x0000_t202" id="docshape87"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22</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86208" id="docshape45" filled="true" fillcolor="#1d384a"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66752" id="docshape131" filled="true" fillcolor="#1d384a" stroked="false">
          <v:fill type="solid"/>
          <w10:wrap type="none"/>
        </v:rect>
      </w:pict>
    </w:r>
    <w:r>
      <w:rPr/>
      <w:pict>
        <v:rect style="position:absolute;margin-left:0pt;margin-top:116.330101pt;width:612pt;height:1pt;mso-position-horizontal-relative:page;mso-position-vertical-relative:page;z-index:-17866240" id="docshape132" filled="true" fillcolor="#ce372e" stroked="false">
          <v:fill type="solid"/>
          <w10:wrap type="none"/>
        </v:rect>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64192" id="docshape136" filled="true" fillcolor="#1d384a" stroked="false">
          <v:fill type="solid"/>
          <w10:wrap type="none"/>
        </v:rect>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60608" id="docshape150" filled="true" fillcolor="#1d384a" stroked="false">
          <v:fill type="solid"/>
          <w10:wrap type="none"/>
        </v:rect>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57024" id="docshape192" filled="true" fillcolor="#1d384a" stroked="false">
          <v:fill type="solid"/>
          <w10:wrap type="none"/>
        </v:rect>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854976" id="docshapegroup203" coordorigin="0,0" coordsize="12240,394">
          <v:rect style="position:absolute;left:6480;top:0;width:5760;height:394" id="docshape204" filled="true" fillcolor="#1d384a" stroked="false">
            <v:fill type="solid"/>
          </v:rect>
          <v:rect style="position:absolute;left:0;top:0;width:6480;height:394" id="docshape205" filled="true" fillcolor="#cf382d" stroked="false">
            <v:fill type="solid"/>
          </v:rect>
          <w10:wrap type="none"/>
        </v:group>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852928" id="docshapegroup210" coordorigin="0,0" coordsize="12240,394">
          <v:rect style="position:absolute;left:6480;top:0;width:5760;height:394" id="docshape211" filled="true" fillcolor="#1d384a" stroked="false">
            <v:fill type="solid"/>
          </v:rect>
          <v:rect style="position:absolute;left:0;top:0;width:6480;height:394" id="docshape212" filled="true" fillcolor="#cf382d" stroked="false">
            <v:fill type="solid"/>
          </v:rect>
          <w10:wrap type="none"/>
        </v:group>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83136" id="docshape73" filled="true" fillcolor="#1d384a" stroked="false">
          <v:fill type="solid"/>
          <w10:wrap type="none"/>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81088" id="docshape78" filled="true" fillcolor="#1d384a" stroked="false">
          <v:fill type="solid"/>
          <w10:wrap type="none"/>
        </v:rect>
      </w:pict>
    </w:r>
    <w:r>
      <w:rPr/>
      <w:drawing>
        <wp:anchor distT="0" distB="0" distL="0" distR="0" allowOverlap="1" layoutInCell="1" locked="0" behindDoc="1" simplePos="0" relativeHeight="485435904">
          <wp:simplePos x="0" y="0"/>
          <wp:positionH relativeFrom="page">
            <wp:posOffset>457200</wp:posOffset>
          </wp:positionH>
          <wp:positionV relativeFrom="page">
            <wp:posOffset>877824</wp:posOffset>
          </wp:positionV>
          <wp:extent cx="2983229" cy="384592"/>
          <wp:effectExtent l="0" t="0" r="0" b="0"/>
          <wp:wrapNone/>
          <wp:docPr id="25" name="image13.jpeg" descr="Strong Evidence "/>
          <wp:cNvGraphicFramePr>
            <a:graphicFrameLocks noChangeAspect="1"/>
          </wp:cNvGraphicFramePr>
          <a:graphic>
            <a:graphicData uri="http://schemas.openxmlformats.org/drawingml/2006/picture">
              <pic:pic>
                <pic:nvPicPr>
                  <pic:cNvPr id="26" name="image13.jpeg"/>
                  <pic:cNvPicPr/>
                </pic:nvPicPr>
                <pic:blipFill>
                  <a:blip r:embed="rId1" cstate="print"/>
                  <a:stretch>
                    <a:fillRect/>
                  </a:stretch>
                </pic:blipFill>
                <pic:spPr>
                  <a:xfrm>
                    <a:off x="0" y="0"/>
                    <a:ext cx="2983229" cy="384592"/>
                  </a:xfrm>
                  <a:prstGeom prst="rect">
                    <a:avLst/>
                  </a:prstGeom>
                </pic:spPr>
              </pic:pic>
            </a:graphicData>
          </a:graphic>
        </wp:anchor>
      </w:drawing>
    </w:r>
    <w:r>
      <w:rPr/>
      <w:pict>
        <v:shape style="position:absolute;margin-left:35pt;margin-top:51.050293pt;width:263.05pt;height:14.3pt;mso-position-horizontal-relative:page;mso-position-vertical-relative:page;z-index:-17880064" type="#_x0000_t202" id="docshape79" filled="false" stroked="false">
          <v:textbox inset="0,0,0,0">
            <w:txbxContent>
              <w:p>
                <w:pPr>
                  <w:spacing w:before="13"/>
                  <w:ind w:left="20" w:right="0" w:firstLine="0"/>
                  <w:jc w:val="left"/>
                  <w:rPr>
                    <w:rFonts w:ascii="Arial"/>
                    <w:b/>
                    <w:sz w:val="22"/>
                  </w:rPr>
                </w:pPr>
                <w:r>
                  <w:rPr>
                    <w:rFonts w:ascii="Arial"/>
                    <w:b/>
                    <w:color w:val="CE384B"/>
                    <w:sz w:val="22"/>
                  </w:rPr>
                  <w:t>Cognitive</w:t>
                </w:r>
                <w:r>
                  <w:rPr>
                    <w:rFonts w:ascii="Arial"/>
                    <w:b/>
                    <w:color w:val="CE384B"/>
                    <w:spacing w:val="-1"/>
                    <w:sz w:val="22"/>
                  </w:rPr>
                  <w:t> </w:t>
                </w:r>
                <w:r>
                  <w:rPr>
                    <w:rFonts w:ascii="Arial"/>
                    <w:b/>
                    <w:color w:val="CE384B"/>
                    <w:sz w:val="22"/>
                  </w:rPr>
                  <w:t>Behavioral Therapy (CBT) via telehealth</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78016" id="docshape83" filled="true" fillcolor="#1d384a" stroked="false">
          <v:fill type="solid"/>
          <w10:wrap type="none"/>
        </v:rect>
      </w:pict>
    </w:r>
    <w:r>
      <w:rPr/>
      <w:drawing>
        <wp:anchor distT="0" distB="0" distL="0" distR="0" allowOverlap="1" layoutInCell="1" locked="0" behindDoc="1" simplePos="0" relativeHeight="485438976">
          <wp:simplePos x="0" y="0"/>
          <wp:positionH relativeFrom="page">
            <wp:posOffset>457200</wp:posOffset>
          </wp:positionH>
          <wp:positionV relativeFrom="page">
            <wp:posOffset>874627</wp:posOffset>
          </wp:positionV>
          <wp:extent cx="2983229" cy="384590"/>
          <wp:effectExtent l="0" t="0" r="0" b="0"/>
          <wp:wrapNone/>
          <wp:docPr id="27" name="image13.jpeg" descr="Strong Evidence "/>
          <wp:cNvGraphicFramePr>
            <a:graphicFrameLocks noChangeAspect="1"/>
          </wp:cNvGraphicFramePr>
          <a:graphic>
            <a:graphicData uri="http://schemas.openxmlformats.org/drawingml/2006/picture">
              <pic:pic>
                <pic:nvPicPr>
                  <pic:cNvPr id="28" name="image13.jpeg"/>
                  <pic:cNvPicPr/>
                </pic:nvPicPr>
                <pic:blipFill>
                  <a:blip r:embed="rId1" cstate="print"/>
                  <a:stretch>
                    <a:fillRect/>
                  </a:stretch>
                </pic:blipFill>
                <pic:spPr>
                  <a:xfrm>
                    <a:off x="0" y="0"/>
                    <a:ext cx="2983229" cy="384590"/>
                  </a:xfrm>
                  <a:prstGeom prst="rect">
                    <a:avLst/>
                  </a:prstGeom>
                </pic:spPr>
              </pic:pic>
            </a:graphicData>
          </a:graphic>
        </wp:anchor>
      </w:drawing>
    </w:r>
    <w:r>
      <w:rPr/>
      <w:pict>
        <v:shape style="position:absolute;margin-left:35pt;margin-top:51.050293pt;width:269.75pt;height:14.3pt;mso-position-horizontal-relative:page;mso-position-vertical-relative:page;z-index:-17876992" type="#_x0000_t202" id="docshape84" filled="false" stroked="false">
          <v:textbox inset="0,0,0,0">
            <w:txbxContent>
              <w:p>
                <w:pPr>
                  <w:spacing w:before="13"/>
                  <w:ind w:left="20" w:right="0" w:firstLine="0"/>
                  <w:jc w:val="left"/>
                  <w:rPr>
                    <w:rFonts w:ascii="Arial"/>
                    <w:b/>
                    <w:sz w:val="22"/>
                  </w:rPr>
                </w:pPr>
                <w:r>
                  <w:rPr>
                    <w:rFonts w:ascii="Arial"/>
                    <w:b/>
                    <w:color w:val="CE384B"/>
                    <w:sz w:val="22"/>
                  </w:rPr>
                  <w:t>Cognitive Processing Therapy (CPT) via telehealth*</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74944" id="docshape88" filled="true" fillcolor="#1d384a" stroked="false">
          <v:fill type="solid"/>
          <w10:wrap type="none"/>
        </v:rect>
      </w:pict>
    </w:r>
    <w:r>
      <w:rPr/>
      <w:drawing>
        <wp:anchor distT="0" distB="0" distL="0" distR="0" allowOverlap="1" layoutInCell="1" locked="0" behindDoc="1" simplePos="0" relativeHeight="485442048">
          <wp:simplePos x="0" y="0"/>
          <wp:positionH relativeFrom="page">
            <wp:posOffset>457200</wp:posOffset>
          </wp:positionH>
          <wp:positionV relativeFrom="page">
            <wp:posOffset>865229</wp:posOffset>
          </wp:positionV>
          <wp:extent cx="2983229" cy="384590"/>
          <wp:effectExtent l="0" t="0" r="0" b="0"/>
          <wp:wrapNone/>
          <wp:docPr id="29" name="image13.jpeg" descr="Strong Evidence "/>
          <wp:cNvGraphicFramePr>
            <a:graphicFrameLocks noChangeAspect="1"/>
          </wp:cNvGraphicFramePr>
          <a:graphic>
            <a:graphicData uri="http://schemas.openxmlformats.org/drawingml/2006/picture">
              <pic:pic>
                <pic:nvPicPr>
                  <pic:cNvPr id="30" name="image13.jpeg"/>
                  <pic:cNvPicPr/>
                </pic:nvPicPr>
                <pic:blipFill>
                  <a:blip r:embed="rId1" cstate="print"/>
                  <a:stretch>
                    <a:fillRect/>
                  </a:stretch>
                </pic:blipFill>
                <pic:spPr>
                  <a:xfrm>
                    <a:off x="0" y="0"/>
                    <a:ext cx="2983229" cy="38459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72384" id="docshape92" filled="true" fillcolor="#1d384a" stroked="false">
          <v:fill type="solid"/>
          <w10:wrap type="none"/>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868800" id="docshape108" filled="true" fillcolor="#1d384a" stroked="false">
          <v:fill type="solid"/>
          <w10:wrap type="non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bCs/>
        <w:i w:val="0"/>
        <w:iCs w:val="0"/>
        <w:color w:val="010202"/>
        <w:w w:val="100"/>
        <w:sz w:val="22"/>
        <w:szCs w:val="22"/>
        <w:lang w:val="en-us" w:eastAsia="en-US" w:bidi="ar-SA"/>
      </w:rPr>
    </w:lvl>
    <w:lvl w:ilvl="1">
      <w:start w:val="0"/>
      <w:numFmt w:val="bullet"/>
      <w:lvlText w:val="•"/>
      <w:lvlJc w:val="left"/>
      <w:pPr>
        <w:ind w:left="1344" w:hanging="360"/>
      </w:pPr>
      <w:rPr>
        <w:rFonts w:hint="default"/>
        <w:lang w:val="en-us" w:eastAsia="en-US" w:bidi="ar-SA"/>
      </w:rPr>
    </w:lvl>
    <w:lvl w:ilvl="2">
      <w:start w:val="0"/>
      <w:numFmt w:val="bullet"/>
      <w:lvlText w:val="•"/>
      <w:lvlJc w:val="left"/>
      <w:pPr>
        <w:ind w:left="1848" w:hanging="360"/>
      </w:pPr>
      <w:rPr>
        <w:rFonts w:hint="default"/>
        <w:lang w:val="en-us" w:eastAsia="en-US" w:bidi="ar-SA"/>
      </w:rPr>
    </w:lvl>
    <w:lvl w:ilvl="3">
      <w:start w:val="0"/>
      <w:numFmt w:val="bullet"/>
      <w:lvlText w:val="•"/>
      <w:lvlJc w:val="left"/>
      <w:pPr>
        <w:ind w:left="2352" w:hanging="360"/>
      </w:pPr>
      <w:rPr>
        <w:rFonts w:hint="default"/>
        <w:lang w:val="en-us" w:eastAsia="en-US" w:bidi="ar-SA"/>
      </w:rPr>
    </w:lvl>
    <w:lvl w:ilvl="4">
      <w:start w:val="0"/>
      <w:numFmt w:val="bullet"/>
      <w:lvlText w:val="•"/>
      <w:lvlJc w:val="left"/>
      <w:pPr>
        <w:ind w:left="2856" w:hanging="360"/>
      </w:pPr>
      <w:rPr>
        <w:rFonts w:hint="default"/>
        <w:lang w:val="en-us" w:eastAsia="en-US" w:bidi="ar-SA"/>
      </w:rPr>
    </w:lvl>
    <w:lvl w:ilvl="5">
      <w:start w:val="0"/>
      <w:numFmt w:val="bullet"/>
      <w:lvlText w:val="•"/>
      <w:lvlJc w:val="left"/>
      <w:pPr>
        <w:ind w:left="3360" w:hanging="360"/>
      </w:pPr>
      <w:rPr>
        <w:rFonts w:hint="default"/>
        <w:lang w:val="en-us" w:eastAsia="en-US" w:bidi="ar-SA"/>
      </w:rPr>
    </w:lvl>
    <w:lvl w:ilvl="6">
      <w:start w:val="0"/>
      <w:numFmt w:val="bullet"/>
      <w:lvlText w:val="•"/>
      <w:lvlJc w:val="left"/>
      <w:pPr>
        <w:ind w:left="3864" w:hanging="360"/>
      </w:pPr>
      <w:rPr>
        <w:rFonts w:hint="default"/>
        <w:lang w:val="en-us" w:eastAsia="en-US" w:bidi="ar-SA"/>
      </w:rPr>
    </w:lvl>
    <w:lvl w:ilvl="7">
      <w:start w:val="0"/>
      <w:numFmt w:val="bullet"/>
      <w:lvlText w:val="•"/>
      <w:lvlJc w:val="left"/>
      <w:pPr>
        <w:ind w:left="4368" w:hanging="360"/>
      </w:pPr>
      <w:rPr>
        <w:rFonts w:hint="default"/>
        <w:lang w:val="en-us" w:eastAsia="en-US" w:bidi="ar-SA"/>
      </w:rPr>
    </w:lvl>
    <w:lvl w:ilvl="8">
      <w:start w:val="0"/>
      <w:numFmt w:val="bullet"/>
      <w:lvlText w:val="•"/>
      <w:lvlJc w:val="left"/>
      <w:pPr>
        <w:ind w:left="4872" w:hanging="360"/>
      </w:pPr>
      <w:rPr>
        <w:rFonts w:hint="default"/>
        <w:lang w:val="en-us" w:eastAsia="en-US" w:bidi="ar-SA"/>
      </w:rPr>
    </w:lvl>
  </w:abstractNum>
  <w:abstractNum w:abstractNumId="93">
    <w:multiLevelType w:val="hybridMultilevel"/>
    <w:lvl w:ilvl="0">
      <w:start w:val="1"/>
      <w:numFmt w:val="decimal"/>
      <w:lvlText w:val="%1."/>
      <w:lvlJc w:val="left"/>
      <w:pPr>
        <w:ind w:left="839" w:hanging="360"/>
        <w:jc w:val="left"/>
      </w:pPr>
      <w:rPr>
        <w:rFonts w:hint="default" w:ascii="Times New Roman" w:hAnsi="Times New Roman" w:eastAsia="Times New Roman" w:cs="Times New Roman"/>
        <w:b w:val="0"/>
        <w:bCs w:val="0"/>
        <w:i w:val="0"/>
        <w:iCs w:val="0"/>
        <w:color w:val="010202"/>
        <w:w w:val="100"/>
        <w:sz w:val="22"/>
        <w:szCs w:val="22"/>
        <w:lang w:val="en-us" w:eastAsia="en-US" w:bidi="ar-SA"/>
      </w:rPr>
    </w:lvl>
    <w:lvl w:ilvl="1">
      <w:start w:val="0"/>
      <w:numFmt w:val="bullet"/>
      <w:lvlText w:val=""/>
      <w:lvlJc w:val="left"/>
      <w:pPr>
        <w:ind w:left="119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1644" w:hanging="360"/>
      </w:pPr>
      <w:rPr>
        <w:rFonts w:hint="default"/>
        <w:lang w:val="en-us" w:eastAsia="en-US" w:bidi="ar-SA"/>
      </w:rPr>
    </w:lvl>
    <w:lvl w:ilvl="3">
      <w:start w:val="0"/>
      <w:numFmt w:val="bullet"/>
      <w:lvlText w:val="•"/>
      <w:lvlJc w:val="left"/>
      <w:pPr>
        <w:ind w:left="2089" w:hanging="360"/>
      </w:pPr>
      <w:rPr>
        <w:rFonts w:hint="default"/>
        <w:lang w:val="en-us" w:eastAsia="en-US" w:bidi="ar-SA"/>
      </w:rPr>
    </w:lvl>
    <w:lvl w:ilvl="4">
      <w:start w:val="0"/>
      <w:numFmt w:val="bullet"/>
      <w:lvlText w:val="•"/>
      <w:lvlJc w:val="left"/>
      <w:pPr>
        <w:ind w:left="2533" w:hanging="360"/>
      </w:pPr>
      <w:rPr>
        <w:rFonts w:hint="default"/>
        <w:lang w:val="en-us" w:eastAsia="en-US" w:bidi="ar-SA"/>
      </w:rPr>
    </w:lvl>
    <w:lvl w:ilvl="5">
      <w:start w:val="0"/>
      <w:numFmt w:val="bullet"/>
      <w:lvlText w:val="•"/>
      <w:lvlJc w:val="left"/>
      <w:pPr>
        <w:ind w:left="2977" w:hanging="360"/>
      </w:pPr>
      <w:rPr>
        <w:rFonts w:hint="default"/>
        <w:lang w:val="en-us" w:eastAsia="en-US" w:bidi="ar-SA"/>
      </w:rPr>
    </w:lvl>
    <w:lvl w:ilvl="6">
      <w:start w:val="0"/>
      <w:numFmt w:val="bullet"/>
      <w:lvlText w:val="•"/>
      <w:lvlJc w:val="left"/>
      <w:pPr>
        <w:ind w:left="3422" w:hanging="360"/>
      </w:pPr>
      <w:rPr>
        <w:rFonts w:hint="default"/>
        <w:lang w:val="en-us" w:eastAsia="en-US" w:bidi="ar-SA"/>
      </w:rPr>
    </w:lvl>
    <w:lvl w:ilvl="7">
      <w:start w:val="0"/>
      <w:numFmt w:val="bullet"/>
      <w:lvlText w:val="•"/>
      <w:lvlJc w:val="left"/>
      <w:pPr>
        <w:ind w:left="3866" w:hanging="360"/>
      </w:pPr>
      <w:rPr>
        <w:rFonts w:hint="default"/>
        <w:lang w:val="en-us" w:eastAsia="en-US" w:bidi="ar-SA"/>
      </w:rPr>
    </w:lvl>
    <w:lvl w:ilvl="8">
      <w:start w:val="0"/>
      <w:numFmt w:val="bullet"/>
      <w:lvlText w:val="•"/>
      <w:lvlJc w:val="left"/>
      <w:pPr>
        <w:ind w:left="4311" w:hanging="360"/>
      </w:pPr>
      <w:rPr>
        <w:rFonts w:hint="default"/>
        <w:lang w:val="en-us" w:eastAsia="en-US" w:bidi="ar-SA"/>
      </w:rPr>
    </w:lvl>
  </w:abstractNum>
  <w:abstractNum w:abstractNumId="92">
    <w:multiLevelType w:val="hybridMultilevel"/>
    <w:lvl w:ilvl="0">
      <w:start w:val="0"/>
      <w:numFmt w:val="bullet"/>
      <w:lvlText w:val=""/>
      <w:lvlJc w:val="left"/>
      <w:pPr>
        <w:ind w:left="404" w:hanging="360"/>
      </w:pPr>
      <w:rPr>
        <w:rFonts w:hint="default" w:ascii="Symbol" w:hAnsi="Symbol" w:eastAsia="Symbol" w:cs="Symbol"/>
        <w:w w:val="100"/>
        <w:lang w:val="en-us" w:eastAsia="en-US" w:bidi="ar-SA"/>
      </w:rPr>
    </w:lvl>
    <w:lvl w:ilvl="1">
      <w:start w:val="0"/>
      <w:numFmt w:val="bullet"/>
      <w:lvlText w:val="•"/>
      <w:lvlJc w:val="left"/>
      <w:pPr>
        <w:ind w:left="932" w:hanging="360"/>
      </w:pPr>
      <w:rPr>
        <w:rFonts w:hint="default"/>
        <w:lang w:val="en-us" w:eastAsia="en-US" w:bidi="ar-SA"/>
      </w:rPr>
    </w:lvl>
    <w:lvl w:ilvl="2">
      <w:start w:val="0"/>
      <w:numFmt w:val="bullet"/>
      <w:lvlText w:val="•"/>
      <w:lvlJc w:val="left"/>
      <w:pPr>
        <w:ind w:left="1465" w:hanging="360"/>
      </w:pPr>
      <w:rPr>
        <w:rFonts w:hint="default"/>
        <w:lang w:val="en-us" w:eastAsia="en-US" w:bidi="ar-SA"/>
      </w:rPr>
    </w:lvl>
    <w:lvl w:ilvl="3">
      <w:start w:val="0"/>
      <w:numFmt w:val="bullet"/>
      <w:lvlText w:val="•"/>
      <w:lvlJc w:val="left"/>
      <w:pPr>
        <w:ind w:left="1998" w:hanging="360"/>
      </w:pPr>
      <w:rPr>
        <w:rFonts w:hint="default"/>
        <w:lang w:val="en-us" w:eastAsia="en-US" w:bidi="ar-SA"/>
      </w:rPr>
    </w:lvl>
    <w:lvl w:ilvl="4">
      <w:start w:val="0"/>
      <w:numFmt w:val="bullet"/>
      <w:lvlText w:val="•"/>
      <w:lvlJc w:val="left"/>
      <w:pPr>
        <w:ind w:left="2531" w:hanging="360"/>
      </w:pPr>
      <w:rPr>
        <w:rFonts w:hint="default"/>
        <w:lang w:val="en-us" w:eastAsia="en-US" w:bidi="ar-SA"/>
      </w:rPr>
    </w:lvl>
    <w:lvl w:ilvl="5">
      <w:start w:val="0"/>
      <w:numFmt w:val="bullet"/>
      <w:lvlText w:val="•"/>
      <w:lvlJc w:val="left"/>
      <w:pPr>
        <w:ind w:left="3064" w:hanging="360"/>
      </w:pPr>
      <w:rPr>
        <w:rFonts w:hint="default"/>
        <w:lang w:val="en-us" w:eastAsia="en-US" w:bidi="ar-SA"/>
      </w:rPr>
    </w:lvl>
    <w:lvl w:ilvl="6">
      <w:start w:val="0"/>
      <w:numFmt w:val="bullet"/>
      <w:lvlText w:val="•"/>
      <w:lvlJc w:val="left"/>
      <w:pPr>
        <w:ind w:left="3597" w:hanging="360"/>
      </w:pPr>
      <w:rPr>
        <w:rFonts w:hint="default"/>
        <w:lang w:val="en-us" w:eastAsia="en-US" w:bidi="ar-SA"/>
      </w:rPr>
    </w:lvl>
    <w:lvl w:ilvl="7">
      <w:start w:val="0"/>
      <w:numFmt w:val="bullet"/>
      <w:lvlText w:val="•"/>
      <w:lvlJc w:val="left"/>
      <w:pPr>
        <w:ind w:left="4130" w:hanging="360"/>
      </w:pPr>
      <w:rPr>
        <w:rFonts w:hint="default"/>
        <w:lang w:val="en-us" w:eastAsia="en-US" w:bidi="ar-SA"/>
      </w:rPr>
    </w:lvl>
    <w:lvl w:ilvl="8">
      <w:start w:val="0"/>
      <w:numFmt w:val="bullet"/>
      <w:lvlText w:val="•"/>
      <w:lvlJc w:val="left"/>
      <w:pPr>
        <w:ind w:left="4663" w:hanging="360"/>
      </w:pPr>
      <w:rPr>
        <w:rFonts w:hint="default"/>
        <w:lang w:val="en-us" w:eastAsia="en-US" w:bidi="ar-SA"/>
      </w:rPr>
    </w:lvl>
  </w:abstractNum>
  <w:abstractNum w:abstractNumId="91">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3" w:hanging="360"/>
      </w:pPr>
      <w:rPr>
        <w:rFonts w:hint="default"/>
        <w:lang w:val="en-us" w:eastAsia="en-US" w:bidi="ar-SA"/>
      </w:rPr>
    </w:lvl>
    <w:lvl w:ilvl="2">
      <w:start w:val="0"/>
      <w:numFmt w:val="bullet"/>
      <w:lvlText w:val="•"/>
      <w:lvlJc w:val="left"/>
      <w:pPr>
        <w:ind w:left="946" w:hanging="360"/>
      </w:pPr>
      <w:rPr>
        <w:rFonts w:hint="default"/>
        <w:lang w:val="en-us" w:eastAsia="en-US" w:bidi="ar-SA"/>
      </w:rPr>
    </w:lvl>
    <w:lvl w:ilvl="3">
      <w:start w:val="0"/>
      <w:numFmt w:val="bullet"/>
      <w:lvlText w:val="•"/>
      <w:lvlJc w:val="left"/>
      <w:pPr>
        <w:ind w:left="1219" w:hanging="360"/>
      </w:pPr>
      <w:rPr>
        <w:rFonts w:hint="default"/>
        <w:lang w:val="en-us" w:eastAsia="en-US" w:bidi="ar-SA"/>
      </w:rPr>
    </w:lvl>
    <w:lvl w:ilvl="4">
      <w:start w:val="0"/>
      <w:numFmt w:val="bullet"/>
      <w:lvlText w:val="•"/>
      <w:lvlJc w:val="left"/>
      <w:pPr>
        <w:ind w:left="1493" w:hanging="360"/>
      </w:pPr>
      <w:rPr>
        <w:rFonts w:hint="default"/>
        <w:lang w:val="en-us" w:eastAsia="en-US" w:bidi="ar-SA"/>
      </w:rPr>
    </w:lvl>
    <w:lvl w:ilvl="5">
      <w:start w:val="0"/>
      <w:numFmt w:val="bullet"/>
      <w:lvlText w:val="•"/>
      <w:lvlJc w:val="left"/>
      <w:pPr>
        <w:ind w:left="1766" w:hanging="360"/>
      </w:pPr>
      <w:rPr>
        <w:rFonts w:hint="default"/>
        <w:lang w:val="en-us" w:eastAsia="en-US" w:bidi="ar-SA"/>
      </w:rPr>
    </w:lvl>
    <w:lvl w:ilvl="6">
      <w:start w:val="0"/>
      <w:numFmt w:val="bullet"/>
      <w:lvlText w:val="•"/>
      <w:lvlJc w:val="left"/>
      <w:pPr>
        <w:ind w:left="2039" w:hanging="360"/>
      </w:pPr>
      <w:rPr>
        <w:rFonts w:hint="default"/>
        <w:lang w:val="en-us" w:eastAsia="en-US" w:bidi="ar-SA"/>
      </w:rPr>
    </w:lvl>
    <w:lvl w:ilvl="7">
      <w:start w:val="0"/>
      <w:numFmt w:val="bullet"/>
      <w:lvlText w:val="•"/>
      <w:lvlJc w:val="left"/>
      <w:pPr>
        <w:ind w:left="2313" w:hanging="360"/>
      </w:pPr>
      <w:rPr>
        <w:rFonts w:hint="default"/>
        <w:lang w:val="en-us" w:eastAsia="en-US" w:bidi="ar-SA"/>
      </w:rPr>
    </w:lvl>
    <w:lvl w:ilvl="8">
      <w:start w:val="0"/>
      <w:numFmt w:val="bullet"/>
      <w:lvlText w:val="•"/>
      <w:lvlJc w:val="left"/>
      <w:pPr>
        <w:ind w:left="2586" w:hanging="360"/>
      </w:pPr>
      <w:rPr>
        <w:rFonts w:hint="default"/>
        <w:lang w:val="en-us" w:eastAsia="en-US" w:bidi="ar-SA"/>
      </w:rPr>
    </w:lvl>
  </w:abstractNum>
  <w:abstractNum w:abstractNumId="90">
    <w:multiLevelType w:val="hybridMultilevel"/>
    <w:lvl w:ilvl="0">
      <w:start w:val="0"/>
      <w:numFmt w:val="bullet"/>
      <w:lvlText w:val=""/>
      <w:lvlJc w:val="left"/>
      <w:pPr>
        <w:ind w:left="404"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932" w:hanging="360"/>
      </w:pPr>
      <w:rPr>
        <w:rFonts w:hint="default"/>
        <w:lang w:val="en-us" w:eastAsia="en-US" w:bidi="ar-SA"/>
      </w:rPr>
    </w:lvl>
    <w:lvl w:ilvl="2">
      <w:start w:val="0"/>
      <w:numFmt w:val="bullet"/>
      <w:lvlText w:val="•"/>
      <w:lvlJc w:val="left"/>
      <w:pPr>
        <w:ind w:left="1465" w:hanging="360"/>
      </w:pPr>
      <w:rPr>
        <w:rFonts w:hint="default"/>
        <w:lang w:val="en-us" w:eastAsia="en-US" w:bidi="ar-SA"/>
      </w:rPr>
    </w:lvl>
    <w:lvl w:ilvl="3">
      <w:start w:val="0"/>
      <w:numFmt w:val="bullet"/>
      <w:lvlText w:val="•"/>
      <w:lvlJc w:val="left"/>
      <w:pPr>
        <w:ind w:left="1998" w:hanging="360"/>
      </w:pPr>
      <w:rPr>
        <w:rFonts w:hint="default"/>
        <w:lang w:val="en-us" w:eastAsia="en-US" w:bidi="ar-SA"/>
      </w:rPr>
    </w:lvl>
    <w:lvl w:ilvl="4">
      <w:start w:val="0"/>
      <w:numFmt w:val="bullet"/>
      <w:lvlText w:val="•"/>
      <w:lvlJc w:val="left"/>
      <w:pPr>
        <w:ind w:left="2531" w:hanging="360"/>
      </w:pPr>
      <w:rPr>
        <w:rFonts w:hint="default"/>
        <w:lang w:val="en-us" w:eastAsia="en-US" w:bidi="ar-SA"/>
      </w:rPr>
    </w:lvl>
    <w:lvl w:ilvl="5">
      <w:start w:val="0"/>
      <w:numFmt w:val="bullet"/>
      <w:lvlText w:val="•"/>
      <w:lvlJc w:val="left"/>
      <w:pPr>
        <w:ind w:left="3064" w:hanging="360"/>
      </w:pPr>
      <w:rPr>
        <w:rFonts w:hint="default"/>
        <w:lang w:val="en-us" w:eastAsia="en-US" w:bidi="ar-SA"/>
      </w:rPr>
    </w:lvl>
    <w:lvl w:ilvl="6">
      <w:start w:val="0"/>
      <w:numFmt w:val="bullet"/>
      <w:lvlText w:val="•"/>
      <w:lvlJc w:val="left"/>
      <w:pPr>
        <w:ind w:left="3597" w:hanging="360"/>
      </w:pPr>
      <w:rPr>
        <w:rFonts w:hint="default"/>
        <w:lang w:val="en-us" w:eastAsia="en-US" w:bidi="ar-SA"/>
      </w:rPr>
    </w:lvl>
    <w:lvl w:ilvl="7">
      <w:start w:val="0"/>
      <w:numFmt w:val="bullet"/>
      <w:lvlText w:val="•"/>
      <w:lvlJc w:val="left"/>
      <w:pPr>
        <w:ind w:left="4130" w:hanging="360"/>
      </w:pPr>
      <w:rPr>
        <w:rFonts w:hint="default"/>
        <w:lang w:val="en-us" w:eastAsia="en-US" w:bidi="ar-SA"/>
      </w:rPr>
    </w:lvl>
    <w:lvl w:ilvl="8">
      <w:start w:val="0"/>
      <w:numFmt w:val="bullet"/>
      <w:lvlText w:val="•"/>
      <w:lvlJc w:val="left"/>
      <w:pPr>
        <w:ind w:left="4663" w:hanging="360"/>
      </w:pPr>
      <w:rPr>
        <w:rFonts w:hint="default"/>
        <w:lang w:val="en-us" w:eastAsia="en-US" w:bidi="ar-SA"/>
      </w:rPr>
    </w:lvl>
  </w:abstractNum>
  <w:abstractNum w:abstractNumId="89">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3" w:hanging="360"/>
      </w:pPr>
      <w:rPr>
        <w:rFonts w:hint="default"/>
        <w:lang w:val="en-us" w:eastAsia="en-US" w:bidi="ar-SA"/>
      </w:rPr>
    </w:lvl>
    <w:lvl w:ilvl="2">
      <w:start w:val="0"/>
      <w:numFmt w:val="bullet"/>
      <w:lvlText w:val="•"/>
      <w:lvlJc w:val="left"/>
      <w:pPr>
        <w:ind w:left="946" w:hanging="360"/>
      </w:pPr>
      <w:rPr>
        <w:rFonts w:hint="default"/>
        <w:lang w:val="en-us" w:eastAsia="en-US" w:bidi="ar-SA"/>
      </w:rPr>
    </w:lvl>
    <w:lvl w:ilvl="3">
      <w:start w:val="0"/>
      <w:numFmt w:val="bullet"/>
      <w:lvlText w:val="•"/>
      <w:lvlJc w:val="left"/>
      <w:pPr>
        <w:ind w:left="1219" w:hanging="360"/>
      </w:pPr>
      <w:rPr>
        <w:rFonts w:hint="default"/>
        <w:lang w:val="en-us" w:eastAsia="en-US" w:bidi="ar-SA"/>
      </w:rPr>
    </w:lvl>
    <w:lvl w:ilvl="4">
      <w:start w:val="0"/>
      <w:numFmt w:val="bullet"/>
      <w:lvlText w:val="•"/>
      <w:lvlJc w:val="left"/>
      <w:pPr>
        <w:ind w:left="1493" w:hanging="360"/>
      </w:pPr>
      <w:rPr>
        <w:rFonts w:hint="default"/>
        <w:lang w:val="en-us" w:eastAsia="en-US" w:bidi="ar-SA"/>
      </w:rPr>
    </w:lvl>
    <w:lvl w:ilvl="5">
      <w:start w:val="0"/>
      <w:numFmt w:val="bullet"/>
      <w:lvlText w:val="•"/>
      <w:lvlJc w:val="left"/>
      <w:pPr>
        <w:ind w:left="1766" w:hanging="360"/>
      </w:pPr>
      <w:rPr>
        <w:rFonts w:hint="default"/>
        <w:lang w:val="en-us" w:eastAsia="en-US" w:bidi="ar-SA"/>
      </w:rPr>
    </w:lvl>
    <w:lvl w:ilvl="6">
      <w:start w:val="0"/>
      <w:numFmt w:val="bullet"/>
      <w:lvlText w:val="•"/>
      <w:lvlJc w:val="left"/>
      <w:pPr>
        <w:ind w:left="2039" w:hanging="360"/>
      </w:pPr>
      <w:rPr>
        <w:rFonts w:hint="default"/>
        <w:lang w:val="en-us" w:eastAsia="en-US" w:bidi="ar-SA"/>
      </w:rPr>
    </w:lvl>
    <w:lvl w:ilvl="7">
      <w:start w:val="0"/>
      <w:numFmt w:val="bullet"/>
      <w:lvlText w:val="•"/>
      <w:lvlJc w:val="left"/>
      <w:pPr>
        <w:ind w:left="2313" w:hanging="360"/>
      </w:pPr>
      <w:rPr>
        <w:rFonts w:hint="default"/>
        <w:lang w:val="en-us" w:eastAsia="en-US" w:bidi="ar-SA"/>
      </w:rPr>
    </w:lvl>
    <w:lvl w:ilvl="8">
      <w:start w:val="0"/>
      <w:numFmt w:val="bullet"/>
      <w:lvlText w:val="•"/>
      <w:lvlJc w:val="left"/>
      <w:pPr>
        <w:ind w:left="2586" w:hanging="360"/>
      </w:pPr>
      <w:rPr>
        <w:rFonts w:hint="default"/>
        <w:lang w:val="en-us" w:eastAsia="en-US" w:bidi="ar-SA"/>
      </w:rPr>
    </w:lvl>
  </w:abstractNum>
  <w:abstractNum w:abstractNumId="88">
    <w:multiLevelType w:val="hybridMultilevel"/>
    <w:lvl w:ilvl="0">
      <w:start w:val="0"/>
      <w:numFmt w:val="bullet"/>
      <w:lvlText w:val=""/>
      <w:lvlJc w:val="left"/>
      <w:pPr>
        <w:ind w:left="404"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932" w:hanging="360"/>
      </w:pPr>
      <w:rPr>
        <w:rFonts w:hint="default"/>
        <w:lang w:val="en-us" w:eastAsia="en-US" w:bidi="ar-SA"/>
      </w:rPr>
    </w:lvl>
    <w:lvl w:ilvl="2">
      <w:start w:val="0"/>
      <w:numFmt w:val="bullet"/>
      <w:lvlText w:val="•"/>
      <w:lvlJc w:val="left"/>
      <w:pPr>
        <w:ind w:left="1465" w:hanging="360"/>
      </w:pPr>
      <w:rPr>
        <w:rFonts w:hint="default"/>
        <w:lang w:val="en-us" w:eastAsia="en-US" w:bidi="ar-SA"/>
      </w:rPr>
    </w:lvl>
    <w:lvl w:ilvl="3">
      <w:start w:val="0"/>
      <w:numFmt w:val="bullet"/>
      <w:lvlText w:val="•"/>
      <w:lvlJc w:val="left"/>
      <w:pPr>
        <w:ind w:left="1998" w:hanging="360"/>
      </w:pPr>
      <w:rPr>
        <w:rFonts w:hint="default"/>
        <w:lang w:val="en-us" w:eastAsia="en-US" w:bidi="ar-SA"/>
      </w:rPr>
    </w:lvl>
    <w:lvl w:ilvl="4">
      <w:start w:val="0"/>
      <w:numFmt w:val="bullet"/>
      <w:lvlText w:val="•"/>
      <w:lvlJc w:val="left"/>
      <w:pPr>
        <w:ind w:left="2531" w:hanging="360"/>
      </w:pPr>
      <w:rPr>
        <w:rFonts w:hint="default"/>
        <w:lang w:val="en-us" w:eastAsia="en-US" w:bidi="ar-SA"/>
      </w:rPr>
    </w:lvl>
    <w:lvl w:ilvl="5">
      <w:start w:val="0"/>
      <w:numFmt w:val="bullet"/>
      <w:lvlText w:val="•"/>
      <w:lvlJc w:val="left"/>
      <w:pPr>
        <w:ind w:left="3064" w:hanging="360"/>
      </w:pPr>
      <w:rPr>
        <w:rFonts w:hint="default"/>
        <w:lang w:val="en-us" w:eastAsia="en-US" w:bidi="ar-SA"/>
      </w:rPr>
    </w:lvl>
    <w:lvl w:ilvl="6">
      <w:start w:val="0"/>
      <w:numFmt w:val="bullet"/>
      <w:lvlText w:val="•"/>
      <w:lvlJc w:val="left"/>
      <w:pPr>
        <w:ind w:left="3597" w:hanging="360"/>
      </w:pPr>
      <w:rPr>
        <w:rFonts w:hint="default"/>
        <w:lang w:val="en-us" w:eastAsia="en-US" w:bidi="ar-SA"/>
      </w:rPr>
    </w:lvl>
    <w:lvl w:ilvl="7">
      <w:start w:val="0"/>
      <w:numFmt w:val="bullet"/>
      <w:lvlText w:val="•"/>
      <w:lvlJc w:val="left"/>
      <w:pPr>
        <w:ind w:left="4130" w:hanging="360"/>
      </w:pPr>
      <w:rPr>
        <w:rFonts w:hint="default"/>
        <w:lang w:val="en-us" w:eastAsia="en-US" w:bidi="ar-SA"/>
      </w:rPr>
    </w:lvl>
    <w:lvl w:ilvl="8">
      <w:start w:val="0"/>
      <w:numFmt w:val="bullet"/>
      <w:lvlText w:val="•"/>
      <w:lvlJc w:val="left"/>
      <w:pPr>
        <w:ind w:left="4663" w:hanging="360"/>
      </w:pPr>
      <w:rPr>
        <w:rFonts w:hint="default"/>
        <w:lang w:val="en-us" w:eastAsia="en-US" w:bidi="ar-SA"/>
      </w:rPr>
    </w:lvl>
  </w:abstractNum>
  <w:abstractNum w:abstractNumId="87">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3" w:hanging="360"/>
      </w:pPr>
      <w:rPr>
        <w:rFonts w:hint="default"/>
        <w:lang w:val="en-us" w:eastAsia="en-US" w:bidi="ar-SA"/>
      </w:rPr>
    </w:lvl>
    <w:lvl w:ilvl="2">
      <w:start w:val="0"/>
      <w:numFmt w:val="bullet"/>
      <w:lvlText w:val="•"/>
      <w:lvlJc w:val="left"/>
      <w:pPr>
        <w:ind w:left="946" w:hanging="360"/>
      </w:pPr>
      <w:rPr>
        <w:rFonts w:hint="default"/>
        <w:lang w:val="en-us" w:eastAsia="en-US" w:bidi="ar-SA"/>
      </w:rPr>
    </w:lvl>
    <w:lvl w:ilvl="3">
      <w:start w:val="0"/>
      <w:numFmt w:val="bullet"/>
      <w:lvlText w:val="•"/>
      <w:lvlJc w:val="left"/>
      <w:pPr>
        <w:ind w:left="1219" w:hanging="360"/>
      </w:pPr>
      <w:rPr>
        <w:rFonts w:hint="default"/>
        <w:lang w:val="en-us" w:eastAsia="en-US" w:bidi="ar-SA"/>
      </w:rPr>
    </w:lvl>
    <w:lvl w:ilvl="4">
      <w:start w:val="0"/>
      <w:numFmt w:val="bullet"/>
      <w:lvlText w:val="•"/>
      <w:lvlJc w:val="left"/>
      <w:pPr>
        <w:ind w:left="1493" w:hanging="360"/>
      </w:pPr>
      <w:rPr>
        <w:rFonts w:hint="default"/>
        <w:lang w:val="en-us" w:eastAsia="en-US" w:bidi="ar-SA"/>
      </w:rPr>
    </w:lvl>
    <w:lvl w:ilvl="5">
      <w:start w:val="0"/>
      <w:numFmt w:val="bullet"/>
      <w:lvlText w:val="•"/>
      <w:lvlJc w:val="left"/>
      <w:pPr>
        <w:ind w:left="1766" w:hanging="360"/>
      </w:pPr>
      <w:rPr>
        <w:rFonts w:hint="default"/>
        <w:lang w:val="en-us" w:eastAsia="en-US" w:bidi="ar-SA"/>
      </w:rPr>
    </w:lvl>
    <w:lvl w:ilvl="6">
      <w:start w:val="0"/>
      <w:numFmt w:val="bullet"/>
      <w:lvlText w:val="•"/>
      <w:lvlJc w:val="left"/>
      <w:pPr>
        <w:ind w:left="2039" w:hanging="360"/>
      </w:pPr>
      <w:rPr>
        <w:rFonts w:hint="default"/>
        <w:lang w:val="en-us" w:eastAsia="en-US" w:bidi="ar-SA"/>
      </w:rPr>
    </w:lvl>
    <w:lvl w:ilvl="7">
      <w:start w:val="0"/>
      <w:numFmt w:val="bullet"/>
      <w:lvlText w:val="•"/>
      <w:lvlJc w:val="left"/>
      <w:pPr>
        <w:ind w:left="2313" w:hanging="360"/>
      </w:pPr>
      <w:rPr>
        <w:rFonts w:hint="default"/>
        <w:lang w:val="en-us" w:eastAsia="en-US" w:bidi="ar-SA"/>
      </w:rPr>
    </w:lvl>
    <w:lvl w:ilvl="8">
      <w:start w:val="0"/>
      <w:numFmt w:val="bullet"/>
      <w:lvlText w:val="•"/>
      <w:lvlJc w:val="left"/>
      <w:pPr>
        <w:ind w:left="2586" w:hanging="360"/>
      </w:pPr>
      <w:rPr>
        <w:rFonts w:hint="default"/>
        <w:lang w:val="en-us" w:eastAsia="en-US" w:bidi="ar-SA"/>
      </w:rPr>
    </w:lvl>
  </w:abstractNum>
  <w:abstractNum w:abstractNumId="86">
    <w:multiLevelType w:val="hybridMultilevel"/>
    <w:lvl w:ilvl="0">
      <w:start w:val="0"/>
      <w:numFmt w:val="bullet"/>
      <w:lvlText w:val=""/>
      <w:lvlJc w:val="left"/>
      <w:pPr>
        <w:ind w:left="404"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932" w:hanging="360"/>
      </w:pPr>
      <w:rPr>
        <w:rFonts w:hint="default"/>
        <w:lang w:val="en-us" w:eastAsia="en-US" w:bidi="ar-SA"/>
      </w:rPr>
    </w:lvl>
    <w:lvl w:ilvl="2">
      <w:start w:val="0"/>
      <w:numFmt w:val="bullet"/>
      <w:lvlText w:val="•"/>
      <w:lvlJc w:val="left"/>
      <w:pPr>
        <w:ind w:left="1465" w:hanging="360"/>
      </w:pPr>
      <w:rPr>
        <w:rFonts w:hint="default"/>
        <w:lang w:val="en-us" w:eastAsia="en-US" w:bidi="ar-SA"/>
      </w:rPr>
    </w:lvl>
    <w:lvl w:ilvl="3">
      <w:start w:val="0"/>
      <w:numFmt w:val="bullet"/>
      <w:lvlText w:val="•"/>
      <w:lvlJc w:val="left"/>
      <w:pPr>
        <w:ind w:left="1998" w:hanging="360"/>
      </w:pPr>
      <w:rPr>
        <w:rFonts w:hint="default"/>
        <w:lang w:val="en-us" w:eastAsia="en-US" w:bidi="ar-SA"/>
      </w:rPr>
    </w:lvl>
    <w:lvl w:ilvl="4">
      <w:start w:val="0"/>
      <w:numFmt w:val="bullet"/>
      <w:lvlText w:val="•"/>
      <w:lvlJc w:val="left"/>
      <w:pPr>
        <w:ind w:left="2531" w:hanging="360"/>
      </w:pPr>
      <w:rPr>
        <w:rFonts w:hint="default"/>
        <w:lang w:val="en-us" w:eastAsia="en-US" w:bidi="ar-SA"/>
      </w:rPr>
    </w:lvl>
    <w:lvl w:ilvl="5">
      <w:start w:val="0"/>
      <w:numFmt w:val="bullet"/>
      <w:lvlText w:val="•"/>
      <w:lvlJc w:val="left"/>
      <w:pPr>
        <w:ind w:left="3064" w:hanging="360"/>
      </w:pPr>
      <w:rPr>
        <w:rFonts w:hint="default"/>
        <w:lang w:val="en-us" w:eastAsia="en-US" w:bidi="ar-SA"/>
      </w:rPr>
    </w:lvl>
    <w:lvl w:ilvl="6">
      <w:start w:val="0"/>
      <w:numFmt w:val="bullet"/>
      <w:lvlText w:val="•"/>
      <w:lvlJc w:val="left"/>
      <w:pPr>
        <w:ind w:left="3597" w:hanging="360"/>
      </w:pPr>
      <w:rPr>
        <w:rFonts w:hint="default"/>
        <w:lang w:val="en-us" w:eastAsia="en-US" w:bidi="ar-SA"/>
      </w:rPr>
    </w:lvl>
    <w:lvl w:ilvl="7">
      <w:start w:val="0"/>
      <w:numFmt w:val="bullet"/>
      <w:lvlText w:val="•"/>
      <w:lvlJc w:val="left"/>
      <w:pPr>
        <w:ind w:left="4130" w:hanging="360"/>
      </w:pPr>
      <w:rPr>
        <w:rFonts w:hint="default"/>
        <w:lang w:val="en-us" w:eastAsia="en-US" w:bidi="ar-SA"/>
      </w:rPr>
    </w:lvl>
    <w:lvl w:ilvl="8">
      <w:start w:val="0"/>
      <w:numFmt w:val="bullet"/>
      <w:lvlText w:val="•"/>
      <w:lvlJc w:val="left"/>
      <w:pPr>
        <w:ind w:left="4663" w:hanging="360"/>
      </w:pPr>
      <w:rPr>
        <w:rFonts w:hint="default"/>
        <w:lang w:val="en-us" w:eastAsia="en-US" w:bidi="ar-SA"/>
      </w:rPr>
    </w:lvl>
  </w:abstractNum>
  <w:abstractNum w:abstractNumId="85">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3" w:hanging="360"/>
      </w:pPr>
      <w:rPr>
        <w:rFonts w:hint="default"/>
        <w:lang w:val="en-us" w:eastAsia="en-US" w:bidi="ar-SA"/>
      </w:rPr>
    </w:lvl>
    <w:lvl w:ilvl="2">
      <w:start w:val="0"/>
      <w:numFmt w:val="bullet"/>
      <w:lvlText w:val="•"/>
      <w:lvlJc w:val="left"/>
      <w:pPr>
        <w:ind w:left="946" w:hanging="360"/>
      </w:pPr>
      <w:rPr>
        <w:rFonts w:hint="default"/>
        <w:lang w:val="en-us" w:eastAsia="en-US" w:bidi="ar-SA"/>
      </w:rPr>
    </w:lvl>
    <w:lvl w:ilvl="3">
      <w:start w:val="0"/>
      <w:numFmt w:val="bullet"/>
      <w:lvlText w:val="•"/>
      <w:lvlJc w:val="left"/>
      <w:pPr>
        <w:ind w:left="1219" w:hanging="360"/>
      </w:pPr>
      <w:rPr>
        <w:rFonts w:hint="default"/>
        <w:lang w:val="en-us" w:eastAsia="en-US" w:bidi="ar-SA"/>
      </w:rPr>
    </w:lvl>
    <w:lvl w:ilvl="4">
      <w:start w:val="0"/>
      <w:numFmt w:val="bullet"/>
      <w:lvlText w:val="•"/>
      <w:lvlJc w:val="left"/>
      <w:pPr>
        <w:ind w:left="1493" w:hanging="360"/>
      </w:pPr>
      <w:rPr>
        <w:rFonts w:hint="default"/>
        <w:lang w:val="en-us" w:eastAsia="en-US" w:bidi="ar-SA"/>
      </w:rPr>
    </w:lvl>
    <w:lvl w:ilvl="5">
      <w:start w:val="0"/>
      <w:numFmt w:val="bullet"/>
      <w:lvlText w:val="•"/>
      <w:lvlJc w:val="left"/>
      <w:pPr>
        <w:ind w:left="1766" w:hanging="360"/>
      </w:pPr>
      <w:rPr>
        <w:rFonts w:hint="default"/>
        <w:lang w:val="en-us" w:eastAsia="en-US" w:bidi="ar-SA"/>
      </w:rPr>
    </w:lvl>
    <w:lvl w:ilvl="6">
      <w:start w:val="0"/>
      <w:numFmt w:val="bullet"/>
      <w:lvlText w:val="•"/>
      <w:lvlJc w:val="left"/>
      <w:pPr>
        <w:ind w:left="2039" w:hanging="360"/>
      </w:pPr>
      <w:rPr>
        <w:rFonts w:hint="default"/>
        <w:lang w:val="en-us" w:eastAsia="en-US" w:bidi="ar-SA"/>
      </w:rPr>
    </w:lvl>
    <w:lvl w:ilvl="7">
      <w:start w:val="0"/>
      <w:numFmt w:val="bullet"/>
      <w:lvlText w:val="•"/>
      <w:lvlJc w:val="left"/>
      <w:pPr>
        <w:ind w:left="2313" w:hanging="360"/>
      </w:pPr>
      <w:rPr>
        <w:rFonts w:hint="default"/>
        <w:lang w:val="en-us" w:eastAsia="en-US" w:bidi="ar-SA"/>
      </w:rPr>
    </w:lvl>
    <w:lvl w:ilvl="8">
      <w:start w:val="0"/>
      <w:numFmt w:val="bullet"/>
      <w:lvlText w:val="•"/>
      <w:lvlJc w:val="left"/>
      <w:pPr>
        <w:ind w:left="2586" w:hanging="360"/>
      </w:pPr>
      <w:rPr>
        <w:rFonts w:hint="default"/>
        <w:lang w:val="en-us" w:eastAsia="en-US" w:bidi="ar-SA"/>
      </w:rPr>
    </w:lvl>
  </w:abstractNum>
  <w:abstractNum w:abstractNumId="84">
    <w:multiLevelType w:val="hybridMultilevel"/>
    <w:lvl w:ilvl="0">
      <w:start w:val="0"/>
      <w:numFmt w:val="bullet"/>
      <w:lvlText w:val=""/>
      <w:lvlJc w:val="left"/>
      <w:pPr>
        <w:ind w:left="404"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932" w:hanging="360"/>
      </w:pPr>
      <w:rPr>
        <w:rFonts w:hint="default"/>
        <w:lang w:val="en-us" w:eastAsia="en-US" w:bidi="ar-SA"/>
      </w:rPr>
    </w:lvl>
    <w:lvl w:ilvl="2">
      <w:start w:val="0"/>
      <w:numFmt w:val="bullet"/>
      <w:lvlText w:val="•"/>
      <w:lvlJc w:val="left"/>
      <w:pPr>
        <w:ind w:left="1465" w:hanging="360"/>
      </w:pPr>
      <w:rPr>
        <w:rFonts w:hint="default"/>
        <w:lang w:val="en-us" w:eastAsia="en-US" w:bidi="ar-SA"/>
      </w:rPr>
    </w:lvl>
    <w:lvl w:ilvl="3">
      <w:start w:val="0"/>
      <w:numFmt w:val="bullet"/>
      <w:lvlText w:val="•"/>
      <w:lvlJc w:val="left"/>
      <w:pPr>
        <w:ind w:left="1998" w:hanging="360"/>
      </w:pPr>
      <w:rPr>
        <w:rFonts w:hint="default"/>
        <w:lang w:val="en-us" w:eastAsia="en-US" w:bidi="ar-SA"/>
      </w:rPr>
    </w:lvl>
    <w:lvl w:ilvl="4">
      <w:start w:val="0"/>
      <w:numFmt w:val="bullet"/>
      <w:lvlText w:val="•"/>
      <w:lvlJc w:val="left"/>
      <w:pPr>
        <w:ind w:left="2531" w:hanging="360"/>
      </w:pPr>
      <w:rPr>
        <w:rFonts w:hint="default"/>
        <w:lang w:val="en-us" w:eastAsia="en-US" w:bidi="ar-SA"/>
      </w:rPr>
    </w:lvl>
    <w:lvl w:ilvl="5">
      <w:start w:val="0"/>
      <w:numFmt w:val="bullet"/>
      <w:lvlText w:val="•"/>
      <w:lvlJc w:val="left"/>
      <w:pPr>
        <w:ind w:left="3064" w:hanging="360"/>
      </w:pPr>
      <w:rPr>
        <w:rFonts w:hint="default"/>
        <w:lang w:val="en-us" w:eastAsia="en-US" w:bidi="ar-SA"/>
      </w:rPr>
    </w:lvl>
    <w:lvl w:ilvl="6">
      <w:start w:val="0"/>
      <w:numFmt w:val="bullet"/>
      <w:lvlText w:val="•"/>
      <w:lvlJc w:val="left"/>
      <w:pPr>
        <w:ind w:left="3597" w:hanging="360"/>
      </w:pPr>
      <w:rPr>
        <w:rFonts w:hint="default"/>
        <w:lang w:val="en-us" w:eastAsia="en-US" w:bidi="ar-SA"/>
      </w:rPr>
    </w:lvl>
    <w:lvl w:ilvl="7">
      <w:start w:val="0"/>
      <w:numFmt w:val="bullet"/>
      <w:lvlText w:val="•"/>
      <w:lvlJc w:val="left"/>
      <w:pPr>
        <w:ind w:left="4130" w:hanging="360"/>
      </w:pPr>
      <w:rPr>
        <w:rFonts w:hint="default"/>
        <w:lang w:val="en-us" w:eastAsia="en-US" w:bidi="ar-SA"/>
      </w:rPr>
    </w:lvl>
    <w:lvl w:ilvl="8">
      <w:start w:val="0"/>
      <w:numFmt w:val="bullet"/>
      <w:lvlText w:val="•"/>
      <w:lvlJc w:val="left"/>
      <w:pPr>
        <w:ind w:left="4663" w:hanging="360"/>
      </w:pPr>
      <w:rPr>
        <w:rFonts w:hint="default"/>
        <w:lang w:val="en-us" w:eastAsia="en-US" w:bidi="ar-SA"/>
      </w:rPr>
    </w:lvl>
  </w:abstractNum>
  <w:abstractNum w:abstractNumId="83">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3" w:hanging="360"/>
      </w:pPr>
      <w:rPr>
        <w:rFonts w:hint="default"/>
        <w:lang w:val="en-us" w:eastAsia="en-US" w:bidi="ar-SA"/>
      </w:rPr>
    </w:lvl>
    <w:lvl w:ilvl="2">
      <w:start w:val="0"/>
      <w:numFmt w:val="bullet"/>
      <w:lvlText w:val="•"/>
      <w:lvlJc w:val="left"/>
      <w:pPr>
        <w:ind w:left="946" w:hanging="360"/>
      </w:pPr>
      <w:rPr>
        <w:rFonts w:hint="default"/>
        <w:lang w:val="en-us" w:eastAsia="en-US" w:bidi="ar-SA"/>
      </w:rPr>
    </w:lvl>
    <w:lvl w:ilvl="3">
      <w:start w:val="0"/>
      <w:numFmt w:val="bullet"/>
      <w:lvlText w:val="•"/>
      <w:lvlJc w:val="left"/>
      <w:pPr>
        <w:ind w:left="1219" w:hanging="360"/>
      </w:pPr>
      <w:rPr>
        <w:rFonts w:hint="default"/>
        <w:lang w:val="en-us" w:eastAsia="en-US" w:bidi="ar-SA"/>
      </w:rPr>
    </w:lvl>
    <w:lvl w:ilvl="4">
      <w:start w:val="0"/>
      <w:numFmt w:val="bullet"/>
      <w:lvlText w:val="•"/>
      <w:lvlJc w:val="left"/>
      <w:pPr>
        <w:ind w:left="1493" w:hanging="360"/>
      </w:pPr>
      <w:rPr>
        <w:rFonts w:hint="default"/>
        <w:lang w:val="en-us" w:eastAsia="en-US" w:bidi="ar-SA"/>
      </w:rPr>
    </w:lvl>
    <w:lvl w:ilvl="5">
      <w:start w:val="0"/>
      <w:numFmt w:val="bullet"/>
      <w:lvlText w:val="•"/>
      <w:lvlJc w:val="left"/>
      <w:pPr>
        <w:ind w:left="1766" w:hanging="360"/>
      </w:pPr>
      <w:rPr>
        <w:rFonts w:hint="default"/>
        <w:lang w:val="en-us" w:eastAsia="en-US" w:bidi="ar-SA"/>
      </w:rPr>
    </w:lvl>
    <w:lvl w:ilvl="6">
      <w:start w:val="0"/>
      <w:numFmt w:val="bullet"/>
      <w:lvlText w:val="•"/>
      <w:lvlJc w:val="left"/>
      <w:pPr>
        <w:ind w:left="2039" w:hanging="360"/>
      </w:pPr>
      <w:rPr>
        <w:rFonts w:hint="default"/>
        <w:lang w:val="en-us" w:eastAsia="en-US" w:bidi="ar-SA"/>
      </w:rPr>
    </w:lvl>
    <w:lvl w:ilvl="7">
      <w:start w:val="0"/>
      <w:numFmt w:val="bullet"/>
      <w:lvlText w:val="•"/>
      <w:lvlJc w:val="left"/>
      <w:pPr>
        <w:ind w:left="2313" w:hanging="360"/>
      </w:pPr>
      <w:rPr>
        <w:rFonts w:hint="default"/>
        <w:lang w:val="en-us" w:eastAsia="en-US" w:bidi="ar-SA"/>
      </w:rPr>
    </w:lvl>
    <w:lvl w:ilvl="8">
      <w:start w:val="0"/>
      <w:numFmt w:val="bullet"/>
      <w:lvlText w:val="•"/>
      <w:lvlJc w:val="left"/>
      <w:pPr>
        <w:ind w:left="2586" w:hanging="360"/>
      </w:pPr>
      <w:rPr>
        <w:rFonts w:hint="default"/>
        <w:lang w:val="en-us" w:eastAsia="en-US" w:bidi="ar-SA"/>
      </w:rPr>
    </w:lvl>
  </w:abstractNum>
  <w:abstractNum w:abstractNumId="82">
    <w:multiLevelType w:val="hybridMultilevel"/>
    <w:lvl w:ilvl="0">
      <w:start w:val="0"/>
      <w:numFmt w:val="bullet"/>
      <w:lvlText w:val=""/>
      <w:lvlJc w:val="left"/>
      <w:pPr>
        <w:ind w:left="404"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932" w:hanging="360"/>
      </w:pPr>
      <w:rPr>
        <w:rFonts w:hint="default"/>
        <w:lang w:val="en-us" w:eastAsia="en-US" w:bidi="ar-SA"/>
      </w:rPr>
    </w:lvl>
    <w:lvl w:ilvl="2">
      <w:start w:val="0"/>
      <w:numFmt w:val="bullet"/>
      <w:lvlText w:val="•"/>
      <w:lvlJc w:val="left"/>
      <w:pPr>
        <w:ind w:left="1465" w:hanging="360"/>
      </w:pPr>
      <w:rPr>
        <w:rFonts w:hint="default"/>
        <w:lang w:val="en-us" w:eastAsia="en-US" w:bidi="ar-SA"/>
      </w:rPr>
    </w:lvl>
    <w:lvl w:ilvl="3">
      <w:start w:val="0"/>
      <w:numFmt w:val="bullet"/>
      <w:lvlText w:val="•"/>
      <w:lvlJc w:val="left"/>
      <w:pPr>
        <w:ind w:left="1998" w:hanging="360"/>
      </w:pPr>
      <w:rPr>
        <w:rFonts w:hint="default"/>
        <w:lang w:val="en-us" w:eastAsia="en-US" w:bidi="ar-SA"/>
      </w:rPr>
    </w:lvl>
    <w:lvl w:ilvl="4">
      <w:start w:val="0"/>
      <w:numFmt w:val="bullet"/>
      <w:lvlText w:val="•"/>
      <w:lvlJc w:val="left"/>
      <w:pPr>
        <w:ind w:left="2531" w:hanging="360"/>
      </w:pPr>
      <w:rPr>
        <w:rFonts w:hint="default"/>
        <w:lang w:val="en-us" w:eastAsia="en-US" w:bidi="ar-SA"/>
      </w:rPr>
    </w:lvl>
    <w:lvl w:ilvl="5">
      <w:start w:val="0"/>
      <w:numFmt w:val="bullet"/>
      <w:lvlText w:val="•"/>
      <w:lvlJc w:val="left"/>
      <w:pPr>
        <w:ind w:left="3064" w:hanging="360"/>
      </w:pPr>
      <w:rPr>
        <w:rFonts w:hint="default"/>
        <w:lang w:val="en-us" w:eastAsia="en-US" w:bidi="ar-SA"/>
      </w:rPr>
    </w:lvl>
    <w:lvl w:ilvl="6">
      <w:start w:val="0"/>
      <w:numFmt w:val="bullet"/>
      <w:lvlText w:val="•"/>
      <w:lvlJc w:val="left"/>
      <w:pPr>
        <w:ind w:left="3597" w:hanging="360"/>
      </w:pPr>
      <w:rPr>
        <w:rFonts w:hint="default"/>
        <w:lang w:val="en-us" w:eastAsia="en-US" w:bidi="ar-SA"/>
      </w:rPr>
    </w:lvl>
    <w:lvl w:ilvl="7">
      <w:start w:val="0"/>
      <w:numFmt w:val="bullet"/>
      <w:lvlText w:val="•"/>
      <w:lvlJc w:val="left"/>
      <w:pPr>
        <w:ind w:left="4130" w:hanging="360"/>
      </w:pPr>
      <w:rPr>
        <w:rFonts w:hint="default"/>
        <w:lang w:val="en-us" w:eastAsia="en-US" w:bidi="ar-SA"/>
      </w:rPr>
    </w:lvl>
    <w:lvl w:ilvl="8">
      <w:start w:val="0"/>
      <w:numFmt w:val="bullet"/>
      <w:lvlText w:val="•"/>
      <w:lvlJc w:val="left"/>
      <w:pPr>
        <w:ind w:left="4663" w:hanging="360"/>
      </w:pPr>
      <w:rPr>
        <w:rFonts w:hint="default"/>
        <w:lang w:val="en-us" w:eastAsia="en-US" w:bidi="ar-SA"/>
      </w:rPr>
    </w:lvl>
  </w:abstractNum>
  <w:abstractNum w:abstractNumId="81">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3" w:hanging="360"/>
      </w:pPr>
      <w:rPr>
        <w:rFonts w:hint="default"/>
        <w:lang w:val="en-us" w:eastAsia="en-US" w:bidi="ar-SA"/>
      </w:rPr>
    </w:lvl>
    <w:lvl w:ilvl="2">
      <w:start w:val="0"/>
      <w:numFmt w:val="bullet"/>
      <w:lvlText w:val="•"/>
      <w:lvlJc w:val="left"/>
      <w:pPr>
        <w:ind w:left="946" w:hanging="360"/>
      </w:pPr>
      <w:rPr>
        <w:rFonts w:hint="default"/>
        <w:lang w:val="en-us" w:eastAsia="en-US" w:bidi="ar-SA"/>
      </w:rPr>
    </w:lvl>
    <w:lvl w:ilvl="3">
      <w:start w:val="0"/>
      <w:numFmt w:val="bullet"/>
      <w:lvlText w:val="•"/>
      <w:lvlJc w:val="left"/>
      <w:pPr>
        <w:ind w:left="1219" w:hanging="360"/>
      </w:pPr>
      <w:rPr>
        <w:rFonts w:hint="default"/>
        <w:lang w:val="en-us" w:eastAsia="en-US" w:bidi="ar-SA"/>
      </w:rPr>
    </w:lvl>
    <w:lvl w:ilvl="4">
      <w:start w:val="0"/>
      <w:numFmt w:val="bullet"/>
      <w:lvlText w:val="•"/>
      <w:lvlJc w:val="left"/>
      <w:pPr>
        <w:ind w:left="1493" w:hanging="360"/>
      </w:pPr>
      <w:rPr>
        <w:rFonts w:hint="default"/>
        <w:lang w:val="en-us" w:eastAsia="en-US" w:bidi="ar-SA"/>
      </w:rPr>
    </w:lvl>
    <w:lvl w:ilvl="5">
      <w:start w:val="0"/>
      <w:numFmt w:val="bullet"/>
      <w:lvlText w:val="•"/>
      <w:lvlJc w:val="left"/>
      <w:pPr>
        <w:ind w:left="1766" w:hanging="360"/>
      </w:pPr>
      <w:rPr>
        <w:rFonts w:hint="default"/>
        <w:lang w:val="en-us" w:eastAsia="en-US" w:bidi="ar-SA"/>
      </w:rPr>
    </w:lvl>
    <w:lvl w:ilvl="6">
      <w:start w:val="0"/>
      <w:numFmt w:val="bullet"/>
      <w:lvlText w:val="•"/>
      <w:lvlJc w:val="left"/>
      <w:pPr>
        <w:ind w:left="2039" w:hanging="360"/>
      </w:pPr>
      <w:rPr>
        <w:rFonts w:hint="default"/>
        <w:lang w:val="en-us" w:eastAsia="en-US" w:bidi="ar-SA"/>
      </w:rPr>
    </w:lvl>
    <w:lvl w:ilvl="7">
      <w:start w:val="0"/>
      <w:numFmt w:val="bullet"/>
      <w:lvlText w:val="•"/>
      <w:lvlJc w:val="left"/>
      <w:pPr>
        <w:ind w:left="2313" w:hanging="360"/>
      </w:pPr>
      <w:rPr>
        <w:rFonts w:hint="default"/>
        <w:lang w:val="en-us" w:eastAsia="en-US" w:bidi="ar-SA"/>
      </w:rPr>
    </w:lvl>
    <w:lvl w:ilvl="8">
      <w:start w:val="0"/>
      <w:numFmt w:val="bullet"/>
      <w:lvlText w:val="•"/>
      <w:lvlJc w:val="left"/>
      <w:pPr>
        <w:ind w:left="2586" w:hanging="360"/>
      </w:pPr>
      <w:rPr>
        <w:rFonts w:hint="default"/>
        <w:lang w:val="en-us" w:eastAsia="en-US" w:bidi="ar-SA"/>
      </w:rPr>
    </w:lvl>
  </w:abstractNum>
  <w:abstractNum w:abstractNumId="80">
    <w:multiLevelType w:val="hybridMultilevel"/>
    <w:lvl w:ilvl="0">
      <w:start w:val="0"/>
      <w:numFmt w:val="bullet"/>
      <w:lvlText w:val=""/>
      <w:lvlJc w:val="left"/>
      <w:pPr>
        <w:ind w:left="403" w:hanging="360"/>
      </w:pPr>
      <w:rPr>
        <w:rFonts w:hint="default" w:ascii="Symbol" w:hAnsi="Symbol" w:eastAsia="Symbol" w:cs="Symbol"/>
        <w:w w:val="100"/>
        <w:lang w:val="en-us" w:eastAsia="en-US" w:bidi="ar-SA"/>
      </w:rPr>
    </w:lvl>
    <w:lvl w:ilvl="1">
      <w:start w:val="0"/>
      <w:numFmt w:val="bullet"/>
      <w:lvlText w:val="•"/>
      <w:lvlJc w:val="left"/>
      <w:pPr>
        <w:ind w:left="933" w:hanging="360"/>
      </w:pPr>
      <w:rPr>
        <w:rFonts w:hint="default"/>
        <w:lang w:val="en-us" w:eastAsia="en-US" w:bidi="ar-SA"/>
      </w:rPr>
    </w:lvl>
    <w:lvl w:ilvl="2">
      <w:start w:val="0"/>
      <w:numFmt w:val="bullet"/>
      <w:lvlText w:val="•"/>
      <w:lvlJc w:val="left"/>
      <w:pPr>
        <w:ind w:left="1466" w:hanging="360"/>
      </w:pPr>
      <w:rPr>
        <w:rFonts w:hint="default"/>
        <w:lang w:val="en-us" w:eastAsia="en-US" w:bidi="ar-SA"/>
      </w:rPr>
    </w:lvl>
    <w:lvl w:ilvl="3">
      <w:start w:val="0"/>
      <w:numFmt w:val="bullet"/>
      <w:lvlText w:val="•"/>
      <w:lvlJc w:val="left"/>
      <w:pPr>
        <w:ind w:left="1999" w:hanging="360"/>
      </w:pPr>
      <w:rPr>
        <w:rFonts w:hint="default"/>
        <w:lang w:val="en-us" w:eastAsia="en-US" w:bidi="ar-SA"/>
      </w:rPr>
    </w:lvl>
    <w:lvl w:ilvl="4">
      <w:start w:val="0"/>
      <w:numFmt w:val="bullet"/>
      <w:lvlText w:val="•"/>
      <w:lvlJc w:val="left"/>
      <w:pPr>
        <w:ind w:left="2532" w:hanging="360"/>
      </w:pPr>
      <w:rPr>
        <w:rFonts w:hint="default"/>
        <w:lang w:val="en-us" w:eastAsia="en-US" w:bidi="ar-SA"/>
      </w:rPr>
    </w:lvl>
    <w:lvl w:ilvl="5">
      <w:start w:val="0"/>
      <w:numFmt w:val="bullet"/>
      <w:lvlText w:val="•"/>
      <w:lvlJc w:val="left"/>
      <w:pPr>
        <w:ind w:left="3065" w:hanging="360"/>
      </w:pPr>
      <w:rPr>
        <w:rFonts w:hint="default"/>
        <w:lang w:val="en-us" w:eastAsia="en-US" w:bidi="ar-SA"/>
      </w:rPr>
    </w:lvl>
    <w:lvl w:ilvl="6">
      <w:start w:val="0"/>
      <w:numFmt w:val="bullet"/>
      <w:lvlText w:val="•"/>
      <w:lvlJc w:val="left"/>
      <w:pPr>
        <w:ind w:left="3598" w:hanging="360"/>
      </w:pPr>
      <w:rPr>
        <w:rFonts w:hint="default"/>
        <w:lang w:val="en-us" w:eastAsia="en-US" w:bidi="ar-SA"/>
      </w:rPr>
    </w:lvl>
    <w:lvl w:ilvl="7">
      <w:start w:val="0"/>
      <w:numFmt w:val="bullet"/>
      <w:lvlText w:val="•"/>
      <w:lvlJc w:val="left"/>
      <w:pPr>
        <w:ind w:left="4131" w:hanging="360"/>
      </w:pPr>
      <w:rPr>
        <w:rFonts w:hint="default"/>
        <w:lang w:val="en-us" w:eastAsia="en-US" w:bidi="ar-SA"/>
      </w:rPr>
    </w:lvl>
    <w:lvl w:ilvl="8">
      <w:start w:val="0"/>
      <w:numFmt w:val="bullet"/>
      <w:lvlText w:val="•"/>
      <w:lvlJc w:val="left"/>
      <w:pPr>
        <w:ind w:left="4664" w:hanging="360"/>
      </w:pPr>
      <w:rPr>
        <w:rFonts w:hint="default"/>
        <w:lang w:val="en-us" w:eastAsia="en-US" w:bidi="ar-SA"/>
      </w:rPr>
    </w:lvl>
  </w:abstractNum>
  <w:abstractNum w:abstractNumId="79">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4" w:hanging="360"/>
      </w:pPr>
      <w:rPr>
        <w:rFonts w:hint="default"/>
        <w:lang w:val="en-us" w:eastAsia="en-US" w:bidi="ar-SA"/>
      </w:rPr>
    </w:lvl>
    <w:lvl w:ilvl="2">
      <w:start w:val="0"/>
      <w:numFmt w:val="bullet"/>
      <w:lvlText w:val="•"/>
      <w:lvlJc w:val="left"/>
      <w:pPr>
        <w:ind w:left="949" w:hanging="360"/>
      </w:pPr>
      <w:rPr>
        <w:rFonts w:hint="default"/>
        <w:lang w:val="en-us" w:eastAsia="en-US" w:bidi="ar-SA"/>
      </w:rPr>
    </w:lvl>
    <w:lvl w:ilvl="3">
      <w:start w:val="0"/>
      <w:numFmt w:val="bullet"/>
      <w:lvlText w:val="•"/>
      <w:lvlJc w:val="left"/>
      <w:pPr>
        <w:ind w:left="1224" w:hanging="360"/>
      </w:pPr>
      <w:rPr>
        <w:rFonts w:hint="default"/>
        <w:lang w:val="en-us" w:eastAsia="en-US" w:bidi="ar-SA"/>
      </w:rPr>
    </w:lvl>
    <w:lvl w:ilvl="4">
      <w:start w:val="0"/>
      <w:numFmt w:val="bullet"/>
      <w:lvlText w:val="•"/>
      <w:lvlJc w:val="left"/>
      <w:pPr>
        <w:ind w:left="1499" w:hanging="360"/>
      </w:pPr>
      <w:rPr>
        <w:rFonts w:hint="default"/>
        <w:lang w:val="en-us" w:eastAsia="en-US" w:bidi="ar-SA"/>
      </w:rPr>
    </w:lvl>
    <w:lvl w:ilvl="5">
      <w:start w:val="0"/>
      <w:numFmt w:val="bullet"/>
      <w:lvlText w:val="•"/>
      <w:lvlJc w:val="left"/>
      <w:pPr>
        <w:ind w:left="1774" w:hanging="360"/>
      </w:pPr>
      <w:rPr>
        <w:rFonts w:hint="default"/>
        <w:lang w:val="en-us" w:eastAsia="en-US" w:bidi="ar-SA"/>
      </w:rPr>
    </w:lvl>
    <w:lvl w:ilvl="6">
      <w:start w:val="0"/>
      <w:numFmt w:val="bullet"/>
      <w:lvlText w:val="•"/>
      <w:lvlJc w:val="left"/>
      <w:pPr>
        <w:ind w:left="2048" w:hanging="360"/>
      </w:pPr>
      <w:rPr>
        <w:rFonts w:hint="default"/>
        <w:lang w:val="en-us" w:eastAsia="en-US" w:bidi="ar-SA"/>
      </w:rPr>
    </w:lvl>
    <w:lvl w:ilvl="7">
      <w:start w:val="0"/>
      <w:numFmt w:val="bullet"/>
      <w:lvlText w:val="•"/>
      <w:lvlJc w:val="left"/>
      <w:pPr>
        <w:ind w:left="2323" w:hanging="360"/>
      </w:pPr>
      <w:rPr>
        <w:rFonts w:hint="default"/>
        <w:lang w:val="en-us" w:eastAsia="en-US" w:bidi="ar-SA"/>
      </w:rPr>
    </w:lvl>
    <w:lvl w:ilvl="8">
      <w:start w:val="0"/>
      <w:numFmt w:val="bullet"/>
      <w:lvlText w:val="•"/>
      <w:lvlJc w:val="left"/>
      <w:pPr>
        <w:ind w:left="2598" w:hanging="360"/>
      </w:pPr>
      <w:rPr>
        <w:rFonts w:hint="default"/>
        <w:lang w:val="en-us" w:eastAsia="en-US" w:bidi="ar-SA"/>
      </w:rPr>
    </w:lvl>
  </w:abstractNum>
  <w:abstractNum w:abstractNumId="78">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933" w:hanging="360"/>
      </w:pPr>
      <w:rPr>
        <w:rFonts w:hint="default"/>
        <w:lang w:val="en-us" w:eastAsia="en-US" w:bidi="ar-SA"/>
      </w:rPr>
    </w:lvl>
    <w:lvl w:ilvl="2">
      <w:start w:val="0"/>
      <w:numFmt w:val="bullet"/>
      <w:lvlText w:val="•"/>
      <w:lvlJc w:val="left"/>
      <w:pPr>
        <w:ind w:left="1466" w:hanging="360"/>
      </w:pPr>
      <w:rPr>
        <w:rFonts w:hint="default"/>
        <w:lang w:val="en-us" w:eastAsia="en-US" w:bidi="ar-SA"/>
      </w:rPr>
    </w:lvl>
    <w:lvl w:ilvl="3">
      <w:start w:val="0"/>
      <w:numFmt w:val="bullet"/>
      <w:lvlText w:val="•"/>
      <w:lvlJc w:val="left"/>
      <w:pPr>
        <w:ind w:left="1999" w:hanging="360"/>
      </w:pPr>
      <w:rPr>
        <w:rFonts w:hint="default"/>
        <w:lang w:val="en-us" w:eastAsia="en-US" w:bidi="ar-SA"/>
      </w:rPr>
    </w:lvl>
    <w:lvl w:ilvl="4">
      <w:start w:val="0"/>
      <w:numFmt w:val="bullet"/>
      <w:lvlText w:val="•"/>
      <w:lvlJc w:val="left"/>
      <w:pPr>
        <w:ind w:left="2532" w:hanging="360"/>
      </w:pPr>
      <w:rPr>
        <w:rFonts w:hint="default"/>
        <w:lang w:val="en-us" w:eastAsia="en-US" w:bidi="ar-SA"/>
      </w:rPr>
    </w:lvl>
    <w:lvl w:ilvl="5">
      <w:start w:val="0"/>
      <w:numFmt w:val="bullet"/>
      <w:lvlText w:val="•"/>
      <w:lvlJc w:val="left"/>
      <w:pPr>
        <w:ind w:left="3065" w:hanging="360"/>
      </w:pPr>
      <w:rPr>
        <w:rFonts w:hint="default"/>
        <w:lang w:val="en-us" w:eastAsia="en-US" w:bidi="ar-SA"/>
      </w:rPr>
    </w:lvl>
    <w:lvl w:ilvl="6">
      <w:start w:val="0"/>
      <w:numFmt w:val="bullet"/>
      <w:lvlText w:val="•"/>
      <w:lvlJc w:val="left"/>
      <w:pPr>
        <w:ind w:left="3598" w:hanging="360"/>
      </w:pPr>
      <w:rPr>
        <w:rFonts w:hint="default"/>
        <w:lang w:val="en-us" w:eastAsia="en-US" w:bidi="ar-SA"/>
      </w:rPr>
    </w:lvl>
    <w:lvl w:ilvl="7">
      <w:start w:val="0"/>
      <w:numFmt w:val="bullet"/>
      <w:lvlText w:val="•"/>
      <w:lvlJc w:val="left"/>
      <w:pPr>
        <w:ind w:left="4131" w:hanging="360"/>
      </w:pPr>
      <w:rPr>
        <w:rFonts w:hint="default"/>
        <w:lang w:val="en-us" w:eastAsia="en-US" w:bidi="ar-SA"/>
      </w:rPr>
    </w:lvl>
    <w:lvl w:ilvl="8">
      <w:start w:val="0"/>
      <w:numFmt w:val="bullet"/>
      <w:lvlText w:val="•"/>
      <w:lvlJc w:val="left"/>
      <w:pPr>
        <w:ind w:left="4664" w:hanging="360"/>
      </w:pPr>
      <w:rPr>
        <w:rFonts w:hint="default"/>
        <w:lang w:val="en-us" w:eastAsia="en-US" w:bidi="ar-SA"/>
      </w:rPr>
    </w:lvl>
  </w:abstractNum>
  <w:abstractNum w:abstractNumId="77">
    <w:multiLevelType w:val="hybridMultilevel"/>
    <w:lvl w:ilvl="0">
      <w:start w:val="0"/>
      <w:numFmt w:val="bullet"/>
      <w:lvlText w:val=""/>
      <w:lvlJc w:val="left"/>
      <w:pPr>
        <w:ind w:left="40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4" w:hanging="360"/>
      </w:pPr>
      <w:rPr>
        <w:rFonts w:hint="default"/>
        <w:lang w:val="en-us" w:eastAsia="en-US" w:bidi="ar-SA"/>
      </w:rPr>
    </w:lvl>
    <w:lvl w:ilvl="2">
      <w:start w:val="0"/>
      <w:numFmt w:val="bullet"/>
      <w:lvlText w:val="•"/>
      <w:lvlJc w:val="left"/>
      <w:pPr>
        <w:ind w:left="949" w:hanging="360"/>
      </w:pPr>
      <w:rPr>
        <w:rFonts w:hint="default"/>
        <w:lang w:val="en-us" w:eastAsia="en-US" w:bidi="ar-SA"/>
      </w:rPr>
    </w:lvl>
    <w:lvl w:ilvl="3">
      <w:start w:val="0"/>
      <w:numFmt w:val="bullet"/>
      <w:lvlText w:val="•"/>
      <w:lvlJc w:val="left"/>
      <w:pPr>
        <w:ind w:left="1224" w:hanging="360"/>
      </w:pPr>
      <w:rPr>
        <w:rFonts w:hint="default"/>
        <w:lang w:val="en-us" w:eastAsia="en-US" w:bidi="ar-SA"/>
      </w:rPr>
    </w:lvl>
    <w:lvl w:ilvl="4">
      <w:start w:val="0"/>
      <w:numFmt w:val="bullet"/>
      <w:lvlText w:val="•"/>
      <w:lvlJc w:val="left"/>
      <w:pPr>
        <w:ind w:left="1499" w:hanging="360"/>
      </w:pPr>
      <w:rPr>
        <w:rFonts w:hint="default"/>
        <w:lang w:val="en-us" w:eastAsia="en-US" w:bidi="ar-SA"/>
      </w:rPr>
    </w:lvl>
    <w:lvl w:ilvl="5">
      <w:start w:val="0"/>
      <w:numFmt w:val="bullet"/>
      <w:lvlText w:val="•"/>
      <w:lvlJc w:val="left"/>
      <w:pPr>
        <w:ind w:left="1774" w:hanging="360"/>
      </w:pPr>
      <w:rPr>
        <w:rFonts w:hint="default"/>
        <w:lang w:val="en-us" w:eastAsia="en-US" w:bidi="ar-SA"/>
      </w:rPr>
    </w:lvl>
    <w:lvl w:ilvl="6">
      <w:start w:val="0"/>
      <w:numFmt w:val="bullet"/>
      <w:lvlText w:val="•"/>
      <w:lvlJc w:val="left"/>
      <w:pPr>
        <w:ind w:left="2048" w:hanging="360"/>
      </w:pPr>
      <w:rPr>
        <w:rFonts w:hint="default"/>
        <w:lang w:val="en-us" w:eastAsia="en-US" w:bidi="ar-SA"/>
      </w:rPr>
    </w:lvl>
    <w:lvl w:ilvl="7">
      <w:start w:val="0"/>
      <w:numFmt w:val="bullet"/>
      <w:lvlText w:val="•"/>
      <w:lvlJc w:val="left"/>
      <w:pPr>
        <w:ind w:left="2323" w:hanging="360"/>
      </w:pPr>
      <w:rPr>
        <w:rFonts w:hint="default"/>
        <w:lang w:val="en-us" w:eastAsia="en-US" w:bidi="ar-SA"/>
      </w:rPr>
    </w:lvl>
    <w:lvl w:ilvl="8">
      <w:start w:val="0"/>
      <w:numFmt w:val="bullet"/>
      <w:lvlText w:val="•"/>
      <w:lvlJc w:val="left"/>
      <w:pPr>
        <w:ind w:left="2598" w:hanging="360"/>
      </w:pPr>
      <w:rPr>
        <w:rFonts w:hint="default"/>
        <w:lang w:val="en-us" w:eastAsia="en-US" w:bidi="ar-SA"/>
      </w:rPr>
    </w:lvl>
  </w:abstractNum>
  <w:abstractNum w:abstractNumId="76">
    <w:multiLevelType w:val="hybridMultilevel"/>
    <w:lvl w:ilvl="0">
      <w:start w:val="0"/>
      <w:numFmt w:val="bullet"/>
      <w:lvlText w:val=""/>
      <w:lvlJc w:val="left"/>
      <w:pPr>
        <w:ind w:left="40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933" w:hanging="360"/>
      </w:pPr>
      <w:rPr>
        <w:rFonts w:hint="default"/>
        <w:lang w:val="en-us" w:eastAsia="en-US" w:bidi="ar-SA"/>
      </w:rPr>
    </w:lvl>
    <w:lvl w:ilvl="2">
      <w:start w:val="0"/>
      <w:numFmt w:val="bullet"/>
      <w:lvlText w:val="•"/>
      <w:lvlJc w:val="left"/>
      <w:pPr>
        <w:ind w:left="1466" w:hanging="360"/>
      </w:pPr>
      <w:rPr>
        <w:rFonts w:hint="default"/>
        <w:lang w:val="en-us" w:eastAsia="en-US" w:bidi="ar-SA"/>
      </w:rPr>
    </w:lvl>
    <w:lvl w:ilvl="3">
      <w:start w:val="0"/>
      <w:numFmt w:val="bullet"/>
      <w:lvlText w:val="•"/>
      <w:lvlJc w:val="left"/>
      <w:pPr>
        <w:ind w:left="1999" w:hanging="360"/>
      </w:pPr>
      <w:rPr>
        <w:rFonts w:hint="default"/>
        <w:lang w:val="en-us" w:eastAsia="en-US" w:bidi="ar-SA"/>
      </w:rPr>
    </w:lvl>
    <w:lvl w:ilvl="4">
      <w:start w:val="0"/>
      <w:numFmt w:val="bullet"/>
      <w:lvlText w:val="•"/>
      <w:lvlJc w:val="left"/>
      <w:pPr>
        <w:ind w:left="2532" w:hanging="360"/>
      </w:pPr>
      <w:rPr>
        <w:rFonts w:hint="default"/>
        <w:lang w:val="en-us" w:eastAsia="en-US" w:bidi="ar-SA"/>
      </w:rPr>
    </w:lvl>
    <w:lvl w:ilvl="5">
      <w:start w:val="0"/>
      <w:numFmt w:val="bullet"/>
      <w:lvlText w:val="•"/>
      <w:lvlJc w:val="left"/>
      <w:pPr>
        <w:ind w:left="3065" w:hanging="360"/>
      </w:pPr>
      <w:rPr>
        <w:rFonts w:hint="default"/>
        <w:lang w:val="en-us" w:eastAsia="en-US" w:bidi="ar-SA"/>
      </w:rPr>
    </w:lvl>
    <w:lvl w:ilvl="6">
      <w:start w:val="0"/>
      <w:numFmt w:val="bullet"/>
      <w:lvlText w:val="•"/>
      <w:lvlJc w:val="left"/>
      <w:pPr>
        <w:ind w:left="3598" w:hanging="360"/>
      </w:pPr>
      <w:rPr>
        <w:rFonts w:hint="default"/>
        <w:lang w:val="en-us" w:eastAsia="en-US" w:bidi="ar-SA"/>
      </w:rPr>
    </w:lvl>
    <w:lvl w:ilvl="7">
      <w:start w:val="0"/>
      <w:numFmt w:val="bullet"/>
      <w:lvlText w:val="•"/>
      <w:lvlJc w:val="left"/>
      <w:pPr>
        <w:ind w:left="4131" w:hanging="360"/>
      </w:pPr>
      <w:rPr>
        <w:rFonts w:hint="default"/>
        <w:lang w:val="en-us" w:eastAsia="en-US" w:bidi="ar-SA"/>
      </w:rPr>
    </w:lvl>
    <w:lvl w:ilvl="8">
      <w:start w:val="0"/>
      <w:numFmt w:val="bullet"/>
      <w:lvlText w:val="•"/>
      <w:lvlJc w:val="left"/>
      <w:pPr>
        <w:ind w:left="4664" w:hanging="360"/>
      </w:pPr>
      <w:rPr>
        <w:rFonts w:hint="default"/>
        <w:lang w:val="en-us" w:eastAsia="en-US" w:bidi="ar-SA"/>
      </w:rPr>
    </w:lvl>
  </w:abstractNum>
  <w:abstractNum w:abstractNumId="75">
    <w:multiLevelType w:val="hybridMultilevel"/>
    <w:lvl w:ilvl="0">
      <w:start w:val="0"/>
      <w:numFmt w:val="bullet"/>
      <w:lvlText w:val=""/>
      <w:lvlJc w:val="left"/>
      <w:pPr>
        <w:ind w:left="40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4" w:hanging="360"/>
      </w:pPr>
      <w:rPr>
        <w:rFonts w:hint="default"/>
        <w:lang w:val="en-us" w:eastAsia="en-US" w:bidi="ar-SA"/>
      </w:rPr>
    </w:lvl>
    <w:lvl w:ilvl="2">
      <w:start w:val="0"/>
      <w:numFmt w:val="bullet"/>
      <w:lvlText w:val="•"/>
      <w:lvlJc w:val="left"/>
      <w:pPr>
        <w:ind w:left="949" w:hanging="360"/>
      </w:pPr>
      <w:rPr>
        <w:rFonts w:hint="default"/>
        <w:lang w:val="en-us" w:eastAsia="en-US" w:bidi="ar-SA"/>
      </w:rPr>
    </w:lvl>
    <w:lvl w:ilvl="3">
      <w:start w:val="0"/>
      <w:numFmt w:val="bullet"/>
      <w:lvlText w:val="•"/>
      <w:lvlJc w:val="left"/>
      <w:pPr>
        <w:ind w:left="1224" w:hanging="360"/>
      </w:pPr>
      <w:rPr>
        <w:rFonts w:hint="default"/>
        <w:lang w:val="en-us" w:eastAsia="en-US" w:bidi="ar-SA"/>
      </w:rPr>
    </w:lvl>
    <w:lvl w:ilvl="4">
      <w:start w:val="0"/>
      <w:numFmt w:val="bullet"/>
      <w:lvlText w:val="•"/>
      <w:lvlJc w:val="left"/>
      <w:pPr>
        <w:ind w:left="1499" w:hanging="360"/>
      </w:pPr>
      <w:rPr>
        <w:rFonts w:hint="default"/>
        <w:lang w:val="en-us" w:eastAsia="en-US" w:bidi="ar-SA"/>
      </w:rPr>
    </w:lvl>
    <w:lvl w:ilvl="5">
      <w:start w:val="0"/>
      <w:numFmt w:val="bullet"/>
      <w:lvlText w:val="•"/>
      <w:lvlJc w:val="left"/>
      <w:pPr>
        <w:ind w:left="1774" w:hanging="360"/>
      </w:pPr>
      <w:rPr>
        <w:rFonts w:hint="default"/>
        <w:lang w:val="en-us" w:eastAsia="en-US" w:bidi="ar-SA"/>
      </w:rPr>
    </w:lvl>
    <w:lvl w:ilvl="6">
      <w:start w:val="0"/>
      <w:numFmt w:val="bullet"/>
      <w:lvlText w:val="•"/>
      <w:lvlJc w:val="left"/>
      <w:pPr>
        <w:ind w:left="2048" w:hanging="360"/>
      </w:pPr>
      <w:rPr>
        <w:rFonts w:hint="default"/>
        <w:lang w:val="en-us" w:eastAsia="en-US" w:bidi="ar-SA"/>
      </w:rPr>
    </w:lvl>
    <w:lvl w:ilvl="7">
      <w:start w:val="0"/>
      <w:numFmt w:val="bullet"/>
      <w:lvlText w:val="•"/>
      <w:lvlJc w:val="left"/>
      <w:pPr>
        <w:ind w:left="2323" w:hanging="360"/>
      </w:pPr>
      <w:rPr>
        <w:rFonts w:hint="default"/>
        <w:lang w:val="en-us" w:eastAsia="en-US" w:bidi="ar-SA"/>
      </w:rPr>
    </w:lvl>
    <w:lvl w:ilvl="8">
      <w:start w:val="0"/>
      <w:numFmt w:val="bullet"/>
      <w:lvlText w:val="•"/>
      <w:lvlJc w:val="left"/>
      <w:pPr>
        <w:ind w:left="2598" w:hanging="360"/>
      </w:pPr>
      <w:rPr>
        <w:rFonts w:hint="default"/>
        <w:lang w:val="en-us" w:eastAsia="en-US" w:bidi="ar-SA"/>
      </w:rPr>
    </w:lvl>
  </w:abstractNum>
  <w:abstractNum w:abstractNumId="74">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933" w:hanging="360"/>
      </w:pPr>
      <w:rPr>
        <w:rFonts w:hint="default"/>
        <w:lang w:val="en-us" w:eastAsia="en-US" w:bidi="ar-SA"/>
      </w:rPr>
    </w:lvl>
    <w:lvl w:ilvl="2">
      <w:start w:val="0"/>
      <w:numFmt w:val="bullet"/>
      <w:lvlText w:val="•"/>
      <w:lvlJc w:val="left"/>
      <w:pPr>
        <w:ind w:left="1466" w:hanging="360"/>
      </w:pPr>
      <w:rPr>
        <w:rFonts w:hint="default"/>
        <w:lang w:val="en-us" w:eastAsia="en-US" w:bidi="ar-SA"/>
      </w:rPr>
    </w:lvl>
    <w:lvl w:ilvl="3">
      <w:start w:val="0"/>
      <w:numFmt w:val="bullet"/>
      <w:lvlText w:val="•"/>
      <w:lvlJc w:val="left"/>
      <w:pPr>
        <w:ind w:left="1999" w:hanging="360"/>
      </w:pPr>
      <w:rPr>
        <w:rFonts w:hint="default"/>
        <w:lang w:val="en-us" w:eastAsia="en-US" w:bidi="ar-SA"/>
      </w:rPr>
    </w:lvl>
    <w:lvl w:ilvl="4">
      <w:start w:val="0"/>
      <w:numFmt w:val="bullet"/>
      <w:lvlText w:val="•"/>
      <w:lvlJc w:val="left"/>
      <w:pPr>
        <w:ind w:left="2532" w:hanging="360"/>
      </w:pPr>
      <w:rPr>
        <w:rFonts w:hint="default"/>
        <w:lang w:val="en-us" w:eastAsia="en-US" w:bidi="ar-SA"/>
      </w:rPr>
    </w:lvl>
    <w:lvl w:ilvl="5">
      <w:start w:val="0"/>
      <w:numFmt w:val="bullet"/>
      <w:lvlText w:val="•"/>
      <w:lvlJc w:val="left"/>
      <w:pPr>
        <w:ind w:left="3065" w:hanging="360"/>
      </w:pPr>
      <w:rPr>
        <w:rFonts w:hint="default"/>
        <w:lang w:val="en-us" w:eastAsia="en-US" w:bidi="ar-SA"/>
      </w:rPr>
    </w:lvl>
    <w:lvl w:ilvl="6">
      <w:start w:val="0"/>
      <w:numFmt w:val="bullet"/>
      <w:lvlText w:val="•"/>
      <w:lvlJc w:val="left"/>
      <w:pPr>
        <w:ind w:left="3598" w:hanging="360"/>
      </w:pPr>
      <w:rPr>
        <w:rFonts w:hint="default"/>
        <w:lang w:val="en-us" w:eastAsia="en-US" w:bidi="ar-SA"/>
      </w:rPr>
    </w:lvl>
    <w:lvl w:ilvl="7">
      <w:start w:val="0"/>
      <w:numFmt w:val="bullet"/>
      <w:lvlText w:val="•"/>
      <w:lvlJc w:val="left"/>
      <w:pPr>
        <w:ind w:left="4131" w:hanging="360"/>
      </w:pPr>
      <w:rPr>
        <w:rFonts w:hint="default"/>
        <w:lang w:val="en-us" w:eastAsia="en-US" w:bidi="ar-SA"/>
      </w:rPr>
    </w:lvl>
    <w:lvl w:ilvl="8">
      <w:start w:val="0"/>
      <w:numFmt w:val="bullet"/>
      <w:lvlText w:val="•"/>
      <w:lvlJc w:val="left"/>
      <w:pPr>
        <w:ind w:left="4664" w:hanging="360"/>
      </w:pPr>
      <w:rPr>
        <w:rFonts w:hint="default"/>
        <w:lang w:val="en-us" w:eastAsia="en-US" w:bidi="ar-SA"/>
      </w:rPr>
    </w:lvl>
  </w:abstractNum>
  <w:abstractNum w:abstractNumId="73">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4" w:hanging="360"/>
      </w:pPr>
      <w:rPr>
        <w:rFonts w:hint="default"/>
        <w:lang w:val="en-us" w:eastAsia="en-US" w:bidi="ar-SA"/>
      </w:rPr>
    </w:lvl>
    <w:lvl w:ilvl="2">
      <w:start w:val="0"/>
      <w:numFmt w:val="bullet"/>
      <w:lvlText w:val="•"/>
      <w:lvlJc w:val="left"/>
      <w:pPr>
        <w:ind w:left="949" w:hanging="360"/>
      </w:pPr>
      <w:rPr>
        <w:rFonts w:hint="default"/>
        <w:lang w:val="en-us" w:eastAsia="en-US" w:bidi="ar-SA"/>
      </w:rPr>
    </w:lvl>
    <w:lvl w:ilvl="3">
      <w:start w:val="0"/>
      <w:numFmt w:val="bullet"/>
      <w:lvlText w:val="•"/>
      <w:lvlJc w:val="left"/>
      <w:pPr>
        <w:ind w:left="1224" w:hanging="360"/>
      </w:pPr>
      <w:rPr>
        <w:rFonts w:hint="default"/>
        <w:lang w:val="en-us" w:eastAsia="en-US" w:bidi="ar-SA"/>
      </w:rPr>
    </w:lvl>
    <w:lvl w:ilvl="4">
      <w:start w:val="0"/>
      <w:numFmt w:val="bullet"/>
      <w:lvlText w:val="•"/>
      <w:lvlJc w:val="left"/>
      <w:pPr>
        <w:ind w:left="1499" w:hanging="360"/>
      </w:pPr>
      <w:rPr>
        <w:rFonts w:hint="default"/>
        <w:lang w:val="en-us" w:eastAsia="en-US" w:bidi="ar-SA"/>
      </w:rPr>
    </w:lvl>
    <w:lvl w:ilvl="5">
      <w:start w:val="0"/>
      <w:numFmt w:val="bullet"/>
      <w:lvlText w:val="•"/>
      <w:lvlJc w:val="left"/>
      <w:pPr>
        <w:ind w:left="1774" w:hanging="360"/>
      </w:pPr>
      <w:rPr>
        <w:rFonts w:hint="default"/>
        <w:lang w:val="en-us" w:eastAsia="en-US" w:bidi="ar-SA"/>
      </w:rPr>
    </w:lvl>
    <w:lvl w:ilvl="6">
      <w:start w:val="0"/>
      <w:numFmt w:val="bullet"/>
      <w:lvlText w:val="•"/>
      <w:lvlJc w:val="left"/>
      <w:pPr>
        <w:ind w:left="2048" w:hanging="360"/>
      </w:pPr>
      <w:rPr>
        <w:rFonts w:hint="default"/>
        <w:lang w:val="en-us" w:eastAsia="en-US" w:bidi="ar-SA"/>
      </w:rPr>
    </w:lvl>
    <w:lvl w:ilvl="7">
      <w:start w:val="0"/>
      <w:numFmt w:val="bullet"/>
      <w:lvlText w:val="•"/>
      <w:lvlJc w:val="left"/>
      <w:pPr>
        <w:ind w:left="2323" w:hanging="360"/>
      </w:pPr>
      <w:rPr>
        <w:rFonts w:hint="default"/>
        <w:lang w:val="en-us" w:eastAsia="en-US" w:bidi="ar-SA"/>
      </w:rPr>
    </w:lvl>
    <w:lvl w:ilvl="8">
      <w:start w:val="0"/>
      <w:numFmt w:val="bullet"/>
      <w:lvlText w:val="•"/>
      <w:lvlJc w:val="left"/>
      <w:pPr>
        <w:ind w:left="2598" w:hanging="360"/>
      </w:pPr>
      <w:rPr>
        <w:rFonts w:hint="default"/>
        <w:lang w:val="en-us" w:eastAsia="en-US" w:bidi="ar-SA"/>
      </w:rPr>
    </w:lvl>
  </w:abstractNum>
  <w:abstractNum w:abstractNumId="72">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933" w:hanging="360"/>
      </w:pPr>
      <w:rPr>
        <w:rFonts w:hint="default"/>
        <w:lang w:val="en-us" w:eastAsia="en-US" w:bidi="ar-SA"/>
      </w:rPr>
    </w:lvl>
    <w:lvl w:ilvl="2">
      <w:start w:val="0"/>
      <w:numFmt w:val="bullet"/>
      <w:lvlText w:val="•"/>
      <w:lvlJc w:val="left"/>
      <w:pPr>
        <w:ind w:left="1466" w:hanging="360"/>
      </w:pPr>
      <w:rPr>
        <w:rFonts w:hint="default"/>
        <w:lang w:val="en-us" w:eastAsia="en-US" w:bidi="ar-SA"/>
      </w:rPr>
    </w:lvl>
    <w:lvl w:ilvl="3">
      <w:start w:val="0"/>
      <w:numFmt w:val="bullet"/>
      <w:lvlText w:val="•"/>
      <w:lvlJc w:val="left"/>
      <w:pPr>
        <w:ind w:left="1999" w:hanging="360"/>
      </w:pPr>
      <w:rPr>
        <w:rFonts w:hint="default"/>
        <w:lang w:val="en-us" w:eastAsia="en-US" w:bidi="ar-SA"/>
      </w:rPr>
    </w:lvl>
    <w:lvl w:ilvl="4">
      <w:start w:val="0"/>
      <w:numFmt w:val="bullet"/>
      <w:lvlText w:val="•"/>
      <w:lvlJc w:val="left"/>
      <w:pPr>
        <w:ind w:left="2532" w:hanging="360"/>
      </w:pPr>
      <w:rPr>
        <w:rFonts w:hint="default"/>
        <w:lang w:val="en-us" w:eastAsia="en-US" w:bidi="ar-SA"/>
      </w:rPr>
    </w:lvl>
    <w:lvl w:ilvl="5">
      <w:start w:val="0"/>
      <w:numFmt w:val="bullet"/>
      <w:lvlText w:val="•"/>
      <w:lvlJc w:val="left"/>
      <w:pPr>
        <w:ind w:left="3065" w:hanging="360"/>
      </w:pPr>
      <w:rPr>
        <w:rFonts w:hint="default"/>
        <w:lang w:val="en-us" w:eastAsia="en-US" w:bidi="ar-SA"/>
      </w:rPr>
    </w:lvl>
    <w:lvl w:ilvl="6">
      <w:start w:val="0"/>
      <w:numFmt w:val="bullet"/>
      <w:lvlText w:val="•"/>
      <w:lvlJc w:val="left"/>
      <w:pPr>
        <w:ind w:left="3598" w:hanging="360"/>
      </w:pPr>
      <w:rPr>
        <w:rFonts w:hint="default"/>
        <w:lang w:val="en-us" w:eastAsia="en-US" w:bidi="ar-SA"/>
      </w:rPr>
    </w:lvl>
    <w:lvl w:ilvl="7">
      <w:start w:val="0"/>
      <w:numFmt w:val="bullet"/>
      <w:lvlText w:val="•"/>
      <w:lvlJc w:val="left"/>
      <w:pPr>
        <w:ind w:left="4131" w:hanging="360"/>
      </w:pPr>
      <w:rPr>
        <w:rFonts w:hint="default"/>
        <w:lang w:val="en-us" w:eastAsia="en-US" w:bidi="ar-SA"/>
      </w:rPr>
    </w:lvl>
    <w:lvl w:ilvl="8">
      <w:start w:val="0"/>
      <w:numFmt w:val="bullet"/>
      <w:lvlText w:val="•"/>
      <w:lvlJc w:val="left"/>
      <w:pPr>
        <w:ind w:left="4664" w:hanging="360"/>
      </w:pPr>
      <w:rPr>
        <w:rFonts w:hint="default"/>
        <w:lang w:val="en-us" w:eastAsia="en-US" w:bidi="ar-SA"/>
      </w:rPr>
    </w:lvl>
  </w:abstractNum>
  <w:abstractNum w:abstractNumId="71">
    <w:multiLevelType w:val="hybridMultilevel"/>
    <w:lvl w:ilvl="0">
      <w:start w:val="0"/>
      <w:numFmt w:val="bullet"/>
      <w:lvlText w:val=""/>
      <w:lvlJc w:val="left"/>
      <w:pPr>
        <w:ind w:left="403"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674" w:hanging="360"/>
      </w:pPr>
      <w:rPr>
        <w:rFonts w:hint="default"/>
        <w:lang w:val="en-us" w:eastAsia="en-US" w:bidi="ar-SA"/>
      </w:rPr>
    </w:lvl>
    <w:lvl w:ilvl="2">
      <w:start w:val="0"/>
      <w:numFmt w:val="bullet"/>
      <w:lvlText w:val="•"/>
      <w:lvlJc w:val="left"/>
      <w:pPr>
        <w:ind w:left="949" w:hanging="360"/>
      </w:pPr>
      <w:rPr>
        <w:rFonts w:hint="default"/>
        <w:lang w:val="en-us" w:eastAsia="en-US" w:bidi="ar-SA"/>
      </w:rPr>
    </w:lvl>
    <w:lvl w:ilvl="3">
      <w:start w:val="0"/>
      <w:numFmt w:val="bullet"/>
      <w:lvlText w:val="•"/>
      <w:lvlJc w:val="left"/>
      <w:pPr>
        <w:ind w:left="1224" w:hanging="360"/>
      </w:pPr>
      <w:rPr>
        <w:rFonts w:hint="default"/>
        <w:lang w:val="en-us" w:eastAsia="en-US" w:bidi="ar-SA"/>
      </w:rPr>
    </w:lvl>
    <w:lvl w:ilvl="4">
      <w:start w:val="0"/>
      <w:numFmt w:val="bullet"/>
      <w:lvlText w:val="•"/>
      <w:lvlJc w:val="left"/>
      <w:pPr>
        <w:ind w:left="1499" w:hanging="360"/>
      </w:pPr>
      <w:rPr>
        <w:rFonts w:hint="default"/>
        <w:lang w:val="en-us" w:eastAsia="en-US" w:bidi="ar-SA"/>
      </w:rPr>
    </w:lvl>
    <w:lvl w:ilvl="5">
      <w:start w:val="0"/>
      <w:numFmt w:val="bullet"/>
      <w:lvlText w:val="•"/>
      <w:lvlJc w:val="left"/>
      <w:pPr>
        <w:ind w:left="1774" w:hanging="360"/>
      </w:pPr>
      <w:rPr>
        <w:rFonts w:hint="default"/>
        <w:lang w:val="en-us" w:eastAsia="en-US" w:bidi="ar-SA"/>
      </w:rPr>
    </w:lvl>
    <w:lvl w:ilvl="6">
      <w:start w:val="0"/>
      <w:numFmt w:val="bullet"/>
      <w:lvlText w:val="•"/>
      <w:lvlJc w:val="left"/>
      <w:pPr>
        <w:ind w:left="2048" w:hanging="360"/>
      </w:pPr>
      <w:rPr>
        <w:rFonts w:hint="default"/>
        <w:lang w:val="en-us" w:eastAsia="en-US" w:bidi="ar-SA"/>
      </w:rPr>
    </w:lvl>
    <w:lvl w:ilvl="7">
      <w:start w:val="0"/>
      <w:numFmt w:val="bullet"/>
      <w:lvlText w:val="•"/>
      <w:lvlJc w:val="left"/>
      <w:pPr>
        <w:ind w:left="2323" w:hanging="360"/>
      </w:pPr>
      <w:rPr>
        <w:rFonts w:hint="default"/>
        <w:lang w:val="en-us" w:eastAsia="en-US" w:bidi="ar-SA"/>
      </w:rPr>
    </w:lvl>
    <w:lvl w:ilvl="8">
      <w:start w:val="0"/>
      <w:numFmt w:val="bullet"/>
      <w:lvlText w:val="•"/>
      <w:lvlJc w:val="left"/>
      <w:pPr>
        <w:ind w:left="2598" w:hanging="360"/>
      </w:pPr>
      <w:rPr>
        <w:rFonts w:hint="default"/>
        <w:lang w:val="en-us" w:eastAsia="en-US" w:bidi="ar-SA"/>
      </w:rPr>
    </w:lvl>
  </w:abstractNum>
  <w:abstractNum w:abstractNumId="70">
    <w:multiLevelType w:val="hybridMultilevel"/>
    <w:lvl w:ilvl="0">
      <w:start w:val="0"/>
      <w:numFmt w:val="bullet"/>
      <w:lvlText w:val=""/>
      <w:lvlJc w:val="left"/>
      <w:pPr>
        <w:ind w:left="403"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933" w:hanging="360"/>
      </w:pPr>
      <w:rPr>
        <w:rFonts w:hint="default"/>
        <w:lang w:val="en-us" w:eastAsia="en-US" w:bidi="ar-SA"/>
      </w:rPr>
    </w:lvl>
    <w:lvl w:ilvl="2">
      <w:start w:val="0"/>
      <w:numFmt w:val="bullet"/>
      <w:lvlText w:val="•"/>
      <w:lvlJc w:val="left"/>
      <w:pPr>
        <w:ind w:left="1466" w:hanging="360"/>
      </w:pPr>
      <w:rPr>
        <w:rFonts w:hint="default"/>
        <w:lang w:val="en-us" w:eastAsia="en-US" w:bidi="ar-SA"/>
      </w:rPr>
    </w:lvl>
    <w:lvl w:ilvl="3">
      <w:start w:val="0"/>
      <w:numFmt w:val="bullet"/>
      <w:lvlText w:val="•"/>
      <w:lvlJc w:val="left"/>
      <w:pPr>
        <w:ind w:left="1999" w:hanging="360"/>
      </w:pPr>
      <w:rPr>
        <w:rFonts w:hint="default"/>
        <w:lang w:val="en-us" w:eastAsia="en-US" w:bidi="ar-SA"/>
      </w:rPr>
    </w:lvl>
    <w:lvl w:ilvl="4">
      <w:start w:val="0"/>
      <w:numFmt w:val="bullet"/>
      <w:lvlText w:val="•"/>
      <w:lvlJc w:val="left"/>
      <w:pPr>
        <w:ind w:left="2532" w:hanging="360"/>
      </w:pPr>
      <w:rPr>
        <w:rFonts w:hint="default"/>
        <w:lang w:val="en-us" w:eastAsia="en-US" w:bidi="ar-SA"/>
      </w:rPr>
    </w:lvl>
    <w:lvl w:ilvl="5">
      <w:start w:val="0"/>
      <w:numFmt w:val="bullet"/>
      <w:lvlText w:val="•"/>
      <w:lvlJc w:val="left"/>
      <w:pPr>
        <w:ind w:left="3065" w:hanging="360"/>
      </w:pPr>
      <w:rPr>
        <w:rFonts w:hint="default"/>
        <w:lang w:val="en-us" w:eastAsia="en-US" w:bidi="ar-SA"/>
      </w:rPr>
    </w:lvl>
    <w:lvl w:ilvl="6">
      <w:start w:val="0"/>
      <w:numFmt w:val="bullet"/>
      <w:lvlText w:val="•"/>
      <w:lvlJc w:val="left"/>
      <w:pPr>
        <w:ind w:left="3598" w:hanging="360"/>
      </w:pPr>
      <w:rPr>
        <w:rFonts w:hint="default"/>
        <w:lang w:val="en-us" w:eastAsia="en-US" w:bidi="ar-SA"/>
      </w:rPr>
    </w:lvl>
    <w:lvl w:ilvl="7">
      <w:start w:val="0"/>
      <w:numFmt w:val="bullet"/>
      <w:lvlText w:val="•"/>
      <w:lvlJc w:val="left"/>
      <w:pPr>
        <w:ind w:left="4131" w:hanging="360"/>
      </w:pPr>
      <w:rPr>
        <w:rFonts w:hint="default"/>
        <w:lang w:val="en-us" w:eastAsia="en-US" w:bidi="ar-SA"/>
      </w:rPr>
    </w:lvl>
    <w:lvl w:ilvl="8">
      <w:start w:val="0"/>
      <w:numFmt w:val="bullet"/>
      <w:lvlText w:val="•"/>
      <w:lvlJc w:val="left"/>
      <w:pPr>
        <w:ind w:left="4664" w:hanging="360"/>
      </w:pPr>
      <w:rPr>
        <w:rFonts w:hint="default"/>
        <w:lang w:val="en-us" w:eastAsia="en-US" w:bidi="ar-SA"/>
      </w:rPr>
    </w:lvl>
  </w:abstractNum>
  <w:abstractNum w:abstractNumId="69">
    <w:multiLevelType w:val="hybridMultilevel"/>
    <w:lvl w:ilvl="0">
      <w:start w:val="0"/>
      <w:numFmt w:val="bullet"/>
      <w:lvlText w:val=""/>
      <w:lvlJc w:val="left"/>
      <w:pPr>
        <w:ind w:left="402"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674" w:hanging="360"/>
      </w:pPr>
      <w:rPr>
        <w:rFonts w:hint="default"/>
        <w:lang w:val="en-us" w:eastAsia="en-US" w:bidi="ar-SA"/>
      </w:rPr>
    </w:lvl>
    <w:lvl w:ilvl="2">
      <w:start w:val="0"/>
      <w:numFmt w:val="bullet"/>
      <w:lvlText w:val="•"/>
      <w:lvlJc w:val="left"/>
      <w:pPr>
        <w:ind w:left="949" w:hanging="360"/>
      </w:pPr>
      <w:rPr>
        <w:rFonts w:hint="default"/>
        <w:lang w:val="en-us" w:eastAsia="en-US" w:bidi="ar-SA"/>
      </w:rPr>
    </w:lvl>
    <w:lvl w:ilvl="3">
      <w:start w:val="0"/>
      <w:numFmt w:val="bullet"/>
      <w:lvlText w:val="•"/>
      <w:lvlJc w:val="left"/>
      <w:pPr>
        <w:ind w:left="1224" w:hanging="360"/>
      </w:pPr>
      <w:rPr>
        <w:rFonts w:hint="default"/>
        <w:lang w:val="en-us" w:eastAsia="en-US" w:bidi="ar-SA"/>
      </w:rPr>
    </w:lvl>
    <w:lvl w:ilvl="4">
      <w:start w:val="0"/>
      <w:numFmt w:val="bullet"/>
      <w:lvlText w:val="•"/>
      <w:lvlJc w:val="left"/>
      <w:pPr>
        <w:ind w:left="1499" w:hanging="360"/>
      </w:pPr>
      <w:rPr>
        <w:rFonts w:hint="default"/>
        <w:lang w:val="en-us" w:eastAsia="en-US" w:bidi="ar-SA"/>
      </w:rPr>
    </w:lvl>
    <w:lvl w:ilvl="5">
      <w:start w:val="0"/>
      <w:numFmt w:val="bullet"/>
      <w:lvlText w:val="•"/>
      <w:lvlJc w:val="left"/>
      <w:pPr>
        <w:ind w:left="1774" w:hanging="360"/>
      </w:pPr>
      <w:rPr>
        <w:rFonts w:hint="default"/>
        <w:lang w:val="en-us" w:eastAsia="en-US" w:bidi="ar-SA"/>
      </w:rPr>
    </w:lvl>
    <w:lvl w:ilvl="6">
      <w:start w:val="0"/>
      <w:numFmt w:val="bullet"/>
      <w:lvlText w:val="•"/>
      <w:lvlJc w:val="left"/>
      <w:pPr>
        <w:ind w:left="2048" w:hanging="360"/>
      </w:pPr>
      <w:rPr>
        <w:rFonts w:hint="default"/>
        <w:lang w:val="en-us" w:eastAsia="en-US" w:bidi="ar-SA"/>
      </w:rPr>
    </w:lvl>
    <w:lvl w:ilvl="7">
      <w:start w:val="0"/>
      <w:numFmt w:val="bullet"/>
      <w:lvlText w:val="•"/>
      <w:lvlJc w:val="left"/>
      <w:pPr>
        <w:ind w:left="2323" w:hanging="360"/>
      </w:pPr>
      <w:rPr>
        <w:rFonts w:hint="default"/>
        <w:lang w:val="en-us" w:eastAsia="en-US" w:bidi="ar-SA"/>
      </w:rPr>
    </w:lvl>
    <w:lvl w:ilvl="8">
      <w:start w:val="0"/>
      <w:numFmt w:val="bullet"/>
      <w:lvlText w:val="•"/>
      <w:lvlJc w:val="left"/>
      <w:pPr>
        <w:ind w:left="2598" w:hanging="360"/>
      </w:pPr>
      <w:rPr>
        <w:rFonts w:hint="default"/>
        <w:lang w:val="en-us" w:eastAsia="en-US" w:bidi="ar-SA"/>
      </w:rPr>
    </w:lvl>
  </w:abstractNum>
  <w:abstractNum w:abstractNumId="68">
    <w:multiLevelType w:val="hybridMultilevel"/>
    <w:lvl w:ilvl="0">
      <w:start w:val="0"/>
      <w:numFmt w:val="bullet"/>
      <w:lvlText w:val=""/>
      <w:lvlJc w:val="left"/>
      <w:pPr>
        <w:ind w:left="40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933" w:hanging="360"/>
      </w:pPr>
      <w:rPr>
        <w:rFonts w:hint="default"/>
        <w:lang w:val="en-us" w:eastAsia="en-US" w:bidi="ar-SA"/>
      </w:rPr>
    </w:lvl>
    <w:lvl w:ilvl="2">
      <w:start w:val="0"/>
      <w:numFmt w:val="bullet"/>
      <w:lvlText w:val="•"/>
      <w:lvlJc w:val="left"/>
      <w:pPr>
        <w:ind w:left="1466" w:hanging="360"/>
      </w:pPr>
      <w:rPr>
        <w:rFonts w:hint="default"/>
        <w:lang w:val="en-us" w:eastAsia="en-US" w:bidi="ar-SA"/>
      </w:rPr>
    </w:lvl>
    <w:lvl w:ilvl="3">
      <w:start w:val="0"/>
      <w:numFmt w:val="bullet"/>
      <w:lvlText w:val="•"/>
      <w:lvlJc w:val="left"/>
      <w:pPr>
        <w:ind w:left="1999" w:hanging="360"/>
      </w:pPr>
      <w:rPr>
        <w:rFonts w:hint="default"/>
        <w:lang w:val="en-us" w:eastAsia="en-US" w:bidi="ar-SA"/>
      </w:rPr>
    </w:lvl>
    <w:lvl w:ilvl="4">
      <w:start w:val="0"/>
      <w:numFmt w:val="bullet"/>
      <w:lvlText w:val="•"/>
      <w:lvlJc w:val="left"/>
      <w:pPr>
        <w:ind w:left="2532" w:hanging="360"/>
      </w:pPr>
      <w:rPr>
        <w:rFonts w:hint="default"/>
        <w:lang w:val="en-us" w:eastAsia="en-US" w:bidi="ar-SA"/>
      </w:rPr>
    </w:lvl>
    <w:lvl w:ilvl="5">
      <w:start w:val="0"/>
      <w:numFmt w:val="bullet"/>
      <w:lvlText w:val="•"/>
      <w:lvlJc w:val="left"/>
      <w:pPr>
        <w:ind w:left="3065" w:hanging="360"/>
      </w:pPr>
      <w:rPr>
        <w:rFonts w:hint="default"/>
        <w:lang w:val="en-us" w:eastAsia="en-US" w:bidi="ar-SA"/>
      </w:rPr>
    </w:lvl>
    <w:lvl w:ilvl="6">
      <w:start w:val="0"/>
      <w:numFmt w:val="bullet"/>
      <w:lvlText w:val="•"/>
      <w:lvlJc w:val="left"/>
      <w:pPr>
        <w:ind w:left="3598" w:hanging="360"/>
      </w:pPr>
      <w:rPr>
        <w:rFonts w:hint="default"/>
        <w:lang w:val="en-us" w:eastAsia="en-US" w:bidi="ar-SA"/>
      </w:rPr>
    </w:lvl>
    <w:lvl w:ilvl="7">
      <w:start w:val="0"/>
      <w:numFmt w:val="bullet"/>
      <w:lvlText w:val="•"/>
      <w:lvlJc w:val="left"/>
      <w:pPr>
        <w:ind w:left="4131" w:hanging="360"/>
      </w:pPr>
      <w:rPr>
        <w:rFonts w:hint="default"/>
        <w:lang w:val="en-us" w:eastAsia="en-US" w:bidi="ar-SA"/>
      </w:rPr>
    </w:lvl>
    <w:lvl w:ilvl="8">
      <w:start w:val="0"/>
      <w:numFmt w:val="bullet"/>
      <w:lvlText w:val="•"/>
      <w:lvlJc w:val="left"/>
      <w:pPr>
        <w:ind w:left="4664" w:hanging="360"/>
      </w:pPr>
      <w:rPr>
        <w:rFonts w:hint="default"/>
        <w:lang w:val="en-us" w:eastAsia="en-US" w:bidi="ar-SA"/>
      </w:rPr>
    </w:lvl>
  </w:abstractNum>
  <w:abstractNum w:abstractNumId="67">
    <w:multiLevelType w:val="hybridMultilevel"/>
    <w:lvl w:ilvl="0">
      <w:start w:val="0"/>
      <w:numFmt w:val="bullet"/>
      <w:lvlText w:val=""/>
      <w:lvlJc w:val="left"/>
      <w:pPr>
        <w:ind w:left="40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674" w:hanging="360"/>
      </w:pPr>
      <w:rPr>
        <w:rFonts w:hint="default"/>
        <w:lang w:val="en-us" w:eastAsia="en-US" w:bidi="ar-SA"/>
      </w:rPr>
    </w:lvl>
    <w:lvl w:ilvl="2">
      <w:start w:val="0"/>
      <w:numFmt w:val="bullet"/>
      <w:lvlText w:val="•"/>
      <w:lvlJc w:val="left"/>
      <w:pPr>
        <w:ind w:left="949" w:hanging="360"/>
      </w:pPr>
      <w:rPr>
        <w:rFonts w:hint="default"/>
        <w:lang w:val="en-us" w:eastAsia="en-US" w:bidi="ar-SA"/>
      </w:rPr>
    </w:lvl>
    <w:lvl w:ilvl="3">
      <w:start w:val="0"/>
      <w:numFmt w:val="bullet"/>
      <w:lvlText w:val="•"/>
      <w:lvlJc w:val="left"/>
      <w:pPr>
        <w:ind w:left="1224" w:hanging="360"/>
      </w:pPr>
      <w:rPr>
        <w:rFonts w:hint="default"/>
        <w:lang w:val="en-us" w:eastAsia="en-US" w:bidi="ar-SA"/>
      </w:rPr>
    </w:lvl>
    <w:lvl w:ilvl="4">
      <w:start w:val="0"/>
      <w:numFmt w:val="bullet"/>
      <w:lvlText w:val="•"/>
      <w:lvlJc w:val="left"/>
      <w:pPr>
        <w:ind w:left="1499" w:hanging="360"/>
      </w:pPr>
      <w:rPr>
        <w:rFonts w:hint="default"/>
        <w:lang w:val="en-us" w:eastAsia="en-US" w:bidi="ar-SA"/>
      </w:rPr>
    </w:lvl>
    <w:lvl w:ilvl="5">
      <w:start w:val="0"/>
      <w:numFmt w:val="bullet"/>
      <w:lvlText w:val="•"/>
      <w:lvlJc w:val="left"/>
      <w:pPr>
        <w:ind w:left="1774" w:hanging="360"/>
      </w:pPr>
      <w:rPr>
        <w:rFonts w:hint="default"/>
        <w:lang w:val="en-us" w:eastAsia="en-US" w:bidi="ar-SA"/>
      </w:rPr>
    </w:lvl>
    <w:lvl w:ilvl="6">
      <w:start w:val="0"/>
      <w:numFmt w:val="bullet"/>
      <w:lvlText w:val="•"/>
      <w:lvlJc w:val="left"/>
      <w:pPr>
        <w:ind w:left="2048" w:hanging="360"/>
      </w:pPr>
      <w:rPr>
        <w:rFonts w:hint="default"/>
        <w:lang w:val="en-us" w:eastAsia="en-US" w:bidi="ar-SA"/>
      </w:rPr>
    </w:lvl>
    <w:lvl w:ilvl="7">
      <w:start w:val="0"/>
      <w:numFmt w:val="bullet"/>
      <w:lvlText w:val="•"/>
      <w:lvlJc w:val="left"/>
      <w:pPr>
        <w:ind w:left="2323" w:hanging="360"/>
      </w:pPr>
      <w:rPr>
        <w:rFonts w:hint="default"/>
        <w:lang w:val="en-us" w:eastAsia="en-US" w:bidi="ar-SA"/>
      </w:rPr>
    </w:lvl>
    <w:lvl w:ilvl="8">
      <w:start w:val="0"/>
      <w:numFmt w:val="bullet"/>
      <w:lvlText w:val="•"/>
      <w:lvlJc w:val="left"/>
      <w:pPr>
        <w:ind w:left="2598" w:hanging="360"/>
      </w:pPr>
      <w:rPr>
        <w:rFonts w:hint="default"/>
        <w:lang w:val="en-us" w:eastAsia="en-US" w:bidi="ar-SA"/>
      </w:rPr>
    </w:lvl>
  </w:abstractNum>
  <w:abstractNum w:abstractNumId="66">
    <w:multiLevelType w:val="hybridMultilevel"/>
    <w:lvl w:ilvl="0">
      <w:start w:val="0"/>
      <w:numFmt w:val="bullet"/>
      <w:lvlText w:val="•"/>
      <w:lvlJc w:val="left"/>
      <w:pPr>
        <w:ind w:left="659" w:hanging="360"/>
      </w:pPr>
      <w:rPr>
        <w:rFonts w:hint="default" w:ascii="Century Gothic" w:hAnsi="Century Gothic" w:eastAsia="Century Gothic" w:cs="Century Gothic"/>
        <w:b w:val="0"/>
        <w:bCs w:val="0"/>
        <w:i w:val="0"/>
        <w:iCs w:val="0"/>
        <w:color w:val="010202"/>
        <w:w w:val="82"/>
        <w:sz w:val="21"/>
        <w:szCs w:val="21"/>
        <w:lang w:val="en-us" w:eastAsia="en-US" w:bidi="ar-SA"/>
      </w:rPr>
    </w:lvl>
    <w:lvl w:ilvl="1">
      <w:start w:val="0"/>
      <w:numFmt w:val="bullet"/>
      <w:lvlText w:val=""/>
      <w:lvlJc w:val="left"/>
      <w:pPr>
        <w:ind w:left="83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1324" w:hanging="360"/>
      </w:pPr>
      <w:rPr>
        <w:rFonts w:hint="default"/>
        <w:lang w:val="en-us" w:eastAsia="en-US" w:bidi="ar-SA"/>
      </w:rPr>
    </w:lvl>
    <w:lvl w:ilvl="3">
      <w:start w:val="0"/>
      <w:numFmt w:val="bullet"/>
      <w:lvlText w:val="•"/>
      <w:lvlJc w:val="left"/>
      <w:pPr>
        <w:ind w:left="1808" w:hanging="360"/>
      </w:pPr>
      <w:rPr>
        <w:rFonts w:hint="default"/>
        <w:lang w:val="en-us" w:eastAsia="en-US" w:bidi="ar-SA"/>
      </w:rPr>
    </w:lvl>
    <w:lvl w:ilvl="4">
      <w:start w:val="0"/>
      <w:numFmt w:val="bullet"/>
      <w:lvlText w:val="•"/>
      <w:lvlJc w:val="left"/>
      <w:pPr>
        <w:ind w:left="2292" w:hanging="360"/>
      </w:pPr>
      <w:rPr>
        <w:rFonts w:hint="default"/>
        <w:lang w:val="en-us" w:eastAsia="en-US" w:bidi="ar-SA"/>
      </w:rPr>
    </w:lvl>
    <w:lvl w:ilvl="5">
      <w:start w:val="0"/>
      <w:numFmt w:val="bullet"/>
      <w:lvlText w:val="•"/>
      <w:lvlJc w:val="left"/>
      <w:pPr>
        <w:ind w:left="2776" w:hanging="360"/>
      </w:pPr>
      <w:rPr>
        <w:rFonts w:hint="default"/>
        <w:lang w:val="en-us" w:eastAsia="en-US" w:bidi="ar-SA"/>
      </w:rPr>
    </w:lvl>
    <w:lvl w:ilvl="6">
      <w:start w:val="0"/>
      <w:numFmt w:val="bullet"/>
      <w:lvlText w:val="•"/>
      <w:lvlJc w:val="left"/>
      <w:pPr>
        <w:ind w:left="3261" w:hanging="360"/>
      </w:pPr>
      <w:rPr>
        <w:rFonts w:hint="default"/>
        <w:lang w:val="en-us" w:eastAsia="en-US" w:bidi="ar-SA"/>
      </w:rPr>
    </w:lvl>
    <w:lvl w:ilvl="7">
      <w:start w:val="0"/>
      <w:numFmt w:val="bullet"/>
      <w:lvlText w:val="•"/>
      <w:lvlJc w:val="left"/>
      <w:pPr>
        <w:ind w:left="3745" w:hanging="360"/>
      </w:pPr>
      <w:rPr>
        <w:rFonts w:hint="default"/>
        <w:lang w:val="en-us" w:eastAsia="en-US" w:bidi="ar-SA"/>
      </w:rPr>
    </w:lvl>
    <w:lvl w:ilvl="8">
      <w:start w:val="0"/>
      <w:numFmt w:val="bullet"/>
      <w:lvlText w:val="•"/>
      <w:lvlJc w:val="left"/>
      <w:pPr>
        <w:ind w:left="4229" w:hanging="360"/>
      </w:pPr>
      <w:rPr>
        <w:rFonts w:hint="default"/>
        <w:lang w:val="en-us" w:eastAsia="en-US" w:bidi="ar-SA"/>
      </w:rPr>
    </w:lvl>
  </w:abstractNum>
  <w:abstractNum w:abstractNumId="65">
    <w:multiLevelType w:val="hybridMultilevel"/>
    <w:lvl w:ilvl="0">
      <w:start w:val="1"/>
      <w:numFmt w:val="decimal"/>
      <w:lvlText w:val="%1."/>
      <w:lvlJc w:val="left"/>
      <w:pPr>
        <w:ind w:left="839" w:hanging="360"/>
        <w:jc w:val="right"/>
      </w:pPr>
      <w:rPr>
        <w:rFonts w:hint="default" w:ascii="Times New Roman" w:hAnsi="Times New Roman" w:eastAsia="Times New Roman" w:cs="Times New Roman"/>
        <w:b/>
        <w:bCs/>
        <w:i w:val="0"/>
        <w:iCs w:val="0"/>
        <w:color w:val="010202"/>
        <w:w w:val="100"/>
        <w:sz w:val="22"/>
        <w:szCs w:val="22"/>
        <w:lang w:val="en-us" w:eastAsia="en-US" w:bidi="ar-SA"/>
      </w:rPr>
    </w:lvl>
    <w:lvl w:ilvl="1">
      <w:start w:val="0"/>
      <w:numFmt w:val="bullet"/>
      <w:lvlText w:val="•"/>
      <w:lvlJc w:val="left"/>
      <w:pPr>
        <w:ind w:left="1274" w:hanging="360"/>
      </w:pPr>
      <w:rPr>
        <w:rFonts w:hint="default"/>
        <w:lang w:val="en-us" w:eastAsia="en-US" w:bidi="ar-SA"/>
      </w:rPr>
    </w:lvl>
    <w:lvl w:ilvl="2">
      <w:start w:val="0"/>
      <w:numFmt w:val="bullet"/>
      <w:lvlText w:val="•"/>
      <w:lvlJc w:val="left"/>
      <w:pPr>
        <w:ind w:left="1708" w:hanging="360"/>
      </w:pPr>
      <w:rPr>
        <w:rFonts w:hint="default"/>
        <w:lang w:val="en-us" w:eastAsia="en-US" w:bidi="ar-SA"/>
      </w:rPr>
    </w:lvl>
    <w:lvl w:ilvl="3">
      <w:start w:val="0"/>
      <w:numFmt w:val="bullet"/>
      <w:lvlText w:val="•"/>
      <w:lvlJc w:val="left"/>
      <w:pPr>
        <w:ind w:left="2142" w:hanging="360"/>
      </w:pPr>
      <w:rPr>
        <w:rFonts w:hint="default"/>
        <w:lang w:val="en-us" w:eastAsia="en-US" w:bidi="ar-SA"/>
      </w:rPr>
    </w:lvl>
    <w:lvl w:ilvl="4">
      <w:start w:val="0"/>
      <w:numFmt w:val="bullet"/>
      <w:lvlText w:val="•"/>
      <w:lvlJc w:val="left"/>
      <w:pPr>
        <w:ind w:left="2576" w:hanging="360"/>
      </w:pPr>
      <w:rPr>
        <w:rFonts w:hint="default"/>
        <w:lang w:val="en-us" w:eastAsia="en-US" w:bidi="ar-SA"/>
      </w:rPr>
    </w:lvl>
    <w:lvl w:ilvl="5">
      <w:start w:val="0"/>
      <w:numFmt w:val="bullet"/>
      <w:lvlText w:val="•"/>
      <w:lvlJc w:val="left"/>
      <w:pPr>
        <w:ind w:left="3010" w:hanging="360"/>
      </w:pPr>
      <w:rPr>
        <w:rFonts w:hint="default"/>
        <w:lang w:val="en-us" w:eastAsia="en-US" w:bidi="ar-SA"/>
      </w:rPr>
    </w:lvl>
    <w:lvl w:ilvl="6">
      <w:start w:val="0"/>
      <w:numFmt w:val="bullet"/>
      <w:lvlText w:val="•"/>
      <w:lvlJc w:val="left"/>
      <w:pPr>
        <w:ind w:left="3444" w:hanging="360"/>
      </w:pPr>
      <w:rPr>
        <w:rFonts w:hint="default"/>
        <w:lang w:val="en-us" w:eastAsia="en-US" w:bidi="ar-SA"/>
      </w:rPr>
    </w:lvl>
    <w:lvl w:ilvl="7">
      <w:start w:val="0"/>
      <w:numFmt w:val="bullet"/>
      <w:lvlText w:val="•"/>
      <w:lvlJc w:val="left"/>
      <w:pPr>
        <w:ind w:left="3878" w:hanging="360"/>
      </w:pPr>
      <w:rPr>
        <w:rFonts w:hint="default"/>
        <w:lang w:val="en-us" w:eastAsia="en-US" w:bidi="ar-SA"/>
      </w:rPr>
    </w:lvl>
    <w:lvl w:ilvl="8">
      <w:start w:val="0"/>
      <w:numFmt w:val="bullet"/>
      <w:lvlText w:val="•"/>
      <w:lvlJc w:val="left"/>
      <w:pPr>
        <w:ind w:left="4312" w:hanging="360"/>
      </w:pPr>
      <w:rPr>
        <w:rFonts w:hint="default"/>
        <w:lang w:val="en-us" w:eastAsia="en-US" w:bidi="ar-SA"/>
      </w:rPr>
    </w:lvl>
  </w:abstractNum>
  <w:abstractNum w:abstractNumId="64">
    <w:multiLevelType w:val="hybridMultilevel"/>
    <w:lvl w:ilvl="0">
      <w:start w:val="0"/>
      <w:numFmt w:val="bullet"/>
      <w:lvlText w:val="•"/>
      <w:lvlJc w:val="left"/>
      <w:pPr>
        <w:ind w:left="359" w:hanging="360"/>
      </w:pPr>
      <w:rPr>
        <w:rFonts w:hint="default" w:ascii="Century Gothic" w:hAnsi="Century Gothic" w:eastAsia="Century Gothic" w:cs="Century Gothic"/>
        <w:b w:val="0"/>
        <w:bCs w:val="0"/>
        <w:i w:val="0"/>
        <w:iCs w:val="0"/>
        <w:color w:val="010202"/>
        <w:w w:val="82"/>
        <w:sz w:val="21"/>
        <w:szCs w:val="21"/>
        <w:lang w:val="en-us" w:eastAsia="en-US" w:bidi="ar-SA"/>
      </w:rPr>
    </w:lvl>
    <w:lvl w:ilvl="1">
      <w:start w:val="0"/>
      <w:numFmt w:val="bullet"/>
      <w:lvlText w:val="•"/>
      <w:lvlJc w:val="left"/>
      <w:pPr>
        <w:ind w:left="789" w:hanging="360"/>
      </w:pPr>
      <w:rPr>
        <w:rFonts w:hint="default"/>
        <w:lang w:val="en-us" w:eastAsia="en-US" w:bidi="ar-SA"/>
      </w:rPr>
    </w:lvl>
    <w:lvl w:ilvl="2">
      <w:start w:val="0"/>
      <w:numFmt w:val="bullet"/>
      <w:lvlText w:val="•"/>
      <w:lvlJc w:val="left"/>
      <w:pPr>
        <w:ind w:left="1218" w:hanging="360"/>
      </w:pPr>
      <w:rPr>
        <w:rFonts w:hint="default"/>
        <w:lang w:val="en-us" w:eastAsia="en-US" w:bidi="ar-SA"/>
      </w:rPr>
    </w:lvl>
    <w:lvl w:ilvl="3">
      <w:start w:val="0"/>
      <w:numFmt w:val="bullet"/>
      <w:lvlText w:val="•"/>
      <w:lvlJc w:val="left"/>
      <w:pPr>
        <w:ind w:left="1647" w:hanging="360"/>
      </w:pPr>
      <w:rPr>
        <w:rFonts w:hint="default"/>
        <w:lang w:val="en-us" w:eastAsia="en-US" w:bidi="ar-SA"/>
      </w:rPr>
    </w:lvl>
    <w:lvl w:ilvl="4">
      <w:start w:val="0"/>
      <w:numFmt w:val="bullet"/>
      <w:lvlText w:val="•"/>
      <w:lvlJc w:val="left"/>
      <w:pPr>
        <w:ind w:left="2076" w:hanging="360"/>
      </w:pPr>
      <w:rPr>
        <w:rFonts w:hint="default"/>
        <w:lang w:val="en-us" w:eastAsia="en-US" w:bidi="ar-SA"/>
      </w:rPr>
    </w:lvl>
    <w:lvl w:ilvl="5">
      <w:start w:val="0"/>
      <w:numFmt w:val="bullet"/>
      <w:lvlText w:val="•"/>
      <w:lvlJc w:val="left"/>
      <w:pPr>
        <w:ind w:left="2505" w:hanging="360"/>
      </w:pPr>
      <w:rPr>
        <w:rFonts w:hint="default"/>
        <w:lang w:val="en-us" w:eastAsia="en-US" w:bidi="ar-SA"/>
      </w:rPr>
    </w:lvl>
    <w:lvl w:ilvl="6">
      <w:start w:val="0"/>
      <w:numFmt w:val="bullet"/>
      <w:lvlText w:val="•"/>
      <w:lvlJc w:val="left"/>
      <w:pPr>
        <w:ind w:left="2935" w:hanging="360"/>
      </w:pPr>
      <w:rPr>
        <w:rFonts w:hint="default"/>
        <w:lang w:val="en-us" w:eastAsia="en-US" w:bidi="ar-SA"/>
      </w:rPr>
    </w:lvl>
    <w:lvl w:ilvl="7">
      <w:start w:val="0"/>
      <w:numFmt w:val="bullet"/>
      <w:lvlText w:val="•"/>
      <w:lvlJc w:val="left"/>
      <w:pPr>
        <w:ind w:left="3364" w:hanging="360"/>
      </w:pPr>
      <w:rPr>
        <w:rFonts w:hint="default"/>
        <w:lang w:val="en-us" w:eastAsia="en-US" w:bidi="ar-SA"/>
      </w:rPr>
    </w:lvl>
    <w:lvl w:ilvl="8">
      <w:start w:val="0"/>
      <w:numFmt w:val="bullet"/>
      <w:lvlText w:val="•"/>
      <w:lvlJc w:val="left"/>
      <w:pPr>
        <w:ind w:left="3793" w:hanging="360"/>
      </w:pPr>
      <w:rPr>
        <w:rFonts w:hint="default"/>
        <w:lang w:val="en-us" w:eastAsia="en-US" w:bidi="ar-SA"/>
      </w:rPr>
    </w:lvl>
  </w:abstractNum>
  <w:abstractNum w:abstractNumId="63">
    <w:multiLevelType w:val="hybridMultilevel"/>
    <w:lvl w:ilvl="0">
      <w:start w:val="0"/>
      <w:numFmt w:val="bullet"/>
      <w:lvlText w:val="•"/>
      <w:lvlJc w:val="left"/>
      <w:pPr>
        <w:ind w:left="359" w:hanging="360"/>
      </w:pPr>
      <w:rPr>
        <w:rFonts w:hint="default" w:ascii="Century Gothic" w:hAnsi="Century Gothic" w:eastAsia="Century Gothic" w:cs="Century Gothic"/>
        <w:b w:val="0"/>
        <w:bCs w:val="0"/>
        <w:i w:val="0"/>
        <w:iCs w:val="0"/>
        <w:color w:val="010202"/>
        <w:w w:val="82"/>
        <w:sz w:val="21"/>
        <w:szCs w:val="21"/>
        <w:lang w:val="en-us" w:eastAsia="en-US" w:bidi="ar-SA"/>
      </w:rPr>
    </w:lvl>
    <w:lvl w:ilvl="1">
      <w:start w:val="0"/>
      <w:numFmt w:val="bullet"/>
      <w:lvlText w:val="•"/>
      <w:lvlJc w:val="left"/>
      <w:pPr>
        <w:ind w:left="738" w:hanging="360"/>
      </w:pPr>
      <w:rPr>
        <w:rFonts w:hint="default"/>
        <w:lang w:val="en-us" w:eastAsia="en-US" w:bidi="ar-SA"/>
      </w:rPr>
    </w:lvl>
    <w:lvl w:ilvl="2">
      <w:start w:val="0"/>
      <w:numFmt w:val="bullet"/>
      <w:lvlText w:val="•"/>
      <w:lvlJc w:val="left"/>
      <w:pPr>
        <w:ind w:left="1116" w:hanging="360"/>
      </w:pPr>
      <w:rPr>
        <w:rFonts w:hint="default"/>
        <w:lang w:val="en-us" w:eastAsia="en-US" w:bidi="ar-SA"/>
      </w:rPr>
    </w:lvl>
    <w:lvl w:ilvl="3">
      <w:start w:val="0"/>
      <w:numFmt w:val="bullet"/>
      <w:lvlText w:val="•"/>
      <w:lvlJc w:val="left"/>
      <w:pPr>
        <w:ind w:left="1494" w:hanging="360"/>
      </w:pPr>
      <w:rPr>
        <w:rFonts w:hint="default"/>
        <w:lang w:val="en-us" w:eastAsia="en-US" w:bidi="ar-SA"/>
      </w:rPr>
    </w:lvl>
    <w:lvl w:ilvl="4">
      <w:start w:val="0"/>
      <w:numFmt w:val="bullet"/>
      <w:lvlText w:val="•"/>
      <w:lvlJc w:val="left"/>
      <w:pPr>
        <w:ind w:left="1872" w:hanging="360"/>
      </w:pPr>
      <w:rPr>
        <w:rFonts w:hint="default"/>
        <w:lang w:val="en-us" w:eastAsia="en-US" w:bidi="ar-SA"/>
      </w:rPr>
    </w:lvl>
    <w:lvl w:ilvl="5">
      <w:start w:val="0"/>
      <w:numFmt w:val="bullet"/>
      <w:lvlText w:val="•"/>
      <w:lvlJc w:val="left"/>
      <w:pPr>
        <w:ind w:left="2250" w:hanging="360"/>
      </w:pPr>
      <w:rPr>
        <w:rFonts w:hint="default"/>
        <w:lang w:val="en-us" w:eastAsia="en-US" w:bidi="ar-SA"/>
      </w:rPr>
    </w:lvl>
    <w:lvl w:ilvl="6">
      <w:start w:val="0"/>
      <w:numFmt w:val="bullet"/>
      <w:lvlText w:val="•"/>
      <w:lvlJc w:val="left"/>
      <w:pPr>
        <w:ind w:left="2629" w:hanging="360"/>
      </w:pPr>
      <w:rPr>
        <w:rFonts w:hint="default"/>
        <w:lang w:val="en-us" w:eastAsia="en-US" w:bidi="ar-SA"/>
      </w:rPr>
    </w:lvl>
    <w:lvl w:ilvl="7">
      <w:start w:val="0"/>
      <w:numFmt w:val="bullet"/>
      <w:lvlText w:val="•"/>
      <w:lvlJc w:val="left"/>
      <w:pPr>
        <w:ind w:left="3007" w:hanging="360"/>
      </w:pPr>
      <w:rPr>
        <w:rFonts w:hint="default"/>
        <w:lang w:val="en-us" w:eastAsia="en-US" w:bidi="ar-SA"/>
      </w:rPr>
    </w:lvl>
    <w:lvl w:ilvl="8">
      <w:start w:val="0"/>
      <w:numFmt w:val="bullet"/>
      <w:lvlText w:val="•"/>
      <w:lvlJc w:val="left"/>
      <w:pPr>
        <w:ind w:left="3385" w:hanging="360"/>
      </w:pPr>
      <w:rPr>
        <w:rFonts w:hint="default"/>
        <w:lang w:val="en-us" w:eastAsia="en-US" w:bidi="ar-SA"/>
      </w:rPr>
    </w:lvl>
  </w:abstractNum>
  <w:abstractNum w:abstractNumId="62">
    <w:multiLevelType w:val="hybridMultilevel"/>
    <w:lvl w:ilvl="0">
      <w:start w:val="0"/>
      <w:numFmt w:val="bullet"/>
      <w:lvlText w:val="•"/>
      <w:lvlJc w:val="left"/>
      <w:pPr>
        <w:ind w:left="359" w:hanging="360"/>
      </w:pPr>
      <w:rPr>
        <w:rFonts w:hint="default" w:ascii="Century Gothic" w:hAnsi="Century Gothic" w:eastAsia="Century Gothic" w:cs="Century Gothic"/>
        <w:b w:val="0"/>
        <w:bCs w:val="0"/>
        <w:i w:val="0"/>
        <w:iCs w:val="0"/>
        <w:color w:val="010202"/>
        <w:w w:val="82"/>
        <w:sz w:val="21"/>
        <w:szCs w:val="21"/>
        <w:lang w:val="en-us" w:eastAsia="en-US" w:bidi="ar-SA"/>
      </w:rPr>
    </w:lvl>
    <w:lvl w:ilvl="1">
      <w:start w:val="0"/>
      <w:numFmt w:val="bullet"/>
      <w:lvlText w:val="•"/>
      <w:lvlJc w:val="left"/>
      <w:pPr>
        <w:ind w:left="787" w:hanging="360"/>
      </w:pPr>
      <w:rPr>
        <w:rFonts w:hint="default"/>
        <w:lang w:val="en-us" w:eastAsia="en-US" w:bidi="ar-SA"/>
      </w:rPr>
    </w:lvl>
    <w:lvl w:ilvl="2">
      <w:start w:val="0"/>
      <w:numFmt w:val="bullet"/>
      <w:lvlText w:val="•"/>
      <w:lvlJc w:val="left"/>
      <w:pPr>
        <w:ind w:left="1215" w:hanging="360"/>
      </w:pPr>
      <w:rPr>
        <w:rFonts w:hint="default"/>
        <w:lang w:val="en-us" w:eastAsia="en-US" w:bidi="ar-SA"/>
      </w:rPr>
    </w:lvl>
    <w:lvl w:ilvl="3">
      <w:start w:val="0"/>
      <w:numFmt w:val="bullet"/>
      <w:lvlText w:val="•"/>
      <w:lvlJc w:val="left"/>
      <w:pPr>
        <w:ind w:left="1643" w:hanging="360"/>
      </w:pPr>
      <w:rPr>
        <w:rFonts w:hint="default"/>
        <w:lang w:val="en-us" w:eastAsia="en-US" w:bidi="ar-SA"/>
      </w:rPr>
    </w:lvl>
    <w:lvl w:ilvl="4">
      <w:start w:val="0"/>
      <w:numFmt w:val="bullet"/>
      <w:lvlText w:val="•"/>
      <w:lvlJc w:val="left"/>
      <w:pPr>
        <w:ind w:left="2070" w:hanging="360"/>
      </w:pPr>
      <w:rPr>
        <w:rFonts w:hint="default"/>
        <w:lang w:val="en-us" w:eastAsia="en-US" w:bidi="ar-SA"/>
      </w:rPr>
    </w:lvl>
    <w:lvl w:ilvl="5">
      <w:start w:val="0"/>
      <w:numFmt w:val="bullet"/>
      <w:lvlText w:val="•"/>
      <w:lvlJc w:val="left"/>
      <w:pPr>
        <w:ind w:left="2498" w:hanging="360"/>
      </w:pPr>
      <w:rPr>
        <w:rFonts w:hint="default"/>
        <w:lang w:val="en-us" w:eastAsia="en-US" w:bidi="ar-SA"/>
      </w:rPr>
    </w:lvl>
    <w:lvl w:ilvl="6">
      <w:start w:val="0"/>
      <w:numFmt w:val="bullet"/>
      <w:lvlText w:val="•"/>
      <w:lvlJc w:val="left"/>
      <w:pPr>
        <w:ind w:left="2926" w:hanging="360"/>
      </w:pPr>
      <w:rPr>
        <w:rFonts w:hint="default"/>
        <w:lang w:val="en-us" w:eastAsia="en-US" w:bidi="ar-SA"/>
      </w:rPr>
    </w:lvl>
    <w:lvl w:ilvl="7">
      <w:start w:val="0"/>
      <w:numFmt w:val="bullet"/>
      <w:lvlText w:val="•"/>
      <w:lvlJc w:val="left"/>
      <w:pPr>
        <w:ind w:left="3353" w:hanging="360"/>
      </w:pPr>
      <w:rPr>
        <w:rFonts w:hint="default"/>
        <w:lang w:val="en-us" w:eastAsia="en-US" w:bidi="ar-SA"/>
      </w:rPr>
    </w:lvl>
    <w:lvl w:ilvl="8">
      <w:start w:val="0"/>
      <w:numFmt w:val="bullet"/>
      <w:lvlText w:val="•"/>
      <w:lvlJc w:val="left"/>
      <w:pPr>
        <w:ind w:left="3781" w:hanging="360"/>
      </w:pPr>
      <w:rPr>
        <w:rFonts w:hint="default"/>
        <w:lang w:val="en-us" w:eastAsia="en-US" w:bidi="ar-SA"/>
      </w:rPr>
    </w:lvl>
  </w:abstractNum>
  <w:abstractNum w:abstractNumId="61">
    <w:multiLevelType w:val="hybridMultilevel"/>
    <w:lvl w:ilvl="0">
      <w:start w:val="0"/>
      <w:numFmt w:val="bullet"/>
      <w:lvlText w:val=""/>
      <w:lvlJc w:val="left"/>
      <w:pPr>
        <w:ind w:left="899"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1314" w:hanging="360"/>
      </w:pPr>
      <w:rPr>
        <w:rFonts w:hint="default"/>
        <w:lang w:val="en-us" w:eastAsia="en-US" w:bidi="ar-SA"/>
      </w:rPr>
    </w:lvl>
    <w:lvl w:ilvl="2">
      <w:start w:val="0"/>
      <w:numFmt w:val="bullet"/>
      <w:lvlText w:val="•"/>
      <w:lvlJc w:val="left"/>
      <w:pPr>
        <w:ind w:left="1728" w:hanging="360"/>
      </w:pPr>
      <w:rPr>
        <w:rFonts w:hint="default"/>
        <w:lang w:val="en-us" w:eastAsia="en-US" w:bidi="ar-SA"/>
      </w:rPr>
    </w:lvl>
    <w:lvl w:ilvl="3">
      <w:start w:val="0"/>
      <w:numFmt w:val="bullet"/>
      <w:lvlText w:val="•"/>
      <w:lvlJc w:val="left"/>
      <w:pPr>
        <w:ind w:left="2142" w:hanging="360"/>
      </w:pPr>
      <w:rPr>
        <w:rFonts w:hint="default"/>
        <w:lang w:val="en-us" w:eastAsia="en-US" w:bidi="ar-SA"/>
      </w:rPr>
    </w:lvl>
    <w:lvl w:ilvl="4">
      <w:start w:val="0"/>
      <w:numFmt w:val="bullet"/>
      <w:lvlText w:val="•"/>
      <w:lvlJc w:val="left"/>
      <w:pPr>
        <w:ind w:left="2556" w:hanging="360"/>
      </w:pPr>
      <w:rPr>
        <w:rFonts w:hint="default"/>
        <w:lang w:val="en-us" w:eastAsia="en-US" w:bidi="ar-SA"/>
      </w:rPr>
    </w:lvl>
    <w:lvl w:ilvl="5">
      <w:start w:val="0"/>
      <w:numFmt w:val="bullet"/>
      <w:lvlText w:val="•"/>
      <w:lvlJc w:val="left"/>
      <w:pPr>
        <w:ind w:left="2970" w:hanging="360"/>
      </w:pPr>
      <w:rPr>
        <w:rFonts w:hint="default"/>
        <w:lang w:val="en-us" w:eastAsia="en-US" w:bidi="ar-SA"/>
      </w:rPr>
    </w:lvl>
    <w:lvl w:ilvl="6">
      <w:start w:val="0"/>
      <w:numFmt w:val="bullet"/>
      <w:lvlText w:val="•"/>
      <w:lvlJc w:val="left"/>
      <w:pPr>
        <w:ind w:left="3384" w:hanging="360"/>
      </w:pPr>
      <w:rPr>
        <w:rFonts w:hint="default"/>
        <w:lang w:val="en-us" w:eastAsia="en-US" w:bidi="ar-SA"/>
      </w:rPr>
    </w:lvl>
    <w:lvl w:ilvl="7">
      <w:start w:val="0"/>
      <w:numFmt w:val="bullet"/>
      <w:lvlText w:val="•"/>
      <w:lvlJc w:val="left"/>
      <w:pPr>
        <w:ind w:left="3798" w:hanging="360"/>
      </w:pPr>
      <w:rPr>
        <w:rFonts w:hint="default"/>
        <w:lang w:val="en-us" w:eastAsia="en-US" w:bidi="ar-SA"/>
      </w:rPr>
    </w:lvl>
    <w:lvl w:ilvl="8">
      <w:start w:val="0"/>
      <w:numFmt w:val="bullet"/>
      <w:lvlText w:val="•"/>
      <w:lvlJc w:val="left"/>
      <w:pPr>
        <w:ind w:left="4212" w:hanging="360"/>
      </w:pPr>
      <w:rPr>
        <w:rFonts w:hint="default"/>
        <w:lang w:val="en-us" w:eastAsia="en-US" w:bidi="ar-SA"/>
      </w:rPr>
    </w:lvl>
  </w:abstractNum>
  <w:abstractNum w:abstractNumId="60">
    <w:multiLevelType w:val="hybridMultilevel"/>
    <w:lvl w:ilvl="0">
      <w:start w:val="0"/>
      <w:numFmt w:val="bullet"/>
      <w:lvlText w:val=""/>
      <w:lvlJc w:val="left"/>
      <w:pPr>
        <w:ind w:left="8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308" w:hanging="360"/>
      </w:pPr>
      <w:rPr>
        <w:rFonts w:hint="default"/>
        <w:lang w:val="en-us" w:eastAsia="en-US" w:bidi="ar-SA"/>
      </w:rPr>
    </w:lvl>
    <w:lvl w:ilvl="2">
      <w:start w:val="0"/>
      <w:numFmt w:val="bullet"/>
      <w:lvlText w:val="•"/>
      <w:lvlJc w:val="left"/>
      <w:pPr>
        <w:ind w:left="1776" w:hanging="360"/>
      </w:pPr>
      <w:rPr>
        <w:rFonts w:hint="default"/>
        <w:lang w:val="en-us" w:eastAsia="en-US" w:bidi="ar-SA"/>
      </w:rPr>
    </w:lvl>
    <w:lvl w:ilvl="3">
      <w:start w:val="0"/>
      <w:numFmt w:val="bullet"/>
      <w:lvlText w:val="•"/>
      <w:lvlJc w:val="left"/>
      <w:pPr>
        <w:ind w:left="2244" w:hanging="360"/>
      </w:pPr>
      <w:rPr>
        <w:rFonts w:hint="default"/>
        <w:lang w:val="en-us" w:eastAsia="en-US" w:bidi="ar-SA"/>
      </w:rPr>
    </w:lvl>
    <w:lvl w:ilvl="4">
      <w:start w:val="0"/>
      <w:numFmt w:val="bullet"/>
      <w:lvlText w:val="•"/>
      <w:lvlJc w:val="left"/>
      <w:pPr>
        <w:ind w:left="2712" w:hanging="360"/>
      </w:pPr>
      <w:rPr>
        <w:rFonts w:hint="default"/>
        <w:lang w:val="en-us" w:eastAsia="en-US" w:bidi="ar-SA"/>
      </w:rPr>
    </w:lvl>
    <w:lvl w:ilvl="5">
      <w:start w:val="0"/>
      <w:numFmt w:val="bullet"/>
      <w:lvlText w:val="•"/>
      <w:lvlJc w:val="left"/>
      <w:pPr>
        <w:ind w:left="3180" w:hanging="360"/>
      </w:pPr>
      <w:rPr>
        <w:rFonts w:hint="default"/>
        <w:lang w:val="en-us" w:eastAsia="en-US" w:bidi="ar-SA"/>
      </w:rPr>
    </w:lvl>
    <w:lvl w:ilvl="6">
      <w:start w:val="0"/>
      <w:numFmt w:val="bullet"/>
      <w:lvlText w:val="•"/>
      <w:lvlJc w:val="left"/>
      <w:pPr>
        <w:ind w:left="3648" w:hanging="360"/>
      </w:pPr>
      <w:rPr>
        <w:rFonts w:hint="default"/>
        <w:lang w:val="en-us" w:eastAsia="en-US" w:bidi="ar-SA"/>
      </w:rPr>
    </w:lvl>
    <w:lvl w:ilvl="7">
      <w:start w:val="0"/>
      <w:numFmt w:val="bullet"/>
      <w:lvlText w:val="•"/>
      <w:lvlJc w:val="left"/>
      <w:pPr>
        <w:ind w:left="4116" w:hanging="360"/>
      </w:pPr>
      <w:rPr>
        <w:rFonts w:hint="default"/>
        <w:lang w:val="en-us" w:eastAsia="en-US" w:bidi="ar-SA"/>
      </w:rPr>
    </w:lvl>
    <w:lvl w:ilvl="8">
      <w:start w:val="0"/>
      <w:numFmt w:val="bullet"/>
      <w:lvlText w:val="•"/>
      <w:lvlJc w:val="left"/>
      <w:pPr>
        <w:ind w:left="4584" w:hanging="360"/>
      </w:pPr>
      <w:rPr>
        <w:rFonts w:hint="default"/>
        <w:lang w:val="en-us" w:eastAsia="en-US" w:bidi="ar-SA"/>
      </w:rPr>
    </w:lvl>
  </w:abstractNum>
  <w:abstractNum w:abstractNumId="59">
    <w:multiLevelType w:val="hybridMultilevel"/>
    <w:lvl w:ilvl="0">
      <w:start w:val="0"/>
      <w:numFmt w:val="bullet"/>
      <w:lvlText w:val=""/>
      <w:lvlJc w:val="left"/>
      <w:pPr>
        <w:ind w:left="8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308" w:hanging="360"/>
      </w:pPr>
      <w:rPr>
        <w:rFonts w:hint="default"/>
        <w:lang w:val="en-us" w:eastAsia="en-US" w:bidi="ar-SA"/>
      </w:rPr>
    </w:lvl>
    <w:lvl w:ilvl="2">
      <w:start w:val="0"/>
      <w:numFmt w:val="bullet"/>
      <w:lvlText w:val="•"/>
      <w:lvlJc w:val="left"/>
      <w:pPr>
        <w:ind w:left="1776" w:hanging="360"/>
      </w:pPr>
      <w:rPr>
        <w:rFonts w:hint="default"/>
        <w:lang w:val="en-us" w:eastAsia="en-US" w:bidi="ar-SA"/>
      </w:rPr>
    </w:lvl>
    <w:lvl w:ilvl="3">
      <w:start w:val="0"/>
      <w:numFmt w:val="bullet"/>
      <w:lvlText w:val="•"/>
      <w:lvlJc w:val="left"/>
      <w:pPr>
        <w:ind w:left="2244" w:hanging="360"/>
      </w:pPr>
      <w:rPr>
        <w:rFonts w:hint="default"/>
        <w:lang w:val="en-us" w:eastAsia="en-US" w:bidi="ar-SA"/>
      </w:rPr>
    </w:lvl>
    <w:lvl w:ilvl="4">
      <w:start w:val="0"/>
      <w:numFmt w:val="bullet"/>
      <w:lvlText w:val="•"/>
      <w:lvlJc w:val="left"/>
      <w:pPr>
        <w:ind w:left="2712" w:hanging="360"/>
      </w:pPr>
      <w:rPr>
        <w:rFonts w:hint="default"/>
        <w:lang w:val="en-us" w:eastAsia="en-US" w:bidi="ar-SA"/>
      </w:rPr>
    </w:lvl>
    <w:lvl w:ilvl="5">
      <w:start w:val="0"/>
      <w:numFmt w:val="bullet"/>
      <w:lvlText w:val="•"/>
      <w:lvlJc w:val="left"/>
      <w:pPr>
        <w:ind w:left="3180" w:hanging="360"/>
      </w:pPr>
      <w:rPr>
        <w:rFonts w:hint="default"/>
        <w:lang w:val="en-us" w:eastAsia="en-US" w:bidi="ar-SA"/>
      </w:rPr>
    </w:lvl>
    <w:lvl w:ilvl="6">
      <w:start w:val="0"/>
      <w:numFmt w:val="bullet"/>
      <w:lvlText w:val="•"/>
      <w:lvlJc w:val="left"/>
      <w:pPr>
        <w:ind w:left="3648" w:hanging="360"/>
      </w:pPr>
      <w:rPr>
        <w:rFonts w:hint="default"/>
        <w:lang w:val="en-us" w:eastAsia="en-US" w:bidi="ar-SA"/>
      </w:rPr>
    </w:lvl>
    <w:lvl w:ilvl="7">
      <w:start w:val="0"/>
      <w:numFmt w:val="bullet"/>
      <w:lvlText w:val="•"/>
      <w:lvlJc w:val="left"/>
      <w:pPr>
        <w:ind w:left="4116" w:hanging="360"/>
      </w:pPr>
      <w:rPr>
        <w:rFonts w:hint="default"/>
        <w:lang w:val="en-us" w:eastAsia="en-US" w:bidi="ar-SA"/>
      </w:rPr>
    </w:lvl>
    <w:lvl w:ilvl="8">
      <w:start w:val="0"/>
      <w:numFmt w:val="bullet"/>
      <w:lvlText w:val="•"/>
      <w:lvlJc w:val="left"/>
      <w:pPr>
        <w:ind w:left="4584" w:hanging="360"/>
      </w:pPr>
      <w:rPr>
        <w:rFonts w:hint="default"/>
        <w:lang w:val="en-us" w:eastAsia="en-US" w:bidi="ar-SA"/>
      </w:rPr>
    </w:lvl>
  </w:abstractNum>
  <w:abstractNum w:abstractNumId="58">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800" w:hanging="360"/>
      </w:pPr>
      <w:rPr>
        <w:rFonts w:hint="default" w:ascii="Symbol" w:hAnsi="Symbol" w:eastAsia="Symbol" w:cs="Symbol"/>
        <w:b w:val="0"/>
        <w:bCs w:val="0"/>
        <w:i w:val="0"/>
        <w:iCs w:val="0"/>
        <w:color w:val="010202"/>
        <w:w w:val="100"/>
        <w:sz w:val="20"/>
        <w:szCs w:val="20"/>
        <w:lang w:val="en-us" w:eastAsia="en-US" w:bidi="ar-SA"/>
      </w:rPr>
    </w:lvl>
    <w:lvl w:ilvl="2">
      <w:start w:val="0"/>
      <w:numFmt w:val="bullet"/>
      <w:lvlText w:val="•"/>
      <w:lvlJc w:val="left"/>
      <w:pPr>
        <w:ind w:left="1720" w:hanging="360"/>
      </w:pPr>
      <w:rPr>
        <w:rFonts w:hint="default"/>
        <w:lang w:val="en-us" w:eastAsia="en-US" w:bidi="ar-SA"/>
      </w:rPr>
    </w:lvl>
    <w:lvl w:ilvl="3">
      <w:start w:val="0"/>
      <w:numFmt w:val="bullet"/>
      <w:lvlText w:val="•"/>
      <w:lvlJc w:val="left"/>
      <w:pPr>
        <w:ind w:left="2641" w:hanging="360"/>
      </w:pPr>
      <w:rPr>
        <w:rFonts w:hint="default"/>
        <w:lang w:val="en-us" w:eastAsia="en-US" w:bidi="ar-SA"/>
      </w:rPr>
    </w:lvl>
    <w:lvl w:ilvl="4">
      <w:start w:val="0"/>
      <w:numFmt w:val="bullet"/>
      <w:lvlText w:val="•"/>
      <w:lvlJc w:val="left"/>
      <w:pPr>
        <w:ind w:left="3562" w:hanging="360"/>
      </w:pPr>
      <w:rPr>
        <w:rFonts w:hint="default"/>
        <w:lang w:val="en-us" w:eastAsia="en-US" w:bidi="ar-SA"/>
      </w:rPr>
    </w:lvl>
    <w:lvl w:ilvl="5">
      <w:start w:val="0"/>
      <w:numFmt w:val="bullet"/>
      <w:lvlText w:val="•"/>
      <w:lvlJc w:val="left"/>
      <w:pPr>
        <w:ind w:left="4483" w:hanging="360"/>
      </w:pPr>
      <w:rPr>
        <w:rFonts w:hint="default"/>
        <w:lang w:val="en-us" w:eastAsia="en-US" w:bidi="ar-SA"/>
      </w:rPr>
    </w:lvl>
    <w:lvl w:ilvl="6">
      <w:start w:val="0"/>
      <w:numFmt w:val="bullet"/>
      <w:lvlText w:val="•"/>
      <w:lvlJc w:val="left"/>
      <w:pPr>
        <w:ind w:left="5404" w:hanging="360"/>
      </w:pPr>
      <w:rPr>
        <w:rFonts w:hint="default"/>
        <w:lang w:val="en-us" w:eastAsia="en-US" w:bidi="ar-SA"/>
      </w:rPr>
    </w:lvl>
    <w:lvl w:ilvl="7">
      <w:start w:val="0"/>
      <w:numFmt w:val="bullet"/>
      <w:lvlText w:val="•"/>
      <w:lvlJc w:val="left"/>
      <w:pPr>
        <w:ind w:left="6325" w:hanging="360"/>
      </w:pPr>
      <w:rPr>
        <w:rFonts w:hint="default"/>
        <w:lang w:val="en-us" w:eastAsia="en-US" w:bidi="ar-SA"/>
      </w:rPr>
    </w:lvl>
    <w:lvl w:ilvl="8">
      <w:start w:val="0"/>
      <w:numFmt w:val="bullet"/>
      <w:lvlText w:val="•"/>
      <w:lvlJc w:val="left"/>
      <w:pPr>
        <w:ind w:left="7246" w:hanging="360"/>
      </w:pPr>
      <w:rPr>
        <w:rFonts w:hint="default"/>
        <w:lang w:val="en-us" w:eastAsia="en-US" w:bidi="ar-SA"/>
      </w:rPr>
    </w:lvl>
  </w:abstractNum>
  <w:abstractNum w:abstractNumId="57">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304" w:hanging="360"/>
      </w:pPr>
      <w:rPr>
        <w:rFonts w:hint="default"/>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034" w:hanging="360"/>
      </w:pPr>
      <w:rPr>
        <w:rFonts w:hint="default"/>
        <w:lang w:val="en-us" w:eastAsia="en-US" w:bidi="ar-SA"/>
      </w:rPr>
    </w:lvl>
    <w:lvl w:ilvl="4">
      <w:start w:val="0"/>
      <w:numFmt w:val="bullet"/>
      <w:lvlText w:val="•"/>
      <w:lvlJc w:val="left"/>
      <w:pPr>
        <w:ind w:left="3899" w:hanging="360"/>
      </w:pPr>
      <w:rPr>
        <w:rFonts w:hint="default"/>
        <w:lang w:val="en-us" w:eastAsia="en-US" w:bidi="ar-SA"/>
      </w:rPr>
    </w:lvl>
    <w:lvl w:ilvl="5">
      <w:start w:val="0"/>
      <w:numFmt w:val="bullet"/>
      <w:lvlText w:val="•"/>
      <w:lvlJc w:val="left"/>
      <w:pPr>
        <w:ind w:left="4764" w:hanging="360"/>
      </w:pPr>
      <w:rPr>
        <w:rFonts w:hint="default"/>
        <w:lang w:val="en-us" w:eastAsia="en-US" w:bidi="ar-SA"/>
      </w:rPr>
    </w:lvl>
    <w:lvl w:ilvl="6">
      <w:start w:val="0"/>
      <w:numFmt w:val="bullet"/>
      <w:lvlText w:val="•"/>
      <w:lvlJc w:val="left"/>
      <w:pPr>
        <w:ind w:left="5628" w:hanging="360"/>
      </w:pPr>
      <w:rPr>
        <w:rFonts w:hint="default"/>
        <w:lang w:val="en-us" w:eastAsia="en-US" w:bidi="ar-SA"/>
      </w:rPr>
    </w:lvl>
    <w:lvl w:ilvl="7">
      <w:start w:val="0"/>
      <w:numFmt w:val="bullet"/>
      <w:lvlText w:val="•"/>
      <w:lvlJc w:val="left"/>
      <w:pPr>
        <w:ind w:left="6493" w:hanging="360"/>
      </w:pPr>
      <w:rPr>
        <w:rFonts w:hint="default"/>
        <w:lang w:val="en-us" w:eastAsia="en-US" w:bidi="ar-SA"/>
      </w:rPr>
    </w:lvl>
    <w:lvl w:ilvl="8">
      <w:start w:val="0"/>
      <w:numFmt w:val="bullet"/>
      <w:lvlText w:val="•"/>
      <w:lvlJc w:val="left"/>
      <w:pPr>
        <w:ind w:left="7358" w:hanging="360"/>
      </w:pPr>
      <w:rPr>
        <w:rFonts w:hint="default"/>
        <w:lang w:val="en-us" w:eastAsia="en-US" w:bidi="ar-SA"/>
      </w:rPr>
    </w:lvl>
  </w:abstractNum>
  <w:abstractNum w:abstractNumId="56">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304" w:hanging="360"/>
      </w:pPr>
      <w:rPr>
        <w:rFonts w:hint="default"/>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034" w:hanging="360"/>
      </w:pPr>
      <w:rPr>
        <w:rFonts w:hint="default"/>
        <w:lang w:val="en-us" w:eastAsia="en-US" w:bidi="ar-SA"/>
      </w:rPr>
    </w:lvl>
    <w:lvl w:ilvl="4">
      <w:start w:val="0"/>
      <w:numFmt w:val="bullet"/>
      <w:lvlText w:val="•"/>
      <w:lvlJc w:val="left"/>
      <w:pPr>
        <w:ind w:left="3899" w:hanging="360"/>
      </w:pPr>
      <w:rPr>
        <w:rFonts w:hint="default"/>
        <w:lang w:val="en-us" w:eastAsia="en-US" w:bidi="ar-SA"/>
      </w:rPr>
    </w:lvl>
    <w:lvl w:ilvl="5">
      <w:start w:val="0"/>
      <w:numFmt w:val="bullet"/>
      <w:lvlText w:val="•"/>
      <w:lvlJc w:val="left"/>
      <w:pPr>
        <w:ind w:left="4764" w:hanging="360"/>
      </w:pPr>
      <w:rPr>
        <w:rFonts w:hint="default"/>
        <w:lang w:val="en-us" w:eastAsia="en-US" w:bidi="ar-SA"/>
      </w:rPr>
    </w:lvl>
    <w:lvl w:ilvl="6">
      <w:start w:val="0"/>
      <w:numFmt w:val="bullet"/>
      <w:lvlText w:val="•"/>
      <w:lvlJc w:val="left"/>
      <w:pPr>
        <w:ind w:left="5628" w:hanging="360"/>
      </w:pPr>
      <w:rPr>
        <w:rFonts w:hint="default"/>
        <w:lang w:val="en-us" w:eastAsia="en-US" w:bidi="ar-SA"/>
      </w:rPr>
    </w:lvl>
    <w:lvl w:ilvl="7">
      <w:start w:val="0"/>
      <w:numFmt w:val="bullet"/>
      <w:lvlText w:val="•"/>
      <w:lvlJc w:val="left"/>
      <w:pPr>
        <w:ind w:left="6493" w:hanging="360"/>
      </w:pPr>
      <w:rPr>
        <w:rFonts w:hint="default"/>
        <w:lang w:val="en-us" w:eastAsia="en-US" w:bidi="ar-SA"/>
      </w:rPr>
    </w:lvl>
    <w:lvl w:ilvl="8">
      <w:start w:val="0"/>
      <w:numFmt w:val="bullet"/>
      <w:lvlText w:val="•"/>
      <w:lvlJc w:val="left"/>
      <w:pPr>
        <w:ind w:left="7358" w:hanging="360"/>
      </w:pPr>
      <w:rPr>
        <w:rFonts w:hint="default"/>
        <w:lang w:val="en-us" w:eastAsia="en-US" w:bidi="ar-SA"/>
      </w:rPr>
    </w:lvl>
  </w:abstractNum>
  <w:abstractNum w:abstractNumId="55">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304" w:hanging="360"/>
      </w:pPr>
      <w:rPr>
        <w:rFonts w:hint="default"/>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034" w:hanging="360"/>
      </w:pPr>
      <w:rPr>
        <w:rFonts w:hint="default"/>
        <w:lang w:val="en-us" w:eastAsia="en-US" w:bidi="ar-SA"/>
      </w:rPr>
    </w:lvl>
    <w:lvl w:ilvl="4">
      <w:start w:val="0"/>
      <w:numFmt w:val="bullet"/>
      <w:lvlText w:val="•"/>
      <w:lvlJc w:val="left"/>
      <w:pPr>
        <w:ind w:left="3899" w:hanging="360"/>
      </w:pPr>
      <w:rPr>
        <w:rFonts w:hint="default"/>
        <w:lang w:val="en-us" w:eastAsia="en-US" w:bidi="ar-SA"/>
      </w:rPr>
    </w:lvl>
    <w:lvl w:ilvl="5">
      <w:start w:val="0"/>
      <w:numFmt w:val="bullet"/>
      <w:lvlText w:val="•"/>
      <w:lvlJc w:val="left"/>
      <w:pPr>
        <w:ind w:left="4764" w:hanging="360"/>
      </w:pPr>
      <w:rPr>
        <w:rFonts w:hint="default"/>
        <w:lang w:val="en-us" w:eastAsia="en-US" w:bidi="ar-SA"/>
      </w:rPr>
    </w:lvl>
    <w:lvl w:ilvl="6">
      <w:start w:val="0"/>
      <w:numFmt w:val="bullet"/>
      <w:lvlText w:val="•"/>
      <w:lvlJc w:val="left"/>
      <w:pPr>
        <w:ind w:left="5628" w:hanging="360"/>
      </w:pPr>
      <w:rPr>
        <w:rFonts w:hint="default"/>
        <w:lang w:val="en-us" w:eastAsia="en-US" w:bidi="ar-SA"/>
      </w:rPr>
    </w:lvl>
    <w:lvl w:ilvl="7">
      <w:start w:val="0"/>
      <w:numFmt w:val="bullet"/>
      <w:lvlText w:val="•"/>
      <w:lvlJc w:val="left"/>
      <w:pPr>
        <w:ind w:left="6493" w:hanging="360"/>
      </w:pPr>
      <w:rPr>
        <w:rFonts w:hint="default"/>
        <w:lang w:val="en-us" w:eastAsia="en-US" w:bidi="ar-SA"/>
      </w:rPr>
    </w:lvl>
    <w:lvl w:ilvl="8">
      <w:start w:val="0"/>
      <w:numFmt w:val="bullet"/>
      <w:lvlText w:val="•"/>
      <w:lvlJc w:val="left"/>
      <w:pPr>
        <w:ind w:left="7358" w:hanging="360"/>
      </w:pPr>
      <w:rPr>
        <w:rFonts w:hint="default"/>
        <w:lang w:val="en-us" w:eastAsia="en-US" w:bidi="ar-SA"/>
      </w:rPr>
    </w:lvl>
  </w:abstractNum>
  <w:abstractNum w:abstractNumId="54">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472" w:hanging="360"/>
      </w:pPr>
      <w:rPr>
        <w:rFonts w:hint="default"/>
        <w:lang w:val="en-us" w:eastAsia="en-US" w:bidi="ar-SA"/>
      </w:rPr>
    </w:lvl>
    <w:lvl w:ilvl="2">
      <w:start w:val="0"/>
      <w:numFmt w:val="bullet"/>
      <w:lvlText w:val="•"/>
      <w:lvlJc w:val="left"/>
      <w:pPr>
        <w:ind w:left="2504" w:hanging="360"/>
      </w:pPr>
      <w:rPr>
        <w:rFonts w:hint="default"/>
        <w:lang w:val="en-us" w:eastAsia="en-US" w:bidi="ar-SA"/>
      </w:rPr>
    </w:lvl>
    <w:lvl w:ilvl="3">
      <w:start w:val="0"/>
      <w:numFmt w:val="bullet"/>
      <w:lvlText w:val="•"/>
      <w:lvlJc w:val="left"/>
      <w:pPr>
        <w:ind w:left="3536" w:hanging="360"/>
      </w:pPr>
      <w:rPr>
        <w:rFonts w:hint="default"/>
        <w:lang w:val="en-us" w:eastAsia="en-US" w:bidi="ar-SA"/>
      </w:rPr>
    </w:lvl>
    <w:lvl w:ilvl="4">
      <w:start w:val="0"/>
      <w:numFmt w:val="bullet"/>
      <w:lvlText w:val="•"/>
      <w:lvlJc w:val="left"/>
      <w:pPr>
        <w:ind w:left="4568" w:hanging="360"/>
      </w:pPr>
      <w:rPr>
        <w:rFonts w:hint="default"/>
        <w:lang w:val="en-us" w:eastAsia="en-US" w:bidi="ar-SA"/>
      </w:rPr>
    </w:lvl>
    <w:lvl w:ilvl="5">
      <w:start w:val="0"/>
      <w:numFmt w:val="bullet"/>
      <w:lvlText w:val="•"/>
      <w:lvlJc w:val="left"/>
      <w:pPr>
        <w:ind w:left="5600" w:hanging="360"/>
      </w:pPr>
      <w:rPr>
        <w:rFonts w:hint="default"/>
        <w:lang w:val="en-us" w:eastAsia="en-US" w:bidi="ar-SA"/>
      </w:rPr>
    </w:lvl>
    <w:lvl w:ilvl="6">
      <w:start w:val="0"/>
      <w:numFmt w:val="bullet"/>
      <w:lvlText w:val="•"/>
      <w:lvlJc w:val="left"/>
      <w:pPr>
        <w:ind w:left="6632" w:hanging="360"/>
      </w:pPr>
      <w:rPr>
        <w:rFonts w:hint="default"/>
        <w:lang w:val="en-us" w:eastAsia="en-US" w:bidi="ar-SA"/>
      </w:rPr>
    </w:lvl>
    <w:lvl w:ilvl="7">
      <w:start w:val="0"/>
      <w:numFmt w:val="bullet"/>
      <w:lvlText w:val="•"/>
      <w:lvlJc w:val="left"/>
      <w:pPr>
        <w:ind w:left="7664" w:hanging="360"/>
      </w:pPr>
      <w:rPr>
        <w:rFonts w:hint="default"/>
        <w:lang w:val="en-us" w:eastAsia="en-US" w:bidi="ar-SA"/>
      </w:rPr>
    </w:lvl>
    <w:lvl w:ilvl="8">
      <w:start w:val="0"/>
      <w:numFmt w:val="bullet"/>
      <w:lvlText w:val="•"/>
      <w:lvlJc w:val="left"/>
      <w:pPr>
        <w:ind w:left="8696" w:hanging="360"/>
      </w:pPr>
      <w:rPr>
        <w:rFonts w:hint="default"/>
        <w:lang w:val="en-us" w:eastAsia="en-US" w:bidi="ar-SA"/>
      </w:rPr>
    </w:lvl>
  </w:abstractNum>
  <w:abstractNum w:abstractNumId="53">
    <w:multiLevelType w:val="hybridMultilevel"/>
    <w:lvl w:ilvl="0">
      <w:start w:val="0"/>
      <w:numFmt w:val="bullet"/>
      <w:lvlText w:val="•"/>
      <w:lvlJc w:val="left"/>
      <w:pPr>
        <w:ind w:left="540" w:hanging="360"/>
      </w:pPr>
      <w:rPr>
        <w:rFonts w:hint="default" w:ascii="Century Gothic" w:hAnsi="Century Gothic" w:eastAsia="Century Gothic" w:cs="Century Gothic"/>
        <w:b w:val="0"/>
        <w:bCs w:val="0"/>
        <w:i w:val="0"/>
        <w:iCs w:val="0"/>
        <w:color w:val="010202"/>
        <w:w w:val="82"/>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52">
    <w:multiLevelType w:val="hybridMultilevel"/>
    <w:lvl w:ilvl="0">
      <w:start w:val="0"/>
      <w:numFmt w:val="bullet"/>
      <w:lvlText w:val="•"/>
      <w:lvlJc w:val="left"/>
      <w:pPr>
        <w:ind w:left="539" w:hanging="360"/>
      </w:pPr>
      <w:rPr>
        <w:rFonts w:hint="default" w:ascii="Century Gothic" w:hAnsi="Century Gothic" w:eastAsia="Century Gothic" w:cs="Century Gothic"/>
        <w:b w:val="0"/>
        <w:bCs w:val="0"/>
        <w:i w:val="0"/>
        <w:iCs w:val="0"/>
        <w:color w:val="010202"/>
        <w:w w:val="82"/>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51">
    <w:multiLevelType w:val="hybridMultilevel"/>
    <w:lvl w:ilvl="0">
      <w:start w:val="0"/>
      <w:numFmt w:val="bullet"/>
      <w:lvlText w:val=""/>
      <w:lvlJc w:val="left"/>
      <w:pPr>
        <w:ind w:left="119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667" w:hanging="360"/>
      </w:pPr>
      <w:rPr>
        <w:rFonts w:hint="default"/>
        <w:lang w:val="en-us" w:eastAsia="en-US" w:bidi="ar-SA"/>
      </w:rPr>
    </w:lvl>
    <w:lvl w:ilvl="2">
      <w:start w:val="0"/>
      <w:numFmt w:val="bullet"/>
      <w:lvlText w:val="•"/>
      <w:lvlJc w:val="left"/>
      <w:pPr>
        <w:ind w:left="2135" w:hanging="360"/>
      </w:pPr>
      <w:rPr>
        <w:rFonts w:hint="default"/>
        <w:lang w:val="en-us" w:eastAsia="en-US" w:bidi="ar-SA"/>
      </w:rPr>
    </w:lvl>
    <w:lvl w:ilvl="3">
      <w:start w:val="0"/>
      <w:numFmt w:val="bullet"/>
      <w:lvlText w:val="•"/>
      <w:lvlJc w:val="left"/>
      <w:pPr>
        <w:ind w:left="2603" w:hanging="360"/>
      </w:pPr>
      <w:rPr>
        <w:rFonts w:hint="default"/>
        <w:lang w:val="en-us" w:eastAsia="en-US" w:bidi="ar-SA"/>
      </w:rPr>
    </w:lvl>
    <w:lvl w:ilvl="4">
      <w:start w:val="0"/>
      <w:numFmt w:val="bullet"/>
      <w:lvlText w:val="•"/>
      <w:lvlJc w:val="left"/>
      <w:pPr>
        <w:ind w:left="3071" w:hanging="360"/>
      </w:pPr>
      <w:rPr>
        <w:rFonts w:hint="default"/>
        <w:lang w:val="en-us" w:eastAsia="en-US" w:bidi="ar-SA"/>
      </w:rPr>
    </w:lvl>
    <w:lvl w:ilvl="5">
      <w:start w:val="0"/>
      <w:numFmt w:val="bullet"/>
      <w:lvlText w:val="•"/>
      <w:lvlJc w:val="left"/>
      <w:pPr>
        <w:ind w:left="3539" w:hanging="360"/>
      </w:pPr>
      <w:rPr>
        <w:rFonts w:hint="default"/>
        <w:lang w:val="en-us" w:eastAsia="en-US" w:bidi="ar-SA"/>
      </w:rPr>
    </w:lvl>
    <w:lvl w:ilvl="6">
      <w:start w:val="0"/>
      <w:numFmt w:val="bullet"/>
      <w:lvlText w:val="•"/>
      <w:lvlJc w:val="left"/>
      <w:pPr>
        <w:ind w:left="4007" w:hanging="360"/>
      </w:pPr>
      <w:rPr>
        <w:rFonts w:hint="default"/>
        <w:lang w:val="en-us" w:eastAsia="en-US" w:bidi="ar-SA"/>
      </w:rPr>
    </w:lvl>
    <w:lvl w:ilvl="7">
      <w:start w:val="0"/>
      <w:numFmt w:val="bullet"/>
      <w:lvlText w:val="•"/>
      <w:lvlJc w:val="left"/>
      <w:pPr>
        <w:ind w:left="4475" w:hanging="360"/>
      </w:pPr>
      <w:rPr>
        <w:rFonts w:hint="default"/>
        <w:lang w:val="en-us" w:eastAsia="en-US" w:bidi="ar-SA"/>
      </w:rPr>
    </w:lvl>
    <w:lvl w:ilvl="8">
      <w:start w:val="0"/>
      <w:numFmt w:val="bullet"/>
      <w:lvlText w:val="•"/>
      <w:lvlJc w:val="left"/>
      <w:pPr>
        <w:ind w:left="4943" w:hanging="360"/>
      </w:pPr>
      <w:rPr>
        <w:rFonts w:hint="default"/>
        <w:lang w:val="en-us" w:eastAsia="en-US" w:bidi="ar-SA"/>
      </w:rPr>
    </w:lvl>
  </w:abstractNum>
  <w:abstractNum w:abstractNumId="50">
    <w:multiLevelType w:val="hybridMultilevel"/>
    <w:lvl w:ilvl="0">
      <w:start w:val="0"/>
      <w:numFmt w:val="bullet"/>
      <w:lvlText w:val=""/>
      <w:lvlJc w:val="left"/>
      <w:pPr>
        <w:ind w:left="119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598" w:hanging="360"/>
      </w:pPr>
      <w:rPr>
        <w:rFonts w:hint="default"/>
        <w:lang w:val="en-us" w:eastAsia="en-US" w:bidi="ar-SA"/>
      </w:rPr>
    </w:lvl>
    <w:lvl w:ilvl="2">
      <w:start w:val="0"/>
      <w:numFmt w:val="bullet"/>
      <w:lvlText w:val="•"/>
      <w:lvlJc w:val="left"/>
      <w:pPr>
        <w:ind w:left="1996" w:hanging="360"/>
      </w:pPr>
      <w:rPr>
        <w:rFonts w:hint="default"/>
        <w:lang w:val="en-us" w:eastAsia="en-US" w:bidi="ar-SA"/>
      </w:rPr>
    </w:lvl>
    <w:lvl w:ilvl="3">
      <w:start w:val="0"/>
      <w:numFmt w:val="bullet"/>
      <w:lvlText w:val="•"/>
      <w:lvlJc w:val="left"/>
      <w:pPr>
        <w:ind w:left="2394" w:hanging="360"/>
      </w:pPr>
      <w:rPr>
        <w:rFonts w:hint="default"/>
        <w:lang w:val="en-us" w:eastAsia="en-US" w:bidi="ar-SA"/>
      </w:rPr>
    </w:lvl>
    <w:lvl w:ilvl="4">
      <w:start w:val="0"/>
      <w:numFmt w:val="bullet"/>
      <w:lvlText w:val="•"/>
      <w:lvlJc w:val="left"/>
      <w:pPr>
        <w:ind w:left="2792" w:hanging="360"/>
      </w:pPr>
      <w:rPr>
        <w:rFonts w:hint="default"/>
        <w:lang w:val="en-us" w:eastAsia="en-US" w:bidi="ar-SA"/>
      </w:rPr>
    </w:lvl>
    <w:lvl w:ilvl="5">
      <w:start w:val="0"/>
      <w:numFmt w:val="bullet"/>
      <w:lvlText w:val="•"/>
      <w:lvlJc w:val="left"/>
      <w:pPr>
        <w:ind w:left="3190" w:hanging="360"/>
      </w:pPr>
      <w:rPr>
        <w:rFonts w:hint="default"/>
        <w:lang w:val="en-us" w:eastAsia="en-US" w:bidi="ar-SA"/>
      </w:rPr>
    </w:lvl>
    <w:lvl w:ilvl="6">
      <w:start w:val="0"/>
      <w:numFmt w:val="bullet"/>
      <w:lvlText w:val="•"/>
      <w:lvlJc w:val="left"/>
      <w:pPr>
        <w:ind w:left="3588" w:hanging="360"/>
      </w:pPr>
      <w:rPr>
        <w:rFonts w:hint="default"/>
        <w:lang w:val="en-us" w:eastAsia="en-US" w:bidi="ar-SA"/>
      </w:rPr>
    </w:lvl>
    <w:lvl w:ilvl="7">
      <w:start w:val="0"/>
      <w:numFmt w:val="bullet"/>
      <w:lvlText w:val="•"/>
      <w:lvlJc w:val="left"/>
      <w:pPr>
        <w:ind w:left="3987" w:hanging="360"/>
      </w:pPr>
      <w:rPr>
        <w:rFonts w:hint="default"/>
        <w:lang w:val="en-us" w:eastAsia="en-US" w:bidi="ar-SA"/>
      </w:rPr>
    </w:lvl>
    <w:lvl w:ilvl="8">
      <w:start w:val="0"/>
      <w:numFmt w:val="bullet"/>
      <w:lvlText w:val="•"/>
      <w:lvlJc w:val="left"/>
      <w:pPr>
        <w:ind w:left="4385" w:hanging="360"/>
      </w:pPr>
      <w:rPr>
        <w:rFonts w:hint="default"/>
        <w:lang w:val="en-us" w:eastAsia="en-US" w:bidi="ar-SA"/>
      </w:rPr>
    </w:lvl>
  </w:abstractNum>
  <w:abstractNum w:abstractNumId="49">
    <w:multiLevelType w:val="hybridMultilevel"/>
    <w:lvl w:ilvl="0">
      <w:start w:val="1"/>
      <w:numFmt w:val="upperLetter"/>
      <w:lvlText w:val="%1."/>
      <w:lvlJc w:val="left"/>
      <w:pPr>
        <w:ind w:left="480" w:hanging="269"/>
        <w:jc w:val="left"/>
      </w:pPr>
      <w:rPr>
        <w:rFonts w:hint="default" w:ascii="Times New Roman" w:hAnsi="Times New Roman" w:eastAsia="Times New Roman" w:cs="Times New Roman"/>
        <w:b w:val="0"/>
        <w:bCs w:val="0"/>
        <w:i w:val="0"/>
        <w:iCs w:val="0"/>
        <w:color w:val="231F20"/>
        <w:w w:val="99"/>
        <w:sz w:val="22"/>
        <w:szCs w:val="22"/>
        <w:lang w:val="en-us" w:eastAsia="en-US" w:bidi="ar-SA"/>
      </w:rPr>
    </w:lvl>
    <w:lvl w:ilvl="1">
      <w:start w:val="0"/>
      <w:numFmt w:val="bullet"/>
      <w:lvlText w:val="•"/>
      <w:lvlJc w:val="left"/>
      <w:pPr>
        <w:ind w:left="1020" w:hanging="269"/>
      </w:pPr>
      <w:rPr>
        <w:rFonts w:hint="default"/>
        <w:lang w:val="en-us" w:eastAsia="en-US" w:bidi="ar-SA"/>
      </w:rPr>
    </w:lvl>
    <w:lvl w:ilvl="2">
      <w:start w:val="0"/>
      <w:numFmt w:val="bullet"/>
      <w:lvlText w:val="•"/>
      <w:lvlJc w:val="left"/>
      <w:pPr>
        <w:ind w:left="1560" w:hanging="269"/>
      </w:pPr>
      <w:rPr>
        <w:rFonts w:hint="default"/>
        <w:lang w:val="en-us" w:eastAsia="en-US" w:bidi="ar-SA"/>
      </w:rPr>
    </w:lvl>
    <w:lvl w:ilvl="3">
      <w:start w:val="0"/>
      <w:numFmt w:val="bullet"/>
      <w:lvlText w:val="•"/>
      <w:lvlJc w:val="left"/>
      <w:pPr>
        <w:ind w:left="2100" w:hanging="269"/>
      </w:pPr>
      <w:rPr>
        <w:rFonts w:hint="default"/>
        <w:lang w:val="en-us" w:eastAsia="en-US" w:bidi="ar-SA"/>
      </w:rPr>
    </w:lvl>
    <w:lvl w:ilvl="4">
      <w:start w:val="0"/>
      <w:numFmt w:val="bullet"/>
      <w:lvlText w:val="•"/>
      <w:lvlJc w:val="left"/>
      <w:pPr>
        <w:ind w:left="2640" w:hanging="269"/>
      </w:pPr>
      <w:rPr>
        <w:rFonts w:hint="default"/>
        <w:lang w:val="en-us" w:eastAsia="en-US" w:bidi="ar-SA"/>
      </w:rPr>
    </w:lvl>
    <w:lvl w:ilvl="5">
      <w:start w:val="0"/>
      <w:numFmt w:val="bullet"/>
      <w:lvlText w:val="•"/>
      <w:lvlJc w:val="left"/>
      <w:pPr>
        <w:ind w:left="3180" w:hanging="269"/>
      </w:pPr>
      <w:rPr>
        <w:rFonts w:hint="default"/>
        <w:lang w:val="en-us" w:eastAsia="en-US" w:bidi="ar-SA"/>
      </w:rPr>
    </w:lvl>
    <w:lvl w:ilvl="6">
      <w:start w:val="0"/>
      <w:numFmt w:val="bullet"/>
      <w:lvlText w:val="•"/>
      <w:lvlJc w:val="left"/>
      <w:pPr>
        <w:ind w:left="3720" w:hanging="269"/>
      </w:pPr>
      <w:rPr>
        <w:rFonts w:hint="default"/>
        <w:lang w:val="en-us" w:eastAsia="en-US" w:bidi="ar-SA"/>
      </w:rPr>
    </w:lvl>
    <w:lvl w:ilvl="7">
      <w:start w:val="0"/>
      <w:numFmt w:val="bullet"/>
      <w:lvlText w:val="•"/>
      <w:lvlJc w:val="left"/>
      <w:pPr>
        <w:ind w:left="4260" w:hanging="269"/>
      </w:pPr>
      <w:rPr>
        <w:rFonts w:hint="default"/>
        <w:lang w:val="en-us" w:eastAsia="en-US" w:bidi="ar-SA"/>
      </w:rPr>
    </w:lvl>
    <w:lvl w:ilvl="8">
      <w:start w:val="0"/>
      <w:numFmt w:val="bullet"/>
      <w:lvlText w:val="•"/>
      <w:lvlJc w:val="left"/>
      <w:pPr>
        <w:ind w:left="4800" w:hanging="269"/>
      </w:pPr>
      <w:rPr>
        <w:rFonts w:hint="default"/>
        <w:lang w:val="en-us" w:eastAsia="en-US" w:bidi="ar-SA"/>
      </w:rPr>
    </w:lvl>
  </w:abstractNum>
  <w:abstractNum w:abstractNumId="48">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2" w:hanging="360"/>
      </w:pPr>
      <w:rPr>
        <w:rFonts w:hint="default"/>
        <w:lang w:val="en-us" w:eastAsia="en-US" w:bidi="ar-SA"/>
      </w:rPr>
    </w:lvl>
    <w:lvl w:ilvl="2">
      <w:start w:val="0"/>
      <w:numFmt w:val="bullet"/>
      <w:lvlText w:val="•"/>
      <w:lvlJc w:val="left"/>
      <w:pPr>
        <w:ind w:left="212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810" w:hanging="360"/>
      </w:pPr>
      <w:rPr>
        <w:rFonts w:hint="default"/>
        <w:lang w:val="en-us" w:eastAsia="en-US" w:bidi="ar-SA"/>
      </w:rPr>
    </w:lvl>
    <w:lvl w:ilvl="5">
      <w:start w:val="0"/>
      <w:numFmt w:val="bullet"/>
      <w:lvlText w:val="•"/>
      <w:lvlJc w:val="left"/>
      <w:pPr>
        <w:ind w:left="4652" w:hanging="360"/>
      </w:pPr>
      <w:rPr>
        <w:rFonts w:hint="default"/>
        <w:lang w:val="en-us" w:eastAsia="en-US" w:bidi="ar-SA"/>
      </w:rPr>
    </w:lvl>
    <w:lvl w:ilvl="6">
      <w:start w:val="0"/>
      <w:numFmt w:val="bullet"/>
      <w:lvlText w:val="•"/>
      <w:lvlJc w:val="left"/>
      <w:pPr>
        <w:ind w:left="5495" w:hanging="360"/>
      </w:pPr>
      <w:rPr>
        <w:rFonts w:hint="default"/>
        <w:lang w:val="en-us" w:eastAsia="en-US" w:bidi="ar-SA"/>
      </w:rPr>
    </w:lvl>
    <w:lvl w:ilvl="7">
      <w:start w:val="0"/>
      <w:numFmt w:val="bullet"/>
      <w:lvlText w:val="•"/>
      <w:lvlJc w:val="left"/>
      <w:pPr>
        <w:ind w:left="6337" w:hanging="360"/>
      </w:pPr>
      <w:rPr>
        <w:rFonts w:hint="default"/>
        <w:lang w:val="en-us" w:eastAsia="en-US" w:bidi="ar-SA"/>
      </w:rPr>
    </w:lvl>
    <w:lvl w:ilvl="8">
      <w:start w:val="0"/>
      <w:numFmt w:val="bullet"/>
      <w:lvlText w:val="•"/>
      <w:lvlJc w:val="left"/>
      <w:pPr>
        <w:ind w:left="7180" w:hanging="360"/>
      </w:pPr>
      <w:rPr>
        <w:rFonts w:hint="default"/>
        <w:lang w:val="en-us" w:eastAsia="en-US" w:bidi="ar-SA"/>
      </w:rPr>
    </w:lvl>
  </w:abstractNum>
  <w:abstractNum w:abstractNumId="47">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2" w:hanging="360"/>
      </w:pPr>
      <w:rPr>
        <w:rFonts w:hint="default"/>
        <w:lang w:val="en-us" w:eastAsia="en-US" w:bidi="ar-SA"/>
      </w:rPr>
    </w:lvl>
    <w:lvl w:ilvl="2">
      <w:start w:val="0"/>
      <w:numFmt w:val="bullet"/>
      <w:lvlText w:val="•"/>
      <w:lvlJc w:val="left"/>
      <w:pPr>
        <w:ind w:left="212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810" w:hanging="360"/>
      </w:pPr>
      <w:rPr>
        <w:rFonts w:hint="default"/>
        <w:lang w:val="en-us" w:eastAsia="en-US" w:bidi="ar-SA"/>
      </w:rPr>
    </w:lvl>
    <w:lvl w:ilvl="5">
      <w:start w:val="0"/>
      <w:numFmt w:val="bullet"/>
      <w:lvlText w:val="•"/>
      <w:lvlJc w:val="left"/>
      <w:pPr>
        <w:ind w:left="4652" w:hanging="360"/>
      </w:pPr>
      <w:rPr>
        <w:rFonts w:hint="default"/>
        <w:lang w:val="en-us" w:eastAsia="en-US" w:bidi="ar-SA"/>
      </w:rPr>
    </w:lvl>
    <w:lvl w:ilvl="6">
      <w:start w:val="0"/>
      <w:numFmt w:val="bullet"/>
      <w:lvlText w:val="•"/>
      <w:lvlJc w:val="left"/>
      <w:pPr>
        <w:ind w:left="5495" w:hanging="360"/>
      </w:pPr>
      <w:rPr>
        <w:rFonts w:hint="default"/>
        <w:lang w:val="en-us" w:eastAsia="en-US" w:bidi="ar-SA"/>
      </w:rPr>
    </w:lvl>
    <w:lvl w:ilvl="7">
      <w:start w:val="0"/>
      <w:numFmt w:val="bullet"/>
      <w:lvlText w:val="•"/>
      <w:lvlJc w:val="left"/>
      <w:pPr>
        <w:ind w:left="6337" w:hanging="360"/>
      </w:pPr>
      <w:rPr>
        <w:rFonts w:hint="default"/>
        <w:lang w:val="en-us" w:eastAsia="en-US" w:bidi="ar-SA"/>
      </w:rPr>
    </w:lvl>
    <w:lvl w:ilvl="8">
      <w:start w:val="0"/>
      <w:numFmt w:val="bullet"/>
      <w:lvlText w:val="•"/>
      <w:lvlJc w:val="left"/>
      <w:pPr>
        <w:ind w:left="7180" w:hanging="360"/>
      </w:pPr>
      <w:rPr>
        <w:rFonts w:hint="default"/>
        <w:lang w:val="en-us" w:eastAsia="en-US" w:bidi="ar-SA"/>
      </w:rPr>
    </w:lvl>
  </w:abstractNum>
  <w:abstractNum w:abstractNumId="46">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2" w:hanging="360"/>
      </w:pPr>
      <w:rPr>
        <w:rFonts w:hint="default"/>
        <w:lang w:val="en-us" w:eastAsia="en-US" w:bidi="ar-SA"/>
      </w:rPr>
    </w:lvl>
    <w:lvl w:ilvl="2">
      <w:start w:val="0"/>
      <w:numFmt w:val="bullet"/>
      <w:lvlText w:val="•"/>
      <w:lvlJc w:val="left"/>
      <w:pPr>
        <w:ind w:left="212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810" w:hanging="360"/>
      </w:pPr>
      <w:rPr>
        <w:rFonts w:hint="default"/>
        <w:lang w:val="en-us" w:eastAsia="en-US" w:bidi="ar-SA"/>
      </w:rPr>
    </w:lvl>
    <w:lvl w:ilvl="5">
      <w:start w:val="0"/>
      <w:numFmt w:val="bullet"/>
      <w:lvlText w:val="•"/>
      <w:lvlJc w:val="left"/>
      <w:pPr>
        <w:ind w:left="4652" w:hanging="360"/>
      </w:pPr>
      <w:rPr>
        <w:rFonts w:hint="default"/>
        <w:lang w:val="en-us" w:eastAsia="en-US" w:bidi="ar-SA"/>
      </w:rPr>
    </w:lvl>
    <w:lvl w:ilvl="6">
      <w:start w:val="0"/>
      <w:numFmt w:val="bullet"/>
      <w:lvlText w:val="•"/>
      <w:lvlJc w:val="left"/>
      <w:pPr>
        <w:ind w:left="5495" w:hanging="360"/>
      </w:pPr>
      <w:rPr>
        <w:rFonts w:hint="default"/>
        <w:lang w:val="en-us" w:eastAsia="en-US" w:bidi="ar-SA"/>
      </w:rPr>
    </w:lvl>
    <w:lvl w:ilvl="7">
      <w:start w:val="0"/>
      <w:numFmt w:val="bullet"/>
      <w:lvlText w:val="•"/>
      <w:lvlJc w:val="left"/>
      <w:pPr>
        <w:ind w:left="6337" w:hanging="360"/>
      </w:pPr>
      <w:rPr>
        <w:rFonts w:hint="default"/>
        <w:lang w:val="en-us" w:eastAsia="en-US" w:bidi="ar-SA"/>
      </w:rPr>
    </w:lvl>
    <w:lvl w:ilvl="8">
      <w:start w:val="0"/>
      <w:numFmt w:val="bullet"/>
      <w:lvlText w:val="•"/>
      <w:lvlJc w:val="left"/>
      <w:pPr>
        <w:ind w:left="7180" w:hanging="360"/>
      </w:pPr>
      <w:rPr>
        <w:rFonts w:hint="default"/>
        <w:lang w:val="en-us" w:eastAsia="en-US" w:bidi="ar-SA"/>
      </w:rPr>
    </w:lvl>
  </w:abstractNum>
  <w:abstractNum w:abstractNumId="45">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99" w:hanging="360"/>
      </w:pPr>
      <w:rPr>
        <w:rFonts w:hint="default" w:ascii="Symbol" w:hAnsi="Symbol" w:eastAsia="Symbol" w:cs="Symbol"/>
        <w:b w:val="0"/>
        <w:bCs w:val="0"/>
        <w:i w:val="0"/>
        <w:iCs w:val="0"/>
        <w:color w:val="010202"/>
        <w:w w:val="100"/>
        <w:sz w:val="20"/>
        <w:szCs w:val="20"/>
        <w:lang w:val="en-us" w:eastAsia="en-US" w:bidi="ar-SA"/>
      </w:rPr>
    </w:lvl>
    <w:lvl w:ilvl="2">
      <w:start w:val="0"/>
      <w:numFmt w:val="bullet"/>
      <w:lvlText w:val="•"/>
      <w:lvlJc w:val="left"/>
      <w:pPr>
        <w:ind w:left="1696" w:hanging="360"/>
      </w:pPr>
      <w:rPr>
        <w:rFonts w:hint="default"/>
        <w:lang w:val="en-us" w:eastAsia="en-US" w:bidi="ar-SA"/>
      </w:rPr>
    </w:lvl>
    <w:lvl w:ilvl="3">
      <w:start w:val="0"/>
      <w:numFmt w:val="bullet"/>
      <w:lvlText w:val="•"/>
      <w:lvlJc w:val="left"/>
      <w:pPr>
        <w:ind w:left="2592" w:hanging="360"/>
      </w:pPr>
      <w:rPr>
        <w:rFonts w:hint="default"/>
        <w:lang w:val="en-us" w:eastAsia="en-US" w:bidi="ar-SA"/>
      </w:rPr>
    </w:lvl>
    <w:lvl w:ilvl="4">
      <w:start w:val="0"/>
      <w:numFmt w:val="bullet"/>
      <w:lvlText w:val="•"/>
      <w:lvlJc w:val="left"/>
      <w:pPr>
        <w:ind w:left="3488" w:hanging="360"/>
      </w:pPr>
      <w:rPr>
        <w:rFonts w:hint="default"/>
        <w:lang w:val="en-us" w:eastAsia="en-US" w:bidi="ar-SA"/>
      </w:rPr>
    </w:lvl>
    <w:lvl w:ilvl="5">
      <w:start w:val="0"/>
      <w:numFmt w:val="bullet"/>
      <w:lvlText w:val="•"/>
      <w:lvlJc w:val="left"/>
      <w:pPr>
        <w:ind w:left="4384" w:hanging="360"/>
      </w:pPr>
      <w:rPr>
        <w:rFonts w:hint="default"/>
        <w:lang w:val="en-us" w:eastAsia="en-US" w:bidi="ar-SA"/>
      </w:rPr>
    </w:lvl>
    <w:lvl w:ilvl="6">
      <w:start w:val="0"/>
      <w:numFmt w:val="bullet"/>
      <w:lvlText w:val="•"/>
      <w:lvlJc w:val="left"/>
      <w:pPr>
        <w:ind w:left="5280" w:hanging="360"/>
      </w:pPr>
      <w:rPr>
        <w:rFonts w:hint="default"/>
        <w:lang w:val="en-us" w:eastAsia="en-US" w:bidi="ar-SA"/>
      </w:rPr>
    </w:lvl>
    <w:lvl w:ilvl="7">
      <w:start w:val="0"/>
      <w:numFmt w:val="bullet"/>
      <w:lvlText w:val="•"/>
      <w:lvlJc w:val="left"/>
      <w:pPr>
        <w:ind w:left="6176" w:hanging="360"/>
      </w:pPr>
      <w:rPr>
        <w:rFonts w:hint="default"/>
        <w:lang w:val="en-us" w:eastAsia="en-US" w:bidi="ar-SA"/>
      </w:rPr>
    </w:lvl>
    <w:lvl w:ilvl="8">
      <w:start w:val="0"/>
      <w:numFmt w:val="bullet"/>
      <w:lvlText w:val="•"/>
      <w:lvlJc w:val="left"/>
      <w:pPr>
        <w:ind w:left="7072" w:hanging="360"/>
      </w:pPr>
      <w:rPr>
        <w:rFonts w:hint="default"/>
        <w:lang w:val="en-us" w:eastAsia="en-US" w:bidi="ar-SA"/>
      </w:rPr>
    </w:lvl>
  </w:abstractNum>
  <w:abstractNum w:abstractNumId="44">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2" w:hanging="360"/>
      </w:pPr>
      <w:rPr>
        <w:rFonts w:hint="default"/>
        <w:lang w:val="en-us" w:eastAsia="en-US" w:bidi="ar-SA"/>
      </w:rPr>
    </w:lvl>
    <w:lvl w:ilvl="2">
      <w:start w:val="0"/>
      <w:numFmt w:val="bullet"/>
      <w:lvlText w:val="•"/>
      <w:lvlJc w:val="left"/>
      <w:pPr>
        <w:ind w:left="212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810" w:hanging="360"/>
      </w:pPr>
      <w:rPr>
        <w:rFonts w:hint="default"/>
        <w:lang w:val="en-us" w:eastAsia="en-US" w:bidi="ar-SA"/>
      </w:rPr>
    </w:lvl>
    <w:lvl w:ilvl="5">
      <w:start w:val="0"/>
      <w:numFmt w:val="bullet"/>
      <w:lvlText w:val="•"/>
      <w:lvlJc w:val="left"/>
      <w:pPr>
        <w:ind w:left="4652" w:hanging="360"/>
      </w:pPr>
      <w:rPr>
        <w:rFonts w:hint="default"/>
        <w:lang w:val="en-us" w:eastAsia="en-US" w:bidi="ar-SA"/>
      </w:rPr>
    </w:lvl>
    <w:lvl w:ilvl="6">
      <w:start w:val="0"/>
      <w:numFmt w:val="bullet"/>
      <w:lvlText w:val="•"/>
      <w:lvlJc w:val="left"/>
      <w:pPr>
        <w:ind w:left="5495" w:hanging="360"/>
      </w:pPr>
      <w:rPr>
        <w:rFonts w:hint="default"/>
        <w:lang w:val="en-us" w:eastAsia="en-US" w:bidi="ar-SA"/>
      </w:rPr>
    </w:lvl>
    <w:lvl w:ilvl="7">
      <w:start w:val="0"/>
      <w:numFmt w:val="bullet"/>
      <w:lvlText w:val="•"/>
      <w:lvlJc w:val="left"/>
      <w:pPr>
        <w:ind w:left="6337" w:hanging="360"/>
      </w:pPr>
      <w:rPr>
        <w:rFonts w:hint="default"/>
        <w:lang w:val="en-us" w:eastAsia="en-US" w:bidi="ar-SA"/>
      </w:rPr>
    </w:lvl>
    <w:lvl w:ilvl="8">
      <w:start w:val="0"/>
      <w:numFmt w:val="bullet"/>
      <w:lvlText w:val="•"/>
      <w:lvlJc w:val="left"/>
      <w:pPr>
        <w:ind w:left="7180" w:hanging="360"/>
      </w:pPr>
      <w:rPr>
        <w:rFonts w:hint="default"/>
        <w:lang w:val="en-us" w:eastAsia="en-US" w:bidi="ar-SA"/>
      </w:rPr>
    </w:lvl>
  </w:abstractNum>
  <w:abstractNum w:abstractNumId="43">
    <w:multiLevelType w:val="hybridMultilevel"/>
    <w:lvl w:ilvl="0">
      <w:start w:val="0"/>
      <w:numFmt w:val="bullet"/>
      <w:lvlText w:val=""/>
      <w:lvlJc w:val="left"/>
      <w:pPr>
        <w:ind w:left="439"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2" w:hanging="360"/>
      </w:pPr>
      <w:rPr>
        <w:rFonts w:hint="default"/>
        <w:lang w:val="en-us" w:eastAsia="en-US" w:bidi="ar-SA"/>
      </w:rPr>
    </w:lvl>
    <w:lvl w:ilvl="2">
      <w:start w:val="0"/>
      <w:numFmt w:val="bullet"/>
      <w:lvlText w:val="•"/>
      <w:lvlJc w:val="left"/>
      <w:pPr>
        <w:ind w:left="212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810" w:hanging="360"/>
      </w:pPr>
      <w:rPr>
        <w:rFonts w:hint="default"/>
        <w:lang w:val="en-us" w:eastAsia="en-US" w:bidi="ar-SA"/>
      </w:rPr>
    </w:lvl>
    <w:lvl w:ilvl="5">
      <w:start w:val="0"/>
      <w:numFmt w:val="bullet"/>
      <w:lvlText w:val="•"/>
      <w:lvlJc w:val="left"/>
      <w:pPr>
        <w:ind w:left="4652" w:hanging="360"/>
      </w:pPr>
      <w:rPr>
        <w:rFonts w:hint="default"/>
        <w:lang w:val="en-us" w:eastAsia="en-US" w:bidi="ar-SA"/>
      </w:rPr>
    </w:lvl>
    <w:lvl w:ilvl="6">
      <w:start w:val="0"/>
      <w:numFmt w:val="bullet"/>
      <w:lvlText w:val="•"/>
      <w:lvlJc w:val="left"/>
      <w:pPr>
        <w:ind w:left="5495" w:hanging="360"/>
      </w:pPr>
      <w:rPr>
        <w:rFonts w:hint="default"/>
        <w:lang w:val="en-us" w:eastAsia="en-US" w:bidi="ar-SA"/>
      </w:rPr>
    </w:lvl>
    <w:lvl w:ilvl="7">
      <w:start w:val="0"/>
      <w:numFmt w:val="bullet"/>
      <w:lvlText w:val="•"/>
      <w:lvlJc w:val="left"/>
      <w:pPr>
        <w:ind w:left="6337" w:hanging="360"/>
      </w:pPr>
      <w:rPr>
        <w:rFonts w:hint="default"/>
        <w:lang w:val="en-us" w:eastAsia="en-US" w:bidi="ar-SA"/>
      </w:rPr>
    </w:lvl>
    <w:lvl w:ilvl="8">
      <w:start w:val="0"/>
      <w:numFmt w:val="bullet"/>
      <w:lvlText w:val="•"/>
      <w:lvlJc w:val="left"/>
      <w:pPr>
        <w:ind w:left="7180" w:hanging="360"/>
      </w:pPr>
      <w:rPr>
        <w:rFonts w:hint="default"/>
        <w:lang w:val="en-us" w:eastAsia="en-US" w:bidi="ar-SA"/>
      </w:rPr>
    </w:lvl>
  </w:abstractNum>
  <w:abstractNum w:abstractNumId="42">
    <w:multiLevelType w:val="hybridMultilevel"/>
    <w:lvl w:ilvl="0">
      <w:start w:val="0"/>
      <w:numFmt w:val="bullet"/>
      <w:lvlText w:val=""/>
      <w:lvlJc w:val="left"/>
      <w:pPr>
        <w:ind w:left="439"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2" w:hanging="360"/>
      </w:pPr>
      <w:rPr>
        <w:rFonts w:hint="default"/>
        <w:lang w:val="en-us" w:eastAsia="en-US" w:bidi="ar-SA"/>
      </w:rPr>
    </w:lvl>
    <w:lvl w:ilvl="2">
      <w:start w:val="0"/>
      <w:numFmt w:val="bullet"/>
      <w:lvlText w:val="•"/>
      <w:lvlJc w:val="left"/>
      <w:pPr>
        <w:ind w:left="212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810" w:hanging="360"/>
      </w:pPr>
      <w:rPr>
        <w:rFonts w:hint="default"/>
        <w:lang w:val="en-us" w:eastAsia="en-US" w:bidi="ar-SA"/>
      </w:rPr>
    </w:lvl>
    <w:lvl w:ilvl="5">
      <w:start w:val="0"/>
      <w:numFmt w:val="bullet"/>
      <w:lvlText w:val="•"/>
      <w:lvlJc w:val="left"/>
      <w:pPr>
        <w:ind w:left="4652" w:hanging="360"/>
      </w:pPr>
      <w:rPr>
        <w:rFonts w:hint="default"/>
        <w:lang w:val="en-us" w:eastAsia="en-US" w:bidi="ar-SA"/>
      </w:rPr>
    </w:lvl>
    <w:lvl w:ilvl="6">
      <w:start w:val="0"/>
      <w:numFmt w:val="bullet"/>
      <w:lvlText w:val="•"/>
      <w:lvlJc w:val="left"/>
      <w:pPr>
        <w:ind w:left="5495" w:hanging="360"/>
      </w:pPr>
      <w:rPr>
        <w:rFonts w:hint="default"/>
        <w:lang w:val="en-us" w:eastAsia="en-US" w:bidi="ar-SA"/>
      </w:rPr>
    </w:lvl>
    <w:lvl w:ilvl="7">
      <w:start w:val="0"/>
      <w:numFmt w:val="bullet"/>
      <w:lvlText w:val="•"/>
      <w:lvlJc w:val="left"/>
      <w:pPr>
        <w:ind w:left="6337" w:hanging="360"/>
      </w:pPr>
      <w:rPr>
        <w:rFonts w:hint="default"/>
        <w:lang w:val="en-us" w:eastAsia="en-US" w:bidi="ar-SA"/>
      </w:rPr>
    </w:lvl>
    <w:lvl w:ilvl="8">
      <w:start w:val="0"/>
      <w:numFmt w:val="bullet"/>
      <w:lvlText w:val="•"/>
      <w:lvlJc w:val="left"/>
      <w:pPr>
        <w:ind w:left="7180" w:hanging="360"/>
      </w:pPr>
      <w:rPr>
        <w:rFonts w:hint="default"/>
        <w:lang w:val="en-us" w:eastAsia="en-US" w:bidi="ar-SA"/>
      </w:rPr>
    </w:lvl>
  </w:abstractNum>
  <w:abstractNum w:abstractNumId="41">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3" w:hanging="360"/>
      </w:pPr>
      <w:rPr>
        <w:rFonts w:hint="default"/>
        <w:lang w:val="en-us" w:eastAsia="en-US" w:bidi="ar-SA"/>
      </w:rPr>
    </w:lvl>
    <w:lvl w:ilvl="2">
      <w:start w:val="0"/>
      <w:numFmt w:val="bullet"/>
      <w:lvlText w:val="•"/>
      <w:lvlJc w:val="left"/>
      <w:pPr>
        <w:ind w:left="2126" w:hanging="360"/>
      </w:pPr>
      <w:rPr>
        <w:rFonts w:hint="default"/>
        <w:lang w:val="en-us" w:eastAsia="en-US" w:bidi="ar-SA"/>
      </w:rPr>
    </w:lvl>
    <w:lvl w:ilvl="3">
      <w:start w:val="0"/>
      <w:numFmt w:val="bullet"/>
      <w:lvlText w:val="•"/>
      <w:lvlJc w:val="left"/>
      <w:pPr>
        <w:ind w:left="296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98" w:hanging="360"/>
      </w:pPr>
      <w:rPr>
        <w:rFonts w:hint="default"/>
        <w:lang w:val="en-us" w:eastAsia="en-US" w:bidi="ar-SA"/>
      </w:rPr>
    </w:lvl>
    <w:lvl w:ilvl="7">
      <w:start w:val="0"/>
      <w:numFmt w:val="bullet"/>
      <w:lvlText w:val="•"/>
      <w:lvlJc w:val="left"/>
      <w:pPr>
        <w:ind w:left="6341" w:hanging="360"/>
      </w:pPr>
      <w:rPr>
        <w:rFonts w:hint="default"/>
        <w:lang w:val="en-us" w:eastAsia="en-US" w:bidi="ar-SA"/>
      </w:rPr>
    </w:lvl>
    <w:lvl w:ilvl="8">
      <w:start w:val="0"/>
      <w:numFmt w:val="bullet"/>
      <w:lvlText w:val="•"/>
      <w:lvlJc w:val="left"/>
      <w:pPr>
        <w:ind w:left="7184" w:hanging="360"/>
      </w:pPr>
      <w:rPr>
        <w:rFonts w:hint="default"/>
        <w:lang w:val="en-us" w:eastAsia="en-US" w:bidi="ar-SA"/>
      </w:rPr>
    </w:lvl>
  </w:abstractNum>
  <w:abstractNum w:abstractNumId="40">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3" w:hanging="360"/>
      </w:pPr>
      <w:rPr>
        <w:rFonts w:hint="default"/>
        <w:lang w:val="en-us" w:eastAsia="en-US" w:bidi="ar-SA"/>
      </w:rPr>
    </w:lvl>
    <w:lvl w:ilvl="2">
      <w:start w:val="0"/>
      <w:numFmt w:val="bullet"/>
      <w:lvlText w:val="•"/>
      <w:lvlJc w:val="left"/>
      <w:pPr>
        <w:ind w:left="2126" w:hanging="360"/>
      </w:pPr>
      <w:rPr>
        <w:rFonts w:hint="default"/>
        <w:lang w:val="en-us" w:eastAsia="en-US" w:bidi="ar-SA"/>
      </w:rPr>
    </w:lvl>
    <w:lvl w:ilvl="3">
      <w:start w:val="0"/>
      <w:numFmt w:val="bullet"/>
      <w:lvlText w:val="•"/>
      <w:lvlJc w:val="left"/>
      <w:pPr>
        <w:ind w:left="296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98" w:hanging="360"/>
      </w:pPr>
      <w:rPr>
        <w:rFonts w:hint="default"/>
        <w:lang w:val="en-us" w:eastAsia="en-US" w:bidi="ar-SA"/>
      </w:rPr>
    </w:lvl>
    <w:lvl w:ilvl="7">
      <w:start w:val="0"/>
      <w:numFmt w:val="bullet"/>
      <w:lvlText w:val="•"/>
      <w:lvlJc w:val="left"/>
      <w:pPr>
        <w:ind w:left="6341" w:hanging="360"/>
      </w:pPr>
      <w:rPr>
        <w:rFonts w:hint="default"/>
        <w:lang w:val="en-us" w:eastAsia="en-US" w:bidi="ar-SA"/>
      </w:rPr>
    </w:lvl>
    <w:lvl w:ilvl="8">
      <w:start w:val="0"/>
      <w:numFmt w:val="bullet"/>
      <w:lvlText w:val="•"/>
      <w:lvlJc w:val="left"/>
      <w:pPr>
        <w:ind w:left="7184" w:hanging="360"/>
      </w:pPr>
      <w:rPr>
        <w:rFonts w:hint="default"/>
        <w:lang w:val="en-us" w:eastAsia="en-US" w:bidi="ar-SA"/>
      </w:rPr>
    </w:lvl>
  </w:abstractNum>
  <w:abstractNum w:abstractNumId="39">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3" w:hanging="360"/>
      </w:pPr>
      <w:rPr>
        <w:rFonts w:hint="default"/>
        <w:lang w:val="en-us" w:eastAsia="en-US" w:bidi="ar-SA"/>
      </w:rPr>
    </w:lvl>
    <w:lvl w:ilvl="2">
      <w:start w:val="0"/>
      <w:numFmt w:val="bullet"/>
      <w:lvlText w:val="•"/>
      <w:lvlJc w:val="left"/>
      <w:pPr>
        <w:ind w:left="2126" w:hanging="360"/>
      </w:pPr>
      <w:rPr>
        <w:rFonts w:hint="default"/>
        <w:lang w:val="en-us" w:eastAsia="en-US" w:bidi="ar-SA"/>
      </w:rPr>
    </w:lvl>
    <w:lvl w:ilvl="3">
      <w:start w:val="0"/>
      <w:numFmt w:val="bullet"/>
      <w:lvlText w:val="•"/>
      <w:lvlJc w:val="left"/>
      <w:pPr>
        <w:ind w:left="296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98" w:hanging="360"/>
      </w:pPr>
      <w:rPr>
        <w:rFonts w:hint="default"/>
        <w:lang w:val="en-us" w:eastAsia="en-US" w:bidi="ar-SA"/>
      </w:rPr>
    </w:lvl>
    <w:lvl w:ilvl="7">
      <w:start w:val="0"/>
      <w:numFmt w:val="bullet"/>
      <w:lvlText w:val="•"/>
      <w:lvlJc w:val="left"/>
      <w:pPr>
        <w:ind w:left="6341" w:hanging="360"/>
      </w:pPr>
      <w:rPr>
        <w:rFonts w:hint="default"/>
        <w:lang w:val="en-us" w:eastAsia="en-US" w:bidi="ar-SA"/>
      </w:rPr>
    </w:lvl>
    <w:lvl w:ilvl="8">
      <w:start w:val="0"/>
      <w:numFmt w:val="bullet"/>
      <w:lvlText w:val="•"/>
      <w:lvlJc w:val="left"/>
      <w:pPr>
        <w:ind w:left="7184" w:hanging="360"/>
      </w:pPr>
      <w:rPr>
        <w:rFonts w:hint="default"/>
        <w:lang w:val="en-us" w:eastAsia="en-US" w:bidi="ar-SA"/>
      </w:rPr>
    </w:lvl>
  </w:abstractNum>
  <w:abstractNum w:abstractNumId="38">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3" w:hanging="360"/>
      </w:pPr>
      <w:rPr>
        <w:rFonts w:hint="default"/>
        <w:lang w:val="en-us" w:eastAsia="en-US" w:bidi="ar-SA"/>
      </w:rPr>
    </w:lvl>
    <w:lvl w:ilvl="2">
      <w:start w:val="0"/>
      <w:numFmt w:val="bullet"/>
      <w:lvlText w:val="•"/>
      <w:lvlJc w:val="left"/>
      <w:pPr>
        <w:ind w:left="2126" w:hanging="360"/>
      </w:pPr>
      <w:rPr>
        <w:rFonts w:hint="default"/>
        <w:lang w:val="en-us" w:eastAsia="en-US" w:bidi="ar-SA"/>
      </w:rPr>
    </w:lvl>
    <w:lvl w:ilvl="3">
      <w:start w:val="0"/>
      <w:numFmt w:val="bullet"/>
      <w:lvlText w:val="•"/>
      <w:lvlJc w:val="left"/>
      <w:pPr>
        <w:ind w:left="296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98" w:hanging="360"/>
      </w:pPr>
      <w:rPr>
        <w:rFonts w:hint="default"/>
        <w:lang w:val="en-us" w:eastAsia="en-US" w:bidi="ar-SA"/>
      </w:rPr>
    </w:lvl>
    <w:lvl w:ilvl="7">
      <w:start w:val="0"/>
      <w:numFmt w:val="bullet"/>
      <w:lvlText w:val="•"/>
      <w:lvlJc w:val="left"/>
      <w:pPr>
        <w:ind w:left="6341" w:hanging="360"/>
      </w:pPr>
      <w:rPr>
        <w:rFonts w:hint="default"/>
        <w:lang w:val="en-us" w:eastAsia="en-US" w:bidi="ar-SA"/>
      </w:rPr>
    </w:lvl>
    <w:lvl w:ilvl="8">
      <w:start w:val="0"/>
      <w:numFmt w:val="bullet"/>
      <w:lvlText w:val="•"/>
      <w:lvlJc w:val="left"/>
      <w:pPr>
        <w:ind w:left="7184" w:hanging="360"/>
      </w:pPr>
      <w:rPr>
        <w:rFonts w:hint="default"/>
        <w:lang w:val="en-us" w:eastAsia="en-US" w:bidi="ar-SA"/>
      </w:rPr>
    </w:lvl>
  </w:abstractNum>
  <w:abstractNum w:abstractNumId="37">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3" w:hanging="360"/>
      </w:pPr>
      <w:rPr>
        <w:rFonts w:hint="default"/>
        <w:lang w:val="en-us" w:eastAsia="en-US" w:bidi="ar-SA"/>
      </w:rPr>
    </w:lvl>
    <w:lvl w:ilvl="2">
      <w:start w:val="0"/>
      <w:numFmt w:val="bullet"/>
      <w:lvlText w:val="•"/>
      <w:lvlJc w:val="left"/>
      <w:pPr>
        <w:ind w:left="2126" w:hanging="360"/>
      </w:pPr>
      <w:rPr>
        <w:rFonts w:hint="default"/>
        <w:lang w:val="en-us" w:eastAsia="en-US" w:bidi="ar-SA"/>
      </w:rPr>
    </w:lvl>
    <w:lvl w:ilvl="3">
      <w:start w:val="0"/>
      <w:numFmt w:val="bullet"/>
      <w:lvlText w:val="•"/>
      <w:lvlJc w:val="left"/>
      <w:pPr>
        <w:ind w:left="296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98" w:hanging="360"/>
      </w:pPr>
      <w:rPr>
        <w:rFonts w:hint="default"/>
        <w:lang w:val="en-us" w:eastAsia="en-US" w:bidi="ar-SA"/>
      </w:rPr>
    </w:lvl>
    <w:lvl w:ilvl="7">
      <w:start w:val="0"/>
      <w:numFmt w:val="bullet"/>
      <w:lvlText w:val="•"/>
      <w:lvlJc w:val="left"/>
      <w:pPr>
        <w:ind w:left="6341" w:hanging="360"/>
      </w:pPr>
      <w:rPr>
        <w:rFonts w:hint="default"/>
        <w:lang w:val="en-us" w:eastAsia="en-US" w:bidi="ar-SA"/>
      </w:rPr>
    </w:lvl>
    <w:lvl w:ilvl="8">
      <w:start w:val="0"/>
      <w:numFmt w:val="bullet"/>
      <w:lvlText w:val="•"/>
      <w:lvlJc w:val="left"/>
      <w:pPr>
        <w:ind w:left="7184" w:hanging="360"/>
      </w:pPr>
      <w:rPr>
        <w:rFonts w:hint="default"/>
        <w:lang w:val="en-us" w:eastAsia="en-US" w:bidi="ar-SA"/>
      </w:rPr>
    </w:lvl>
  </w:abstractNum>
  <w:abstractNum w:abstractNumId="36">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3" w:hanging="360"/>
      </w:pPr>
      <w:rPr>
        <w:rFonts w:hint="default"/>
        <w:lang w:val="en-us" w:eastAsia="en-US" w:bidi="ar-SA"/>
      </w:rPr>
    </w:lvl>
    <w:lvl w:ilvl="2">
      <w:start w:val="0"/>
      <w:numFmt w:val="bullet"/>
      <w:lvlText w:val="•"/>
      <w:lvlJc w:val="left"/>
      <w:pPr>
        <w:ind w:left="2126" w:hanging="360"/>
      </w:pPr>
      <w:rPr>
        <w:rFonts w:hint="default"/>
        <w:lang w:val="en-us" w:eastAsia="en-US" w:bidi="ar-SA"/>
      </w:rPr>
    </w:lvl>
    <w:lvl w:ilvl="3">
      <w:start w:val="0"/>
      <w:numFmt w:val="bullet"/>
      <w:lvlText w:val="•"/>
      <w:lvlJc w:val="left"/>
      <w:pPr>
        <w:ind w:left="296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98" w:hanging="360"/>
      </w:pPr>
      <w:rPr>
        <w:rFonts w:hint="default"/>
        <w:lang w:val="en-us" w:eastAsia="en-US" w:bidi="ar-SA"/>
      </w:rPr>
    </w:lvl>
    <w:lvl w:ilvl="7">
      <w:start w:val="0"/>
      <w:numFmt w:val="bullet"/>
      <w:lvlText w:val="•"/>
      <w:lvlJc w:val="left"/>
      <w:pPr>
        <w:ind w:left="6341" w:hanging="360"/>
      </w:pPr>
      <w:rPr>
        <w:rFonts w:hint="default"/>
        <w:lang w:val="en-us" w:eastAsia="en-US" w:bidi="ar-SA"/>
      </w:rPr>
    </w:lvl>
    <w:lvl w:ilvl="8">
      <w:start w:val="0"/>
      <w:numFmt w:val="bullet"/>
      <w:lvlText w:val="•"/>
      <w:lvlJc w:val="left"/>
      <w:pPr>
        <w:ind w:left="7184" w:hanging="360"/>
      </w:pPr>
      <w:rPr>
        <w:rFonts w:hint="default"/>
        <w:lang w:val="en-us" w:eastAsia="en-US" w:bidi="ar-SA"/>
      </w:rPr>
    </w:lvl>
  </w:abstractNum>
  <w:abstractNum w:abstractNumId="35">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83" w:hanging="360"/>
      </w:pPr>
      <w:rPr>
        <w:rFonts w:hint="default"/>
        <w:lang w:val="en-us" w:eastAsia="en-US" w:bidi="ar-SA"/>
      </w:rPr>
    </w:lvl>
    <w:lvl w:ilvl="2">
      <w:start w:val="0"/>
      <w:numFmt w:val="bullet"/>
      <w:lvlText w:val="•"/>
      <w:lvlJc w:val="left"/>
      <w:pPr>
        <w:ind w:left="2126" w:hanging="360"/>
      </w:pPr>
      <w:rPr>
        <w:rFonts w:hint="default"/>
        <w:lang w:val="en-us" w:eastAsia="en-US" w:bidi="ar-SA"/>
      </w:rPr>
    </w:lvl>
    <w:lvl w:ilvl="3">
      <w:start w:val="0"/>
      <w:numFmt w:val="bullet"/>
      <w:lvlText w:val="•"/>
      <w:lvlJc w:val="left"/>
      <w:pPr>
        <w:ind w:left="296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98" w:hanging="360"/>
      </w:pPr>
      <w:rPr>
        <w:rFonts w:hint="default"/>
        <w:lang w:val="en-us" w:eastAsia="en-US" w:bidi="ar-SA"/>
      </w:rPr>
    </w:lvl>
    <w:lvl w:ilvl="7">
      <w:start w:val="0"/>
      <w:numFmt w:val="bullet"/>
      <w:lvlText w:val="•"/>
      <w:lvlJc w:val="left"/>
      <w:pPr>
        <w:ind w:left="6341" w:hanging="360"/>
      </w:pPr>
      <w:rPr>
        <w:rFonts w:hint="default"/>
        <w:lang w:val="en-us" w:eastAsia="en-US" w:bidi="ar-SA"/>
      </w:rPr>
    </w:lvl>
    <w:lvl w:ilvl="8">
      <w:start w:val="0"/>
      <w:numFmt w:val="bullet"/>
      <w:lvlText w:val="•"/>
      <w:lvlJc w:val="left"/>
      <w:pPr>
        <w:ind w:left="7184" w:hanging="360"/>
      </w:pPr>
      <w:rPr>
        <w:rFonts w:hint="default"/>
        <w:lang w:val="en-us" w:eastAsia="en-US" w:bidi="ar-SA"/>
      </w:rPr>
    </w:lvl>
  </w:abstractNum>
  <w:abstractNum w:abstractNumId="34">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95" w:hanging="360"/>
      </w:pPr>
      <w:rPr>
        <w:rFonts w:hint="default"/>
        <w:lang w:val="en-us" w:eastAsia="en-US" w:bidi="ar-SA"/>
      </w:rPr>
    </w:lvl>
    <w:lvl w:ilvl="2">
      <w:start w:val="0"/>
      <w:numFmt w:val="bullet"/>
      <w:lvlText w:val="•"/>
      <w:lvlJc w:val="left"/>
      <w:pPr>
        <w:ind w:left="2151" w:hanging="360"/>
      </w:pPr>
      <w:rPr>
        <w:rFonts w:hint="default"/>
        <w:lang w:val="en-us" w:eastAsia="en-US" w:bidi="ar-SA"/>
      </w:rPr>
    </w:lvl>
    <w:lvl w:ilvl="3">
      <w:start w:val="0"/>
      <w:numFmt w:val="bullet"/>
      <w:lvlText w:val="•"/>
      <w:lvlJc w:val="left"/>
      <w:pPr>
        <w:ind w:left="3006" w:hanging="360"/>
      </w:pPr>
      <w:rPr>
        <w:rFonts w:hint="default"/>
        <w:lang w:val="en-us" w:eastAsia="en-US" w:bidi="ar-SA"/>
      </w:rPr>
    </w:lvl>
    <w:lvl w:ilvl="4">
      <w:start w:val="0"/>
      <w:numFmt w:val="bullet"/>
      <w:lvlText w:val="•"/>
      <w:lvlJc w:val="left"/>
      <w:pPr>
        <w:ind w:left="3862" w:hanging="360"/>
      </w:pPr>
      <w:rPr>
        <w:rFonts w:hint="default"/>
        <w:lang w:val="en-us" w:eastAsia="en-US" w:bidi="ar-SA"/>
      </w:rPr>
    </w:lvl>
    <w:lvl w:ilvl="5">
      <w:start w:val="0"/>
      <w:numFmt w:val="bullet"/>
      <w:lvlText w:val="•"/>
      <w:lvlJc w:val="left"/>
      <w:pPr>
        <w:ind w:left="4717" w:hanging="360"/>
      </w:pPr>
      <w:rPr>
        <w:rFonts w:hint="default"/>
        <w:lang w:val="en-us" w:eastAsia="en-US" w:bidi="ar-SA"/>
      </w:rPr>
    </w:lvl>
    <w:lvl w:ilvl="6">
      <w:start w:val="0"/>
      <w:numFmt w:val="bullet"/>
      <w:lvlText w:val="•"/>
      <w:lvlJc w:val="left"/>
      <w:pPr>
        <w:ind w:left="5573" w:hanging="360"/>
      </w:pPr>
      <w:rPr>
        <w:rFonts w:hint="default"/>
        <w:lang w:val="en-us" w:eastAsia="en-US" w:bidi="ar-SA"/>
      </w:rPr>
    </w:lvl>
    <w:lvl w:ilvl="7">
      <w:start w:val="0"/>
      <w:numFmt w:val="bullet"/>
      <w:lvlText w:val="•"/>
      <w:lvlJc w:val="left"/>
      <w:pPr>
        <w:ind w:left="6428" w:hanging="360"/>
      </w:pPr>
      <w:rPr>
        <w:rFonts w:hint="default"/>
        <w:lang w:val="en-us" w:eastAsia="en-US" w:bidi="ar-SA"/>
      </w:rPr>
    </w:lvl>
    <w:lvl w:ilvl="8">
      <w:start w:val="0"/>
      <w:numFmt w:val="bullet"/>
      <w:lvlText w:val="•"/>
      <w:lvlJc w:val="left"/>
      <w:pPr>
        <w:ind w:left="7284" w:hanging="360"/>
      </w:pPr>
      <w:rPr>
        <w:rFonts w:hint="default"/>
        <w:lang w:val="en-us" w:eastAsia="en-US" w:bidi="ar-SA"/>
      </w:rPr>
    </w:lvl>
  </w:abstractNum>
  <w:abstractNum w:abstractNumId="33">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95" w:hanging="360"/>
      </w:pPr>
      <w:rPr>
        <w:rFonts w:hint="default"/>
        <w:lang w:val="en-us" w:eastAsia="en-US" w:bidi="ar-SA"/>
      </w:rPr>
    </w:lvl>
    <w:lvl w:ilvl="2">
      <w:start w:val="0"/>
      <w:numFmt w:val="bullet"/>
      <w:lvlText w:val="•"/>
      <w:lvlJc w:val="left"/>
      <w:pPr>
        <w:ind w:left="2151" w:hanging="360"/>
      </w:pPr>
      <w:rPr>
        <w:rFonts w:hint="default"/>
        <w:lang w:val="en-us" w:eastAsia="en-US" w:bidi="ar-SA"/>
      </w:rPr>
    </w:lvl>
    <w:lvl w:ilvl="3">
      <w:start w:val="0"/>
      <w:numFmt w:val="bullet"/>
      <w:lvlText w:val="•"/>
      <w:lvlJc w:val="left"/>
      <w:pPr>
        <w:ind w:left="3006" w:hanging="360"/>
      </w:pPr>
      <w:rPr>
        <w:rFonts w:hint="default"/>
        <w:lang w:val="en-us" w:eastAsia="en-US" w:bidi="ar-SA"/>
      </w:rPr>
    </w:lvl>
    <w:lvl w:ilvl="4">
      <w:start w:val="0"/>
      <w:numFmt w:val="bullet"/>
      <w:lvlText w:val="•"/>
      <w:lvlJc w:val="left"/>
      <w:pPr>
        <w:ind w:left="3862" w:hanging="360"/>
      </w:pPr>
      <w:rPr>
        <w:rFonts w:hint="default"/>
        <w:lang w:val="en-us" w:eastAsia="en-US" w:bidi="ar-SA"/>
      </w:rPr>
    </w:lvl>
    <w:lvl w:ilvl="5">
      <w:start w:val="0"/>
      <w:numFmt w:val="bullet"/>
      <w:lvlText w:val="•"/>
      <w:lvlJc w:val="left"/>
      <w:pPr>
        <w:ind w:left="4717" w:hanging="360"/>
      </w:pPr>
      <w:rPr>
        <w:rFonts w:hint="default"/>
        <w:lang w:val="en-us" w:eastAsia="en-US" w:bidi="ar-SA"/>
      </w:rPr>
    </w:lvl>
    <w:lvl w:ilvl="6">
      <w:start w:val="0"/>
      <w:numFmt w:val="bullet"/>
      <w:lvlText w:val="•"/>
      <w:lvlJc w:val="left"/>
      <w:pPr>
        <w:ind w:left="5573" w:hanging="360"/>
      </w:pPr>
      <w:rPr>
        <w:rFonts w:hint="default"/>
        <w:lang w:val="en-us" w:eastAsia="en-US" w:bidi="ar-SA"/>
      </w:rPr>
    </w:lvl>
    <w:lvl w:ilvl="7">
      <w:start w:val="0"/>
      <w:numFmt w:val="bullet"/>
      <w:lvlText w:val="•"/>
      <w:lvlJc w:val="left"/>
      <w:pPr>
        <w:ind w:left="6428" w:hanging="360"/>
      </w:pPr>
      <w:rPr>
        <w:rFonts w:hint="default"/>
        <w:lang w:val="en-us" w:eastAsia="en-US" w:bidi="ar-SA"/>
      </w:rPr>
    </w:lvl>
    <w:lvl w:ilvl="8">
      <w:start w:val="0"/>
      <w:numFmt w:val="bullet"/>
      <w:lvlText w:val="•"/>
      <w:lvlJc w:val="left"/>
      <w:pPr>
        <w:ind w:left="7284" w:hanging="360"/>
      </w:pPr>
      <w:rPr>
        <w:rFonts w:hint="default"/>
        <w:lang w:val="en-us" w:eastAsia="en-US" w:bidi="ar-SA"/>
      </w:rPr>
    </w:lvl>
  </w:abstractNum>
  <w:abstractNum w:abstractNumId="32">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95" w:hanging="360"/>
      </w:pPr>
      <w:rPr>
        <w:rFonts w:hint="default"/>
        <w:lang w:val="en-us" w:eastAsia="en-US" w:bidi="ar-SA"/>
      </w:rPr>
    </w:lvl>
    <w:lvl w:ilvl="2">
      <w:start w:val="0"/>
      <w:numFmt w:val="bullet"/>
      <w:lvlText w:val="•"/>
      <w:lvlJc w:val="left"/>
      <w:pPr>
        <w:ind w:left="2151" w:hanging="360"/>
      </w:pPr>
      <w:rPr>
        <w:rFonts w:hint="default"/>
        <w:lang w:val="en-us" w:eastAsia="en-US" w:bidi="ar-SA"/>
      </w:rPr>
    </w:lvl>
    <w:lvl w:ilvl="3">
      <w:start w:val="0"/>
      <w:numFmt w:val="bullet"/>
      <w:lvlText w:val="•"/>
      <w:lvlJc w:val="left"/>
      <w:pPr>
        <w:ind w:left="3006" w:hanging="360"/>
      </w:pPr>
      <w:rPr>
        <w:rFonts w:hint="default"/>
        <w:lang w:val="en-us" w:eastAsia="en-US" w:bidi="ar-SA"/>
      </w:rPr>
    </w:lvl>
    <w:lvl w:ilvl="4">
      <w:start w:val="0"/>
      <w:numFmt w:val="bullet"/>
      <w:lvlText w:val="•"/>
      <w:lvlJc w:val="left"/>
      <w:pPr>
        <w:ind w:left="3862" w:hanging="360"/>
      </w:pPr>
      <w:rPr>
        <w:rFonts w:hint="default"/>
        <w:lang w:val="en-us" w:eastAsia="en-US" w:bidi="ar-SA"/>
      </w:rPr>
    </w:lvl>
    <w:lvl w:ilvl="5">
      <w:start w:val="0"/>
      <w:numFmt w:val="bullet"/>
      <w:lvlText w:val="•"/>
      <w:lvlJc w:val="left"/>
      <w:pPr>
        <w:ind w:left="4717" w:hanging="360"/>
      </w:pPr>
      <w:rPr>
        <w:rFonts w:hint="default"/>
        <w:lang w:val="en-us" w:eastAsia="en-US" w:bidi="ar-SA"/>
      </w:rPr>
    </w:lvl>
    <w:lvl w:ilvl="6">
      <w:start w:val="0"/>
      <w:numFmt w:val="bullet"/>
      <w:lvlText w:val="•"/>
      <w:lvlJc w:val="left"/>
      <w:pPr>
        <w:ind w:left="5573" w:hanging="360"/>
      </w:pPr>
      <w:rPr>
        <w:rFonts w:hint="default"/>
        <w:lang w:val="en-us" w:eastAsia="en-US" w:bidi="ar-SA"/>
      </w:rPr>
    </w:lvl>
    <w:lvl w:ilvl="7">
      <w:start w:val="0"/>
      <w:numFmt w:val="bullet"/>
      <w:lvlText w:val="•"/>
      <w:lvlJc w:val="left"/>
      <w:pPr>
        <w:ind w:left="6428" w:hanging="360"/>
      </w:pPr>
      <w:rPr>
        <w:rFonts w:hint="default"/>
        <w:lang w:val="en-us" w:eastAsia="en-US" w:bidi="ar-SA"/>
      </w:rPr>
    </w:lvl>
    <w:lvl w:ilvl="8">
      <w:start w:val="0"/>
      <w:numFmt w:val="bullet"/>
      <w:lvlText w:val="•"/>
      <w:lvlJc w:val="left"/>
      <w:pPr>
        <w:ind w:left="7284" w:hanging="360"/>
      </w:pPr>
      <w:rPr>
        <w:rFonts w:hint="default"/>
        <w:lang w:val="en-us" w:eastAsia="en-US" w:bidi="ar-SA"/>
      </w:rPr>
    </w:lvl>
  </w:abstractNum>
  <w:abstractNum w:abstractNumId="31">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95" w:hanging="360"/>
      </w:pPr>
      <w:rPr>
        <w:rFonts w:hint="default"/>
        <w:lang w:val="en-us" w:eastAsia="en-US" w:bidi="ar-SA"/>
      </w:rPr>
    </w:lvl>
    <w:lvl w:ilvl="2">
      <w:start w:val="0"/>
      <w:numFmt w:val="bullet"/>
      <w:lvlText w:val="•"/>
      <w:lvlJc w:val="left"/>
      <w:pPr>
        <w:ind w:left="2151" w:hanging="360"/>
      </w:pPr>
      <w:rPr>
        <w:rFonts w:hint="default"/>
        <w:lang w:val="en-us" w:eastAsia="en-US" w:bidi="ar-SA"/>
      </w:rPr>
    </w:lvl>
    <w:lvl w:ilvl="3">
      <w:start w:val="0"/>
      <w:numFmt w:val="bullet"/>
      <w:lvlText w:val="•"/>
      <w:lvlJc w:val="left"/>
      <w:pPr>
        <w:ind w:left="3006" w:hanging="360"/>
      </w:pPr>
      <w:rPr>
        <w:rFonts w:hint="default"/>
        <w:lang w:val="en-us" w:eastAsia="en-US" w:bidi="ar-SA"/>
      </w:rPr>
    </w:lvl>
    <w:lvl w:ilvl="4">
      <w:start w:val="0"/>
      <w:numFmt w:val="bullet"/>
      <w:lvlText w:val="•"/>
      <w:lvlJc w:val="left"/>
      <w:pPr>
        <w:ind w:left="3862" w:hanging="360"/>
      </w:pPr>
      <w:rPr>
        <w:rFonts w:hint="default"/>
        <w:lang w:val="en-us" w:eastAsia="en-US" w:bidi="ar-SA"/>
      </w:rPr>
    </w:lvl>
    <w:lvl w:ilvl="5">
      <w:start w:val="0"/>
      <w:numFmt w:val="bullet"/>
      <w:lvlText w:val="•"/>
      <w:lvlJc w:val="left"/>
      <w:pPr>
        <w:ind w:left="4717" w:hanging="360"/>
      </w:pPr>
      <w:rPr>
        <w:rFonts w:hint="default"/>
        <w:lang w:val="en-us" w:eastAsia="en-US" w:bidi="ar-SA"/>
      </w:rPr>
    </w:lvl>
    <w:lvl w:ilvl="6">
      <w:start w:val="0"/>
      <w:numFmt w:val="bullet"/>
      <w:lvlText w:val="•"/>
      <w:lvlJc w:val="left"/>
      <w:pPr>
        <w:ind w:left="5573" w:hanging="360"/>
      </w:pPr>
      <w:rPr>
        <w:rFonts w:hint="default"/>
        <w:lang w:val="en-us" w:eastAsia="en-US" w:bidi="ar-SA"/>
      </w:rPr>
    </w:lvl>
    <w:lvl w:ilvl="7">
      <w:start w:val="0"/>
      <w:numFmt w:val="bullet"/>
      <w:lvlText w:val="•"/>
      <w:lvlJc w:val="left"/>
      <w:pPr>
        <w:ind w:left="6428" w:hanging="360"/>
      </w:pPr>
      <w:rPr>
        <w:rFonts w:hint="default"/>
        <w:lang w:val="en-us" w:eastAsia="en-US" w:bidi="ar-SA"/>
      </w:rPr>
    </w:lvl>
    <w:lvl w:ilvl="8">
      <w:start w:val="0"/>
      <w:numFmt w:val="bullet"/>
      <w:lvlText w:val="•"/>
      <w:lvlJc w:val="left"/>
      <w:pPr>
        <w:ind w:left="7284" w:hanging="360"/>
      </w:pPr>
      <w:rPr>
        <w:rFonts w:hint="default"/>
        <w:lang w:val="en-us" w:eastAsia="en-US" w:bidi="ar-SA"/>
      </w:rPr>
    </w:lvl>
  </w:abstractNum>
  <w:abstractNum w:abstractNumId="30">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800" w:hanging="360"/>
      </w:pPr>
      <w:rPr>
        <w:rFonts w:hint="default" w:ascii="Symbol" w:hAnsi="Symbol" w:eastAsia="Symbol" w:cs="Symbol"/>
        <w:b w:val="0"/>
        <w:bCs w:val="0"/>
        <w:i w:val="0"/>
        <w:iCs w:val="0"/>
        <w:color w:val="010202"/>
        <w:w w:val="100"/>
        <w:sz w:val="20"/>
        <w:szCs w:val="20"/>
        <w:lang w:val="en-us" w:eastAsia="en-US" w:bidi="ar-SA"/>
      </w:rPr>
    </w:lvl>
    <w:lvl w:ilvl="2">
      <w:start w:val="0"/>
      <w:numFmt w:val="bullet"/>
      <w:lvlText w:val="•"/>
      <w:lvlJc w:val="left"/>
      <w:pPr>
        <w:ind w:left="1710" w:hanging="360"/>
      </w:pPr>
      <w:rPr>
        <w:rFonts w:hint="default"/>
        <w:lang w:val="en-us" w:eastAsia="en-US" w:bidi="ar-SA"/>
      </w:rPr>
    </w:lvl>
    <w:lvl w:ilvl="3">
      <w:start w:val="0"/>
      <w:numFmt w:val="bullet"/>
      <w:lvlText w:val="•"/>
      <w:lvlJc w:val="left"/>
      <w:pPr>
        <w:ind w:left="2621" w:hanging="360"/>
      </w:pPr>
      <w:rPr>
        <w:rFonts w:hint="default"/>
        <w:lang w:val="en-us" w:eastAsia="en-US" w:bidi="ar-SA"/>
      </w:rPr>
    </w:lvl>
    <w:lvl w:ilvl="4">
      <w:start w:val="0"/>
      <w:numFmt w:val="bullet"/>
      <w:lvlText w:val="•"/>
      <w:lvlJc w:val="left"/>
      <w:pPr>
        <w:ind w:left="3531" w:hanging="360"/>
      </w:pPr>
      <w:rPr>
        <w:rFonts w:hint="default"/>
        <w:lang w:val="en-us" w:eastAsia="en-US" w:bidi="ar-SA"/>
      </w:rPr>
    </w:lvl>
    <w:lvl w:ilvl="5">
      <w:start w:val="0"/>
      <w:numFmt w:val="bullet"/>
      <w:lvlText w:val="•"/>
      <w:lvlJc w:val="left"/>
      <w:pPr>
        <w:ind w:left="4442" w:hanging="360"/>
      </w:pPr>
      <w:rPr>
        <w:rFonts w:hint="default"/>
        <w:lang w:val="en-us" w:eastAsia="en-US" w:bidi="ar-SA"/>
      </w:rPr>
    </w:lvl>
    <w:lvl w:ilvl="6">
      <w:start w:val="0"/>
      <w:numFmt w:val="bullet"/>
      <w:lvlText w:val="•"/>
      <w:lvlJc w:val="left"/>
      <w:pPr>
        <w:ind w:left="5352" w:hanging="360"/>
      </w:pPr>
      <w:rPr>
        <w:rFonts w:hint="default"/>
        <w:lang w:val="en-us" w:eastAsia="en-US" w:bidi="ar-SA"/>
      </w:rPr>
    </w:lvl>
    <w:lvl w:ilvl="7">
      <w:start w:val="0"/>
      <w:numFmt w:val="bullet"/>
      <w:lvlText w:val="•"/>
      <w:lvlJc w:val="left"/>
      <w:pPr>
        <w:ind w:left="6263" w:hanging="360"/>
      </w:pPr>
      <w:rPr>
        <w:rFonts w:hint="default"/>
        <w:lang w:val="en-us" w:eastAsia="en-US" w:bidi="ar-SA"/>
      </w:rPr>
    </w:lvl>
    <w:lvl w:ilvl="8">
      <w:start w:val="0"/>
      <w:numFmt w:val="bullet"/>
      <w:lvlText w:val="•"/>
      <w:lvlJc w:val="left"/>
      <w:pPr>
        <w:ind w:left="7173" w:hanging="360"/>
      </w:pPr>
      <w:rPr>
        <w:rFonts w:hint="default"/>
        <w:lang w:val="en-us" w:eastAsia="en-US" w:bidi="ar-SA"/>
      </w:rPr>
    </w:lvl>
  </w:abstractNum>
  <w:abstractNum w:abstractNumId="29">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95" w:hanging="360"/>
      </w:pPr>
      <w:rPr>
        <w:rFonts w:hint="default"/>
        <w:lang w:val="en-us" w:eastAsia="en-US" w:bidi="ar-SA"/>
      </w:rPr>
    </w:lvl>
    <w:lvl w:ilvl="2">
      <w:start w:val="0"/>
      <w:numFmt w:val="bullet"/>
      <w:lvlText w:val="•"/>
      <w:lvlJc w:val="left"/>
      <w:pPr>
        <w:ind w:left="2151" w:hanging="360"/>
      </w:pPr>
      <w:rPr>
        <w:rFonts w:hint="default"/>
        <w:lang w:val="en-us" w:eastAsia="en-US" w:bidi="ar-SA"/>
      </w:rPr>
    </w:lvl>
    <w:lvl w:ilvl="3">
      <w:start w:val="0"/>
      <w:numFmt w:val="bullet"/>
      <w:lvlText w:val="•"/>
      <w:lvlJc w:val="left"/>
      <w:pPr>
        <w:ind w:left="3006" w:hanging="360"/>
      </w:pPr>
      <w:rPr>
        <w:rFonts w:hint="default"/>
        <w:lang w:val="en-us" w:eastAsia="en-US" w:bidi="ar-SA"/>
      </w:rPr>
    </w:lvl>
    <w:lvl w:ilvl="4">
      <w:start w:val="0"/>
      <w:numFmt w:val="bullet"/>
      <w:lvlText w:val="•"/>
      <w:lvlJc w:val="left"/>
      <w:pPr>
        <w:ind w:left="3862" w:hanging="360"/>
      </w:pPr>
      <w:rPr>
        <w:rFonts w:hint="default"/>
        <w:lang w:val="en-us" w:eastAsia="en-US" w:bidi="ar-SA"/>
      </w:rPr>
    </w:lvl>
    <w:lvl w:ilvl="5">
      <w:start w:val="0"/>
      <w:numFmt w:val="bullet"/>
      <w:lvlText w:val="•"/>
      <w:lvlJc w:val="left"/>
      <w:pPr>
        <w:ind w:left="4717" w:hanging="360"/>
      </w:pPr>
      <w:rPr>
        <w:rFonts w:hint="default"/>
        <w:lang w:val="en-us" w:eastAsia="en-US" w:bidi="ar-SA"/>
      </w:rPr>
    </w:lvl>
    <w:lvl w:ilvl="6">
      <w:start w:val="0"/>
      <w:numFmt w:val="bullet"/>
      <w:lvlText w:val="•"/>
      <w:lvlJc w:val="left"/>
      <w:pPr>
        <w:ind w:left="5573" w:hanging="360"/>
      </w:pPr>
      <w:rPr>
        <w:rFonts w:hint="default"/>
        <w:lang w:val="en-us" w:eastAsia="en-US" w:bidi="ar-SA"/>
      </w:rPr>
    </w:lvl>
    <w:lvl w:ilvl="7">
      <w:start w:val="0"/>
      <w:numFmt w:val="bullet"/>
      <w:lvlText w:val="•"/>
      <w:lvlJc w:val="left"/>
      <w:pPr>
        <w:ind w:left="6428" w:hanging="360"/>
      </w:pPr>
      <w:rPr>
        <w:rFonts w:hint="default"/>
        <w:lang w:val="en-us" w:eastAsia="en-US" w:bidi="ar-SA"/>
      </w:rPr>
    </w:lvl>
    <w:lvl w:ilvl="8">
      <w:start w:val="0"/>
      <w:numFmt w:val="bullet"/>
      <w:lvlText w:val="•"/>
      <w:lvlJc w:val="left"/>
      <w:pPr>
        <w:ind w:left="7284" w:hanging="360"/>
      </w:pPr>
      <w:rPr>
        <w:rFonts w:hint="default"/>
        <w:lang w:val="en-us" w:eastAsia="en-US" w:bidi="ar-SA"/>
      </w:rPr>
    </w:lvl>
  </w:abstractNum>
  <w:abstractNum w:abstractNumId="28">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95" w:hanging="360"/>
      </w:pPr>
      <w:rPr>
        <w:rFonts w:hint="default"/>
        <w:lang w:val="en-us" w:eastAsia="en-US" w:bidi="ar-SA"/>
      </w:rPr>
    </w:lvl>
    <w:lvl w:ilvl="2">
      <w:start w:val="0"/>
      <w:numFmt w:val="bullet"/>
      <w:lvlText w:val="•"/>
      <w:lvlJc w:val="left"/>
      <w:pPr>
        <w:ind w:left="2151" w:hanging="360"/>
      </w:pPr>
      <w:rPr>
        <w:rFonts w:hint="default"/>
        <w:lang w:val="en-us" w:eastAsia="en-US" w:bidi="ar-SA"/>
      </w:rPr>
    </w:lvl>
    <w:lvl w:ilvl="3">
      <w:start w:val="0"/>
      <w:numFmt w:val="bullet"/>
      <w:lvlText w:val="•"/>
      <w:lvlJc w:val="left"/>
      <w:pPr>
        <w:ind w:left="3006" w:hanging="360"/>
      </w:pPr>
      <w:rPr>
        <w:rFonts w:hint="default"/>
        <w:lang w:val="en-us" w:eastAsia="en-US" w:bidi="ar-SA"/>
      </w:rPr>
    </w:lvl>
    <w:lvl w:ilvl="4">
      <w:start w:val="0"/>
      <w:numFmt w:val="bullet"/>
      <w:lvlText w:val="•"/>
      <w:lvlJc w:val="left"/>
      <w:pPr>
        <w:ind w:left="3862" w:hanging="360"/>
      </w:pPr>
      <w:rPr>
        <w:rFonts w:hint="default"/>
        <w:lang w:val="en-us" w:eastAsia="en-US" w:bidi="ar-SA"/>
      </w:rPr>
    </w:lvl>
    <w:lvl w:ilvl="5">
      <w:start w:val="0"/>
      <w:numFmt w:val="bullet"/>
      <w:lvlText w:val="•"/>
      <w:lvlJc w:val="left"/>
      <w:pPr>
        <w:ind w:left="4717" w:hanging="360"/>
      </w:pPr>
      <w:rPr>
        <w:rFonts w:hint="default"/>
        <w:lang w:val="en-us" w:eastAsia="en-US" w:bidi="ar-SA"/>
      </w:rPr>
    </w:lvl>
    <w:lvl w:ilvl="6">
      <w:start w:val="0"/>
      <w:numFmt w:val="bullet"/>
      <w:lvlText w:val="•"/>
      <w:lvlJc w:val="left"/>
      <w:pPr>
        <w:ind w:left="5573" w:hanging="360"/>
      </w:pPr>
      <w:rPr>
        <w:rFonts w:hint="default"/>
        <w:lang w:val="en-us" w:eastAsia="en-US" w:bidi="ar-SA"/>
      </w:rPr>
    </w:lvl>
    <w:lvl w:ilvl="7">
      <w:start w:val="0"/>
      <w:numFmt w:val="bullet"/>
      <w:lvlText w:val="•"/>
      <w:lvlJc w:val="left"/>
      <w:pPr>
        <w:ind w:left="6428" w:hanging="360"/>
      </w:pPr>
      <w:rPr>
        <w:rFonts w:hint="default"/>
        <w:lang w:val="en-us" w:eastAsia="en-US" w:bidi="ar-SA"/>
      </w:rPr>
    </w:lvl>
    <w:lvl w:ilvl="8">
      <w:start w:val="0"/>
      <w:numFmt w:val="bullet"/>
      <w:lvlText w:val="•"/>
      <w:lvlJc w:val="left"/>
      <w:pPr>
        <w:ind w:left="7284" w:hanging="360"/>
      </w:pPr>
      <w:rPr>
        <w:rFonts w:hint="default"/>
        <w:lang w:val="en-us" w:eastAsia="en-US" w:bidi="ar-SA"/>
      </w:rPr>
    </w:lvl>
  </w:abstractNum>
  <w:abstractNum w:abstractNumId="27">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03" w:hanging="360"/>
      </w:pPr>
      <w:rPr>
        <w:rFonts w:hint="default"/>
        <w:lang w:val="en-us" w:eastAsia="en-US" w:bidi="ar-SA"/>
      </w:rPr>
    </w:lvl>
    <w:lvl w:ilvl="3">
      <w:start w:val="0"/>
      <w:numFmt w:val="bullet"/>
      <w:lvlText w:val="•"/>
      <w:lvlJc w:val="left"/>
      <w:pPr>
        <w:ind w:left="2935" w:hanging="360"/>
      </w:pPr>
      <w:rPr>
        <w:rFonts w:hint="default"/>
        <w:lang w:val="en-us" w:eastAsia="en-US" w:bidi="ar-SA"/>
      </w:rPr>
    </w:lvl>
    <w:lvl w:ilvl="4">
      <w:start w:val="0"/>
      <w:numFmt w:val="bullet"/>
      <w:lvlText w:val="•"/>
      <w:lvlJc w:val="left"/>
      <w:pPr>
        <w:ind w:left="3766" w:hanging="360"/>
      </w:pPr>
      <w:rPr>
        <w:rFonts w:hint="default"/>
        <w:lang w:val="en-us" w:eastAsia="en-US" w:bidi="ar-SA"/>
      </w:rPr>
    </w:lvl>
    <w:lvl w:ilvl="5">
      <w:start w:val="0"/>
      <w:numFmt w:val="bullet"/>
      <w:lvlText w:val="•"/>
      <w:lvlJc w:val="left"/>
      <w:pPr>
        <w:ind w:left="4598" w:hanging="360"/>
      </w:pPr>
      <w:rPr>
        <w:rFonts w:hint="default"/>
        <w:lang w:val="en-us" w:eastAsia="en-US" w:bidi="ar-SA"/>
      </w:rPr>
    </w:lvl>
    <w:lvl w:ilvl="6">
      <w:start w:val="0"/>
      <w:numFmt w:val="bullet"/>
      <w:lvlText w:val="•"/>
      <w:lvlJc w:val="left"/>
      <w:pPr>
        <w:ind w:left="5430" w:hanging="360"/>
      </w:pPr>
      <w:rPr>
        <w:rFonts w:hint="default"/>
        <w:lang w:val="en-us" w:eastAsia="en-US" w:bidi="ar-SA"/>
      </w:rPr>
    </w:lvl>
    <w:lvl w:ilvl="7">
      <w:start w:val="0"/>
      <w:numFmt w:val="bullet"/>
      <w:lvlText w:val="•"/>
      <w:lvlJc w:val="left"/>
      <w:pPr>
        <w:ind w:left="6261" w:hanging="360"/>
      </w:pPr>
      <w:rPr>
        <w:rFonts w:hint="default"/>
        <w:lang w:val="en-us" w:eastAsia="en-US" w:bidi="ar-SA"/>
      </w:rPr>
    </w:lvl>
    <w:lvl w:ilvl="8">
      <w:start w:val="0"/>
      <w:numFmt w:val="bullet"/>
      <w:lvlText w:val="•"/>
      <w:lvlJc w:val="left"/>
      <w:pPr>
        <w:ind w:left="7093" w:hanging="360"/>
      </w:pPr>
      <w:rPr>
        <w:rFonts w:hint="default"/>
        <w:lang w:val="en-us" w:eastAsia="en-US" w:bidi="ar-SA"/>
      </w:rPr>
    </w:lvl>
  </w:abstractNum>
  <w:abstractNum w:abstractNumId="26">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03" w:hanging="360"/>
      </w:pPr>
      <w:rPr>
        <w:rFonts w:hint="default"/>
        <w:lang w:val="en-us" w:eastAsia="en-US" w:bidi="ar-SA"/>
      </w:rPr>
    </w:lvl>
    <w:lvl w:ilvl="3">
      <w:start w:val="0"/>
      <w:numFmt w:val="bullet"/>
      <w:lvlText w:val="•"/>
      <w:lvlJc w:val="left"/>
      <w:pPr>
        <w:ind w:left="2935" w:hanging="360"/>
      </w:pPr>
      <w:rPr>
        <w:rFonts w:hint="default"/>
        <w:lang w:val="en-us" w:eastAsia="en-US" w:bidi="ar-SA"/>
      </w:rPr>
    </w:lvl>
    <w:lvl w:ilvl="4">
      <w:start w:val="0"/>
      <w:numFmt w:val="bullet"/>
      <w:lvlText w:val="•"/>
      <w:lvlJc w:val="left"/>
      <w:pPr>
        <w:ind w:left="3766" w:hanging="360"/>
      </w:pPr>
      <w:rPr>
        <w:rFonts w:hint="default"/>
        <w:lang w:val="en-us" w:eastAsia="en-US" w:bidi="ar-SA"/>
      </w:rPr>
    </w:lvl>
    <w:lvl w:ilvl="5">
      <w:start w:val="0"/>
      <w:numFmt w:val="bullet"/>
      <w:lvlText w:val="•"/>
      <w:lvlJc w:val="left"/>
      <w:pPr>
        <w:ind w:left="4598" w:hanging="360"/>
      </w:pPr>
      <w:rPr>
        <w:rFonts w:hint="default"/>
        <w:lang w:val="en-us" w:eastAsia="en-US" w:bidi="ar-SA"/>
      </w:rPr>
    </w:lvl>
    <w:lvl w:ilvl="6">
      <w:start w:val="0"/>
      <w:numFmt w:val="bullet"/>
      <w:lvlText w:val="•"/>
      <w:lvlJc w:val="left"/>
      <w:pPr>
        <w:ind w:left="5430" w:hanging="360"/>
      </w:pPr>
      <w:rPr>
        <w:rFonts w:hint="default"/>
        <w:lang w:val="en-us" w:eastAsia="en-US" w:bidi="ar-SA"/>
      </w:rPr>
    </w:lvl>
    <w:lvl w:ilvl="7">
      <w:start w:val="0"/>
      <w:numFmt w:val="bullet"/>
      <w:lvlText w:val="•"/>
      <w:lvlJc w:val="left"/>
      <w:pPr>
        <w:ind w:left="6261" w:hanging="360"/>
      </w:pPr>
      <w:rPr>
        <w:rFonts w:hint="default"/>
        <w:lang w:val="en-us" w:eastAsia="en-US" w:bidi="ar-SA"/>
      </w:rPr>
    </w:lvl>
    <w:lvl w:ilvl="8">
      <w:start w:val="0"/>
      <w:numFmt w:val="bullet"/>
      <w:lvlText w:val="•"/>
      <w:lvlJc w:val="left"/>
      <w:pPr>
        <w:ind w:left="7093" w:hanging="360"/>
      </w:pPr>
      <w:rPr>
        <w:rFonts w:hint="default"/>
        <w:lang w:val="en-us" w:eastAsia="en-US" w:bidi="ar-SA"/>
      </w:rPr>
    </w:lvl>
  </w:abstractNum>
  <w:abstractNum w:abstractNumId="25">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03" w:hanging="360"/>
      </w:pPr>
      <w:rPr>
        <w:rFonts w:hint="default"/>
        <w:lang w:val="en-us" w:eastAsia="en-US" w:bidi="ar-SA"/>
      </w:rPr>
    </w:lvl>
    <w:lvl w:ilvl="3">
      <w:start w:val="0"/>
      <w:numFmt w:val="bullet"/>
      <w:lvlText w:val="•"/>
      <w:lvlJc w:val="left"/>
      <w:pPr>
        <w:ind w:left="2935" w:hanging="360"/>
      </w:pPr>
      <w:rPr>
        <w:rFonts w:hint="default"/>
        <w:lang w:val="en-us" w:eastAsia="en-US" w:bidi="ar-SA"/>
      </w:rPr>
    </w:lvl>
    <w:lvl w:ilvl="4">
      <w:start w:val="0"/>
      <w:numFmt w:val="bullet"/>
      <w:lvlText w:val="•"/>
      <w:lvlJc w:val="left"/>
      <w:pPr>
        <w:ind w:left="3766" w:hanging="360"/>
      </w:pPr>
      <w:rPr>
        <w:rFonts w:hint="default"/>
        <w:lang w:val="en-us" w:eastAsia="en-US" w:bidi="ar-SA"/>
      </w:rPr>
    </w:lvl>
    <w:lvl w:ilvl="5">
      <w:start w:val="0"/>
      <w:numFmt w:val="bullet"/>
      <w:lvlText w:val="•"/>
      <w:lvlJc w:val="left"/>
      <w:pPr>
        <w:ind w:left="4598" w:hanging="360"/>
      </w:pPr>
      <w:rPr>
        <w:rFonts w:hint="default"/>
        <w:lang w:val="en-us" w:eastAsia="en-US" w:bidi="ar-SA"/>
      </w:rPr>
    </w:lvl>
    <w:lvl w:ilvl="6">
      <w:start w:val="0"/>
      <w:numFmt w:val="bullet"/>
      <w:lvlText w:val="•"/>
      <w:lvlJc w:val="left"/>
      <w:pPr>
        <w:ind w:left="5430" w:hanging="360"/>
      </w:pPr>
      <w:rPr>
        <w:rFonts w:hint="default"/>
        <w:lang w:val="en-us" w:eastAsia="en-US" w:bidi="ar-SA"/>
      </w:rPr>
    </w:lvl>
    <w:lvl w:ilvl="7">
      <w:start w:val="0"/>
      <w:numFmt w:val="bullet"/>
      <w:lvlText w:val="•"/>
      <w:lvlJc w:val="left"/>
      <w:pPr>
        <w:ind w:left="6261" w:hanging="360"/>
      </w:pPr>
      <w:rPr>
        <w:rFonts w:hint="default"/>
        <w:lang w:val="en-us" w:eastAsia="en-US" w:bidi="ar-SA"/>
      </w:rPr>
    </w:lvl>
    <w:lvl w:ilvl="8">
      <w:start w:val="0"/>
      <w:numFmt w:val="bullet"/>
      <w:lvlText w:val="•"/>
      <w:lvlJc w:val="left"/>
      <w:pPr>
        <w:ind w:left="7093" w:hanging="360"/>
      </w:pPr>
      <w:rPr>
        <w:rFonts w:hint="default"/>
        <w:lang w:val="en-us" w:eastAsia="en-US" w:bidi="ar-SA"/>
      </w:rPr>
    </w:lvl>
  </w:abstractNum>
  <w:abstractNum w:abstractNumId="24">
    <w:multiLevelType w:val="hybridMultilevel"/>
    <w:lvl w:ilvl="0">
      <w:start w:val="0"/>
      <w:numFmt w:val="bullet"/>
      <w:lvlText w:val=""/>
      <w:lvlJc w:val="left"/>
      <w:pPr>
        <w:ind w:left="439"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03" w:hanging="360"/>
      </w:pPr>
      <w:rPr>
        <w:rFonts w:hint="default"/>
        <w:lang w:val="en-us" w:eastAsia="en-US" w:bidi="ar-SA"/>
      </w:rPr>
    </w:lvl>
    <w:lvl w:ilvl="3">
      <w:start w:val="0"/>
      <w:numFmt w:val="bullet"/>
      <w:lvlText w:val="•"/>
      <w:lvlJc w:val="left"/>
      <w:pPr>
        <w:ind w:left="2935" w:hanging="360"/>
      </w:pPr>
      <w:rPr>
        <w:rFonts w:hint="default"/>
        <w:lang w:val="en-us" w:eastAsia="en-US" w:bidi="ar-SA"/>
      </w:rPr>
    </w:lvl>
    <w:lvl w:ilvl="4">
      <w:start w:val="0"/>
      <w:numFmt w:val="bullet"/>
      <w:lvlText w:val="•"/>
      <w:lvlJc w:val="left"/>
      <w:pPr>
        <w:ind w:left="3766" w:hanging="360"/>
      </w:pPr>
      <w:rPr>
        <w:rFonts w:hint="default"/>
        <w:lang w:val="en-us" w:eastAsia="en-US" w:bidi="ar-SA"/>
      </w:rPr>
    </w:lvl>
    <w:lvl w:ilvl="5">
      <w:start w:val="0"/>
      <w:numFmt w:val="bullet"/>
      <w:lvlText w:val="•"/>
      <w:lvlJc w:val="left"/>
      <w:pPr>
        <w:ind w:left="4598" w:hanging="360"/>
      </w:pPr>
      <w:rPr>
        <w:rFonts w:hint="default"/>
        <w:lang w:val="en-us" w:eastAsia="en-US" w:bidi="ar-SA"/>
      </w:rPr>
    </w:lvl>
    <w:lvl w:ilvl="6">
      <w:start w:val="0"/>
      <w:numFmt w:val="bullet"/>
      <w:lvlText w:val="•"/>
      <w:lvlJc w:val="left"/>
      <w:pPr>
        <w:ind w:left="5430" w:hanging="360"/>
      </w:pPr>
      <w:rPr>
        <w:rFonts w:hint="default"/>
        <w:lang w:val="en-us" w:eastAsia="en-US" w:bidi="ar-SA"/>
      </w:rPr>
    </w:lvl>
    <w:lvl w:ilvl="7">
      <w:start w:val="0"/>
      <w:numFmt w:val="bullet"/>
      <w:lvlText w:val="•"/>
      <w:lvlJc w:val="left"/>
      <w:pPr>
        <w:ind w:left="6261" w:hanging="360"/>
      </w:pPr>
      <w:rPr>
        <w:rFonts w:hint="default"/>
        <w:lang w:val="en-us" w:eastAsia="en-US" w:bidi="ar-SA"/>
      </w:rPr>
    </w:lvl>
    <w:lvl w:ilvl="8">
      <w:start w:val="0"/>
      <w:numFmt w:val="bullet"/>
      <w:lvlText w:val="•"/>
      <w:lvlJc w:val="left"/>
      <w:pPr>
        <w:ind w:left="7093" w:hanging="360"/>
      </w:pPr>
      <w:rPr>
        <w:rFonts w:hint="default"/>
        <w:lang w:val="en-us" w:eastAsia="en-US" w:bidi="ar-SA"/>
      </w:rPr>
    </w:lvl>
  </w:abstractNum>
  <w:abstractNum w:abstractNumId="23">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03" w:hanging="360"/>
      </w:pPr>
      <w:rPr>
        <w:rFonts w:hint="default"/>
        <w:lang w:val="en-us" w:eastAsia="en-US" w:bidi="ar-SA"/>
      </w:rPr>
    </w:lvl>
    <w:lvl w:ilvl="3">
      <w:start w:val="0"/>
      <w:numFmt w:val="bullet"/>
      <w:lvlText w:val="•"/>
      <w:lvlJc w:val="left"/>
      <w:pPr>
        <w:ind w:left="2935" w:hanging="360"/>
      </w:pPr>
      <w:rPr>
        <w:rFonts w:hint="default"/>
        <w:lang w:val="en-us" w:eastAsia="en-US" w:bidi="ar-SA"/>
      </w:rPr>
    </w:lvl>
    <w:lvl w:ilvl="4">
      <w:start w:val="0"/>
      <w:numFmt w:val="bullet"/>
      <w:lvlText w:val="•"/>
      <w:lvlJc w:val="left"/>
      <w:pPr>
        <w:ind w:left="3766" w:hanging="360"/>
      </w:pPr>
      <w:rPr>
        <w:rFonts w:hint="default"/>
        <w:lang w:val="en-us" w:eastAsia="en-US" w:bidi="ar-SA"/>
      </w:rPr>
    </w:lvl>
    <w:lvl w:ilvl="5">
      <w:start w:val="0"/>
      <w:numFmt w:val="bullet"/>
      <w:lvlText w:val="•"/>
      <w:lvlJc w:val="left"/>
      <w:pPr>
        <w:ind w:left="4598" w:hanging="360"/>
      </w:pPr>
      <w:rPr>
        <w:rFonts w:hint="default"/>
        <w:lang w:val="en-us" w:eastAsia="en-US" w:bidi="ar-SA"/>
      </w:rPr>
    </w:lvl>
    <w:lvl w:ilvl="6">
      <w:start w:val="0"/>
      <w:numFmt w:val="bullet"/>
      <w:lvlText w:val="•"/>
      <w:lvlJc w:val="left"/>
      <w:pPr>
        <w:ind w:left="5430" w:hanging="360"/>
      </w:pPr>
      <w:rPr>
        <w:rFonts w:hint="default"/>
        <w:lang w:val="en-us" w:eastAsia="en-US" w:bidi="ar-SA"/>
      </w:rPr>
    </w:lvl>
    <w:lvl w:ilvl="7">
      <w:start w:val="0"/>
      <w:numFmt w:val="bullet"/>
      <w:lvlText w:val="•"/>
      <w:lvlJc w:val="left"/>
      <w:pPr>
        <w:ind w:left="6261" w:hanging="360"/>
      </w:pPr>
      <w:rPr>
        <w:rFonts w:hint="default"/>
        <w:lang w:val="en-us" w:eastAsia="en-US" w:bidi="ar-SA"/>
      </w:rPr>
    </w:lvl>
    <w:lvl w:ilvl="8">
      <w:start w:val="0"/>
      <w:numFmt w:val="bullet"/>
      <w:lvlText w:val="•"/>
      <w:lvlJc w:val="left"/>
      <w:pPr>
        <w:ind w:left="7093" w:hanging="360"/>
      </w:pPr>
      <w:rPr>
        <w:rFonts w:hint="default"/>
        <w:lang w:val="en-us" w:eastAsia="en-US" w:bidi="ar-SA"/>
      </w:rPr>
    </w:lvl>
  </w:abstractNum>
  <w:abstractNum w:abstractNumId="22">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03" w:hanging="360"/>
      </w:pPr>
      <w:rPr>
        <w:rFonts w:hint="default"/>
        <w:lang w:val="en-us" w:eastAsia="en-US" w:bidi="ar-SA"/>
      </w:rPr>
    </w:lvl>
    <w:lvl w:ilvl="3">
      <w:start w:val="0"/>
      <w:numFmt w:val="bullet"/>
      <w:lvlText w:val="•"/>
      <w:lvlJc w:val="left"/>
      <w:pPr>
        <w:ind w:left="2935" w:hanging="360"/>
      </w:pPr>
      <w:rPr>
        <w:rFonts w:hint="default"/>
        <w:lang w:val="en-us" w:eastAsia="en-US" w:bidi="ar-SA"/>
      </w:rPr>
    </w:lvl>
    <w:lvl w:ilvl="4">
      <w:start w:val="0"/>
      <w:numFmt w:val="bullet"/>
      <w:lvlText w:val="•"/>
      <w:lvlJc w:val="left"/>
      <w:pPr>
        <w:ind w:left="3766" w:hanging="360"/>
      </w:pPr>
      <w:rPr>
        <w:rFonts w:hint="default"/>
        <w:lang w:val="en-us" w:eastAsia="en-US" w:bidi="ar-SA"/>
      </w:rPr>
    </w:lvl>
    <w:lvl w:ilvl="5">
      <w:start w:val="0"/>
      <w:numFmt w:val="bullet"/>
      <w:lvlText w:val="•"/>
      <w:lvlJc w:val="left"/>
      <w:pPr>
        <w:ind w:left="4598" w:hanging="360"/>
      </w:pPr>
      <w:rPr>
        <w:rFonts w:hint="default"/>
        <w:lang w:val="en-us" w:eastAsia="en-US" w:bidi="ar-SA"/>
      </w:rPr>
    </w:lvl>
    <w:lvl w:ilvl="6">
      <w:start w:val="0"/>
      <w:numFmt w:val="bullet"/>
      <w:lvlText w:val="•"/>
      <w:lvlJc w:val="left"/>
      <w:pPr>
        <w:ind w:left="5430" w:hanging="360"/>
      </w:pPr>
      <w:rPr>
        <w:rFonts w:hint="default"/>
        <w:lang w:val="en-us" w:eastAsia="en-US" w:bidi="ar-SA"/>
      </w:rPr>
    </w:lvl>
    <w:lvl w:ilvl="7">
      <w:start w:val="0"/>
      <w:numFmt w:val="bullet"/>
      <w:lvlText w:val="•"/>
      <w:lvlJc w:val="left"/>
      <w:pPr>
        <w:ind w:left="6261" w:hanging="360"/>
      </w:pPr>
      <w:rPr>
        <w:rFonts w:hint="default"/>
        <w:lang w:val="en-us" w:eastAsia="en-US" w:bidi="ar-SA"/>
      </w:rPr>
    </w:lvl>
    <w:lvl w:ilvl="8">
      <w:start w:val="0"/>
      <w:numFmt w:val="bullet"/>
      <w:lvlText w:val="•"/>
      <w:lvlJc w:val="left"/>
      <w:pPr>
        <w:ind w:left="7093" w:hanging="360"/>
      </w:pPr>
      <w:rPr>
        <w:rFonts w:hint="default"/>
        <w:lang w:val="en-us" w:eastAsia="en-US" w:bidi="ar-SA"/>
      </w:rPr>
    </w:lvl>
  </w:abstractNum>
  <w:abstractNum w:abstractNumId="21">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03" w:hanging="360"/>
      </w:pPr>
      <w:rPr>
        <w:rFonts w:hint="default"/>
        <w:lang w:val="en-us" w:eastAsia="en-US" w:bidi="ar-SA"/>
      </w:rPr>
    </w:lvl>
    <w:lvl w:ilvl="3">
      <w:start w:val="0"/>
      <w:numFmt w:val="bullet"/>
      <w:lvlText w:val="•"/>
      <w:lvlJc w:val="left"/>
      <w:pPr>
        <w:ind w:left="2935" w:hanging="360"/>
      </w:pPr>
      <w:rPr>
        <w:rFonts w:hint="default"/>
        <w:lang w:val="en-us" w:eastAsia="en-US" w:bidi="ar-SA"/>
      </w:rPr>
    </w:lvl>
    <w:lvl w:ilvl="4">
      <w:start w:val="0"/>
      <w:numFmt w:val="bullet"/>
      <w:lvlText w:val="•"/>
      <w:lvlJc w:val="left"/>
      <w:pPr>
        <w:ind w:left="3766" w:hanging="360"/>
      </w:pPr>
      <w:rPr>
        <w:rFonts w:hint="default"/>
        <w:lang w:val="en-us" w:eastAsia="en-US" w:bidi="ar-SA"/>
      </w:rPr>
    </w:lvl>
    <w:lvl w:ilvl="5">
      <w:start w:val="0"/>
      <w:numFmt w:val="bullet"/>
      <w:lvlText w:val="•"/>
      <w:lvlJc w:val="left"/>
      <w:pPr>
        <w:ind w:left="4598" w:hanging="360"/>
      </w:pPr>
      <w:rPr>
        <w:rFonts w:hint="default"/>
        <w:lang w:val="en-us" w:eastAsia="en-US" w:bidi="ar-SA"/>
      </w:rPr>
    </w:lvl>
    <w:lvl w:ilvl="6">
      <w:start w:val="0"/>
      <w:numFmt w:val="bullet"/>
      <w:lvlText w:val="•"/>
      <w:lvlJc w:val="left"/>
      <w:pPr>
        <w:ind w:left="5430" w:hanging="360"/>
      </w:pPr>
      <w:rPr>
        <w:rFonts w:hint="default"/>
        <w:lang w:val="en-us" w:eastAsia="en-US" w:bidi="ar-SA"/>
      </w:rPr>
    </w:lvl>
    <w:lvl w:ilvl="7">
      <w:start w:val="0"/>
      <w:numFmt w:val="bullet"/>
      <w:lvlText w:val="•"/>
      <w:lvlJc w:val="left"/>
      <w:pPr>
        <w:ind w:left="6261" w:hanging="360"/>
      </w:pPr>
      <w:rPr>
        <w:rFonts w:hint="default"/>
        <w:lang w:val="en-us" w:eastAsia="en-US" w:bidi="ar-SA"/>
      </w:rPr>
    </w:lvl>
    <w:lvl w:ilvl="8">
      <w:start w:val="0"/>
      <w:numFmt w:val="bullet"/>
      <w:lvlText w:val="•"/>
      <w:lvlJc w:val="left"/>
      <w:pPr>
        <w:ind w:left="7093" w:hanging="360"/>
      </w:pPr>
      <w:rPr>
        <w:rFonts w:hint="default"/>
        <w:lang w:val="en-us" w:eastAsia="en-US" w:bidi="ar-SA"/>
      </w:rPr>
    </w:lvl>
  </w:abstractNum>
  <w:abstractNum w:abstractNumId="20">
    <w:multiLevelType w:val="hybridMultilevel"/>
    <w:lvl w:ilvl="0">
      <w:start w:val="0"/>
      <w:numFmt w:val="bullet"/>
      <w:lvlText w:val=""/>
      <w:lvlJc w:val="left"/>
      <w:pPr>
        <w:ind w:left="439"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5" w:hanging="360"/>
      </w:pPr>
      <w:rPr>
        <w:rFonts w:hint="default"/>
        <w:lang w:val="en-us" w:eastAsia="en-US" w:bidi="ar-SA"/>
      </w:rPr>
    </w:lvl>
    <w:lvl w:ilvl="2">
      <w:start w:val="0"/>
      <w:numFmt w:val="bullet"/>
      <w:lvlText w:val="•"/>
      <w:lvlJc w:val="left"/>
      <w:pPr>
        <w:ind w:left="2111" w:hanging="360"/>
      </w:pPr>
      <w:rPr>
        <w:rFonts w:hint="default"/>
        <w:lang w:val="en-us" w:eastAsia="en-US" w:bidi="ar-SA"/>
      </w:rPr>
    </w:lvl>
    <w:lvl w:ilvl="3">
      <w:start w:val="0"/>
      <w:numFmt w:val="bullet"/>
      <w:lvlText w:val="•"/>
      <w:lvlJc w:val="left"/>
      <w:pPr>
        <w:ind w:left="2946" w:hanging="360"/>
      </w:pPr>
      <w:rPr>
        <w:rFonts w:hint="default"/>
        <w:lang w:val="en-us" w:eastAsia="en-US" w:bidi="ar-SA"/>
      </w:rPr>
    </w:lvl>
    <w:lvl w:ilvl="4">
      <w:start w:val="0"/>
      <w:numFmt w:val="bullet"/>
      <w:lvlText w:val="•"/>
      <w:lvlJc w:val="left"/>
      <w:pPr>
        <w:ind w:left="3782" w:hanging="360"/>
      </w:pPr>
      <w:rPr>
        <w:rFonts w:hint="default"/>
        <w:lang w:val="en-us" w:eastAsia="en-US" w:bidi="ar-SA"/>
      </w:rPr>
    </w:lvl>
    <w:lvl w:ilvl="5">
      <w:start w:val="0"/>
      <w:numFmt w:val="bullet"/>
      <w:lvlText w:val="•"/>
      <w:lvlJc w:val="left"/>
      <w:pPr>
        <w:ind w:left="4617" w:hanging="360"/>
      </w:pPr>
      <w:rPr>
        <w:rFonts w:hint="default"/>
        <w:lang w:val="en-us" w:eastAsia="en-US" w:bidi="ar-SA"/>
      </w:rPr>
    </w:lvl>
    <w:lvl w:ilvl="6">
      <w:start w:val="0"/>
      <w:numFmt w:val="bullet"/>
      <w:lvlText w:val="•"/>
      <w:lvlJc w:val="left"/>
      <w:pPr>
        <w:ind w:left="5453" w:hanging="360"/>
      </w:pPr>
      <w:rPr>
        <w:rFonts w:hint="default"/>
        <w:lang w:val="en-us" w:eastAsia="en-US" w:bidi="ar-SA"/>
      </w:rPr>
    </w:lvl>
    <w:lvl w:ilvl="7">
      <w:start w:val="0"/>
      <w:numFmt w:val="bullet"/>
      <w:lvlText w:val="•"/>
      <w:lvlJc w:val="left"/>
      <w:pPr>
        <w:ind w:left="6288" w:hanging="360"/>
      </w:pPr>
      <w:rPr>
        <w:rFonts w:hint="default"/>
        <w:lang w:val="en-us" w:eastAsia="en-US" w:bidi="ar-SA"/>
      </w:rPr>
    </w:lvl>
    <w:lvl w:ilvl="8">
      <w:start w:val="0"/>
      <w:numFmt w:val="bullet"/>
      <w:lvlText w:val="•"/>
      <w:lvlJc w:val="left"/>
      <w:pPr>
        <w:ind w:left="7124" w:hanging="360"/>
      </w:pPr>
      <w:rPr>
        <w:rFonts w:hint="default"/>
        <w:lang w:val="en-us" w:eastAsia="en-US" w:bidi="ar-SA"/>
      </w:rPr>
    </w:lvl>
  </w:abstractNum>
  <w:abstractNum w:abstractNumId="19">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5" w:hanging="360"/>
      </w:pPr>
      <w:rPr>
        <w:rFonts w:hint="default"/>
        <w:lang w:val="en-us" w:eastAsia="en-US" w:bidi="ar-SA"/>
      </w:rPr>
    </w:lvl>
    <w:lvl w:ilvl="2">
      <w:start w:val="0"/>
      <w:numFmt w:val="bullet"/>
      <w:lvlText w:val="•"/>
      <w:lvlJc w:val="left"/>
      <w:pPr>
        <w:ind w:left="2111" w:hanging="360"/>
      </w:pPr>
      <w:rPr>
        <w:rFonts w:hint="default"/>
        <w:lang w:val="en-us" w:eastAsia="en-US" w:bidi="ar-SA"/>
      </w:rPr>
    </w:lvl>
    <w:lvl w:ilvl="3">
      <w:start w:val="0"/>
      <w:numFmt w:val="bullet"/>
      <w:lvlText w:val="•"/>
      <w:lvlJc w:val="left"/>
      <w:pPr>
        <w:ind w:left="2946" w:hanging="360"/>
      </w:pPr>
      <w:rPr>
        <w:rFonts w:hint="default"/>
        <w:lang w:val="en-us" w:eastAsia="en-US" w:bidi="ar-SA"/>
      </w:rPr>
    </w:lvl>
    <w:lvl w:ilvl="4">
      <w:start w:val="0"/>
      <w:numFmt w:val="bullet"/>
      <w:lvlText w:val="•"/>
      <w:lvlJc w:val="left"/>
      <w:pPr>
        <w:ind w:left="3782" w:hanging="360"/>
      </w:pPr>
      <w:rPr>
        <w:rFonts w:hint="default"/>
        <w:lang w:val="en-us" w:eastAsia="en-US" w:bidi="ar-SA"/>
      </w:rPr>
    </w:lvl>
    <w:lvl w:ilvl="5">
      <w:start w:val="0"/>
      <w:numFmt w:val="bullet"/>
      <w:lvlText w:val="•"/>
      <w:lvlJc w:val="left"/>
      <w:pPr>
        <w:ind w:left="4617" w:hanging="360"/>
      </w:pPr>
      <w:rPr>
        <w:rFonts w:hint="default"/>
        <w:lang w:val="en-us" w:eastAsia="en-US" w:bidi="ar-SA"/>
      </w:rPr>
    </w:lvl>
    <w:lvl w:ilvl="6">
      <w:start w:val="0"/>
      <w:numFmt w:val="bullet"/>
      <w:lvlText w:val="•"/>
      <w:lvlJc w:val="left"/>
      <w:pPr>
        <w:ind w:left="5453" w:hanging="360"/>
      </w:pPr>
      <w:rPr>
        <w:rFonts w:hint="default"/>
        <w:lang w:val="en-us" w:eastAsia="en-US" w:bidi="ar-SA"/>
      </w:rPr>
    </w:lvl>
    <w:lvl w:ilvl="7">
      <w:start w:val="0"/>
      <w:numFmt w:val="bullet"/>
      <w:lvlText w:val="•"/>
      <w:lvlJc w:val="left"/>
      <w:pPr>
        <w:ind w:left="6288" w:hanging="360"/>
      </w:pPr>
      <w:rPr>
        <w:rFonts w:hint="default"/>
        <w:lang w:val="en-us" w:eastAsia="en-US" w:bidi="ar-SA"/>
      </w:rPr>
    </w:lvl>
    <w:lvl w:ilvl="8">
      <w:start w:val="0"/>
      <w:numFmt w:val="bullet"/>
      <w:lvlText w:val="•"/>
      <w:lvlJc w:val="left"/>
      <w:pPr>
        <w:ind w:left="7124" w:hanging="360"/>
      </w:pPr>
      <w:rPr>
        <w:rFonts w:hint="default"/>
        <w:lang w:val="en-us" w:eastAsia="en-US" w:bidi="ar-SA"/>
      </w:rPr>
    </w:lvl>
  </w:abstractNum>
  <w:abstractNum w:abstractNumId="18">
    <w:multiLevelType w:val="hybridMultilevel"/>
    <w:lvl w:ilvl="0">
      <w:start w:val="0"/>
      <w:numFmt w:val="bullet"/>
      <w:lvlText w:val=""/>
      <w:lvlJc w:val="left"/>
      <w:pPr>
        <w:ind w:left="439"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5" w:hanging="360"/>
      </w:pPr>
      <w:rPr>
        <w:rFonts w:hint="default"/>
        <w:lang w:val="en-us" w:eastAsia="en-US" w:bidi="ar-SA"/>
      </w:rPr>
    </w:lvl>
    <w:lvl w:ilvl="2">
      <w:start w:val="0"/>
      <w:numFmt w:val="bullet"/>
      <w:lvlText w:val="•"/>
      <w:lvlJc w:val="left"/>
      <w:pPr>
        <w:ind w:left="2111" w:hanging="360"/>
      </w:pPr>
      <w:rPr>
        <w:rFonts w:hint="default"/>
        <w:lang w:val="en-us" w:eastAsia="en-US" w:bidi="ar-SA"/>
      </w:rPr>
    </w:lvl>
    <w:lvl w:ilvl="3">
      <w:start w:val="0"/>
      <w:numFmt w:val="bullet"/>
      <w:lvlText w:val="•"/>
      <w:lvlJc w:val="left"/>
      <w:pPr>
        <w:ind w:left="2946" w:hanging="360"/>
      </w:pPr>
      <w:rPr>
        <w:rFonts w:hint="default"/>
        <w:lang w:val="en-us" w:eastAsia="en-US" w:bidi="ar-SA"/>
      </w:rPr>
    </w:lvl>
    <w:lvl w:ilvl="4">
      <w:start w:val="0"/>
      <w:numFmt w:val="bullet"/>
      <w:lvlText w:val="•"/>
      <w:lvlJc w:val="left"/>
      <w:pPr>
        <w:ind w:left="3782" w:hanging="360"/>
      </w:pPr>
      <w:rPr>
        <w:rFonts w:hint="default"/>
        <w:lang w:val="en-us" w:eastAsia="en-US" w:bidi="ar-SA"/>
      </w:rPr>
    </w:lvl>
    <w:lvl w:ilvl="5">
      <w:start w:val="0"/>
      <w:numFmt w:val="bullet"/>
      <w:lvlText w:val="•"/>
      <w:lvlJc w:val="left"/>
      <w:pPr>
        <w:ind w:left="4617" w:hanging="360"/>
      </w:pPr>
      <w:rPr>
        <w:rFonts w:hint="default"/>
        <w:lang w:val="en-us" w:eastAsia="en-US" w:bidi="ar-SA"/>
      </w:rPr>
    </w:lvl>
    <w:lvl w:ilvl="6">
      <w:start w:val="0"/>
      <w:numFmt w:val="bullet"/>
      <w:lvlText w:val="•"/>
      <w:lvlJc w:val="left"/>
      <w:pPr>
        <w:ind w:left="5453" w:hanging="360"/>
      </w:pPr>
      <w:rPr>
        <w:rFonts w:hint="default"/>
        <w:lang w:val="en-us" w:eastAsia="en-US" w:bidi="ar-SA"/>
      </w:rPr>
    </w:lvl>
    <w:lvl w:ilvl="7">
      <w:start w:val="0"/>
      <w:numFmt w:val="bullet"/>
      <w:lvlText w:val="•"/>
      <w:lvlJc w:val="left"/>
      <w:pPr>
        <w:ind w:left="6288" w:hanging="360"/>
      </w:pPr>
      <w:rPr>
        <w:rFonts w:hint="default"/>
        <w:lang w:val="en-us" w:eastAsia="en-US" w:bidi="ar-SA"/>
      </w:rPr>
    </w:lvl>
    <w:lvl w:ilvl="8">
      <w:start w:val="0"/>
      <w:numFmt w:val="bullet"/>
      <w:lvlText w:val="•"/>
      <w:lvlJc w:val="left"/>
      <w:pPr>
        <w:ind w:left="7124" w:hanging="360"/>
      </w:pPr>
      <w:rPr>
        <w:rFonts w:hint="default"/>
        <w:lang w:val="en-us" w:eastAsia="en-US" w:bidi="ar-SA"/>
      </w:rPr>
    </w:lvl>
  </w:abstractNum>
  <w:abstractNum w:abstractNumId="17">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5" w:hanging="360"/>
      </w:pPr>
      <w:rPr>
        <w:rFonts w:hint="default"/>
        <w:lang w:val="en-us" w:eastAsia="en-US" w:bidi="ar-SA"/>
      </w:rPr>
    </w:lvl>
    <w:lvl w:ilvl="2">
      <w:start w:val="0"/>
      <w:numFmt w:val="bullet"/>
      <w:lvlText w:val="•"/>
      <w:lvlJc w:val="left"/>
      <w:pPr>
        <w:ind w:left="2111" w:hanging="360"/>
      </w:pPr>
      <w:rPr>
        <w:rFonts w:hint="default"/>
        <w:lang w:val="en-us" w:eastAsia="en-US" w:bidi="ar-SA"/>
      </w:rPr>
    </w:lvl>
    <w:lvl w:ilvl="3">
      <w:start w:val="0"/>
      <w:numFmt w:val="bullet"/>
      <w:lvlText w:val="•"/>
      <w:lvlJc w:val="left"/>
      <w:pPr>
        <w:ind w:left="2946" w:hanging="360"/>
      </w:pPr>
      <w:rPr>
        <w:rFonts w:hint="default"/>
        <w:lang w:val="en-us" w:eastAsia="en-US" w:bidi="ar-SA"/>
      </w:rPr>
    </w:lvl>
    <w:lvl w:ilvl="4">
      <w:start w:val="0"/>
      <w:numFmt w:val="bullet"/>
      <w:lvlText w:val="•"/>
      <w:lvlJc w:val="left"/>
      <w:pPr>
        <w:ind w:left="3782" w:hanging="360"/>
      </w:pPr>
      <w:rPr>
        <w:rFonts w:hint="default"/>
        <w:lang w:val="en-us" w:eastAsia="en-US" w:bidi="ar-SA"/>
      </w:rPr>
    </w:lvl>
    <w:lvl w:ilvl="5">
      <w:start w:val="0"/>
      <w:numFmt w:val="bullet"/>
      <w:lvlText w:val="•"/>
      <w:lvlJc w:val="left"/>
      <w:pPr>
        <w:ind w:left="4617" w:hanging="360"/>
      </w:pPr>
      <w:rPr>
        <w:rFonts w:hint="default"/>
        <w:lang w:val="en-us" w:eastAsia="en-US" w:bidi="ar-SA"/>
      </w:rPr>
    </w:lvl>
    <w:lvl w:ilvl="6">
      <w:start w:val="0"/>
      <w:numFmt w:val="bullet"/>
      <w:lvlText w:val="•"/>
      <w:lvlJc w:val="left"/>
      <w:pPr>
        <w:ind w:left="5453" w:hanging="360"/>
      </w:pPr>
      <w:rPr>
        <w:rFonts w:hint="default"/>
        <w:lang w:val="en-us" w:eastAsia="en-US" w:bidi="ar-SA"/>
      </w:rPr>
    </w:lvl>
    <w:lvl w:ilvl="7">
      <w:start w:val="0"/>
      <w:numFmt w:val="bullet"/>
      <w:lvlText w:val="•"/>
      <w:lvlJc w:val="left"/>
      <w:pPr>
        <w:ind w:left="6288" w:hanging="360"/>
      </w:pPr>
      <w:rPr>
        <w:rFonts w:hint="default"/>
        <w:lang w:val="en-us" w:eastAsia="en-US" w:bidi="ar-SA"/>
      </w:rPr>
    </w:lvl>
    <w:lvl w:ilvl="8">
      <w:start w:val="0"/>
      <w:numFmt w:val="bullet"/>
      <w:lvlText w:val="•"/>
      <w:lvlJc w:val="left"/>
      <w:pPr>
        <w:ind w:left="7124" w:hanging="360"/>
      </w:pPr>
      <w:rPr>
        <w:rFonts w:hint="default"/>
        <w:lang w:val="en-us" w:eastAsia="en-US" w:bidi="ar-SA"/>
      </w:rPr>
    </w:lvl>
  </w:abstractNum>
  <w:abstractNum w:abstractNumId="16">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5" w:hanging="360"/>
      </w:pPr>
      <w:rPr>
        <w:rFonts w:hint="default"/>
        <w:lang w:val="en-us" w:eastAsia="en-US" w:bidi="ar-SA"/>
      </w:rPr>
    </w:lvl>
    <w:lvl w:ilvl="2">
      <w:start w:val="0"/>
      <w:numFmt w:val="bullet"/>
      <w:lvlText w:val="•"/>
      <w:lvlJc w:val="left"/>
      <w:pPr>
        <w:ind w:left="2111" w:hanging="360"/>
      </w:pPr>
      <w:rPr>
        <w:rFonts w:hint="default"/>
        <w:lang w:val="en-us" w:eastAsia="en-US" w:bidi="ar-SA"/>
      </w:rPr>
    </w:lvl>
    <w:lvl w:ilvl="3">
      <w:start w:val="0"/>
      <w:numFmt w:val="bullet"/>
      <w:lvlText w:val="•"/>
      <w:lvlJc w:val="left"/>
      <w:pPr>
        <w:ind w:left="2946" w:hanging="360"/>
      </w:pPr>
      <w:rPr>
        <w:rFonts w:hint="default"/>
        <w:lang w:val="en-us" w:eastAsia="en-US" w:bidi="ar-SA"/>
      </w:rPr>
    </w:lvl>
    <w:lvl w:ilvl="4">
      <w:start w:val="0"/>
      <w:numFmt w:val="bullet"/>
      <w:lvlText w:val="•"/>
      <w:lvlJc w:val="left"/>
      <w:pPr>
        <w:ind w:left="3782" w:hanging="360"/>
      </w:pPr>
      <w:rPr>
        <w:rFonts w:hint="default"/>
        <w:lang w:val="en-us" w:eastAsia="en-US" w:bidi="ar-SA"/>
      </w:rPr>
    </w:lvl>
    <w:lvl w:ilvl="5">
      <w:start w:val="0"/>
      <w:numFmt w:val="bullet"/>
      <w:lvlText w:val="•"/>
      <w:lvlJc w:val="left"/>
      <w:pPr>
        <w:ind w:left="4617" w:hanging="360"/>
      </w:pPr>
      <w:rPr>
        <w:rFonts w:hint="default"/>
        <w:lang w:val="en-us" w:eastAsia="en-US" w:bidi="ar-SA"/>
      </w:rPr>
    </w:lvl>
    <w:lvl w:ilvl="6">
      <w:start w:val="0"/>
      <w:numFmt w:val="bullet"/>
      <w:lvlText w:val="•"/>
      <w:lvlJc w:val="left"/>
      <w:pPr>
        <w:ind w:left="5453" w:hanging="360"/>
      </w:pPr>
      <w:rPr>
        <w:rFonts w:hint="default"/>
        <w:lang w:val="en-us" w:eastAsia="en-US" w:bidi="ar-SA"/>
      </w:rPr>
    </w:lvl>
    <w:lvl w:ilvl="7">
      <w:start w:val="0"/>
      <w:numFmt w:val="bullet"/>
      <w:lvlText w:val="•"/>
      <w:lvlJc w:val="left"/>
      <w:pPr>
        <w:ind w:left="6288" w:hanging="360"/>
      </w:pPr>
      <w:rPr>
        <w:rFonts w:hint="default"/>
        <w:lang w:val="en-us" w:eastAsia="en-US" w:bidi="ar-SA"/>
      </w:rPr>
    </w:lvl>
    <w:lvl w:ilvl="8">
      <w:start w:val="0"/>
      <w:numFmt w:val="bullet"/>
      <w:lvlText w:val="•"/>
      <w:lvlJc w:val="left"/>
      <w:pPr>
        <w:ind w:left="7124" w:hanging="360"/>
      </w:pPr>
      <w:rPr>
        <w:rFonts w:hint="default"/>
        <w:lang w:val="en-us" w:eastAsia="en-US" w:bidi="ar-SA"/>
      </w:rPr>
    </w:lvl>
  </w:abstractNum>
  <w:abstractNum w:abstractNumId="15">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5" w:hanging="360"/>
      </w:pPr>
      <w:rPr>
        <w:rFonts w:hint="default"/>
        <w:lang w:val="en-us" w:eastAsia="en-US" w:bidi="ar-SA"/>
      </w:rPr>
    </w:lvl>
    <w:lvl w:ilvl="2">
      <w:start w:val="0"/>
      <w:numFmt w:val="bullet"/>
      <w:lvlText w:val="•"/>
      <w:lvlJc w:val="left"/>
      <w:pPr>
        <w:ind w:left="2111" w:hanging="360"/>
      </w:pPr>
      <w:rPr>
        <w:rFonts w:hint="default"/>
        <w:lang w:val="en-us" w:eastAsia="en-US" w:bidi="ar-SA"/>
      </w:rPr>
    </w:lvl>
    <w:lvl w:ilvl="3">
      <w:start w:val="0"/>
      <w:numFmt w:val="bullet"/>
      <w:lvlText w:val="•"/>
      <w:lvlJc w:val="left"/>
      <w:pPr>
        <w:ind w:left="2946" w:hanging="360"/>
      </w:pPr>
      <w:rPr>
        <w:rFonts w:hint="default"/>
        <w:lang w:val="en-us" w:eastAsia="en-US" w:bidi="ar-SA"/>
      </w:rPr>
    </w:lvl>
    <w:lvl w:ilvl="4">
      <w:start w:val="0"/>
      <w:numFmt w:val="bullet"/>
      <w:lvlText w:val="•"/>
      <w:lvlJc w:val="left"/>
      <w:pPr>
        <w:ind w:left="3782" w:hanging="360"/>
      </w:pPr>
      <w:rPr>
        <w:rFonts w:hint="default"/>
        <w:lang w:val="en-us" w:eastAsia="en-US" w:bidi="ar-SA"/>
      </w:rPr>
    </w:lvl>
    <w:lvl w:ilvl="5">
      <w:start w:val="0"/>
      <w:numFmt w:val="bullet"/>
      <w:lvlText w:val="•"/>
      <w:lvlJc w:val="left"/>
      <w:pPr>
        <w:ind w:left="4617" w:hanging="360"/>
      </w:pPr>
      <w:rPr>
        <w:rFonts w:hint="default"/>
        <w:lang w:val="en-us" w:eastAsia="en-US" w:bidi="ar-SA"/>
      </w:rPr>
    </w:lvl>
    <w:lvl w:ilvl="6">
      <w:start w:val="0"/>
      <w:numFmt w:val="bullet"/>
      <w:lvlText w:val="•"/>
      <w:lvlJc w:val="left"/>
      <w:pPr>
        <w:ind w:left="5453" w:hanging="360"/>
      </w:pPr>
      <w:rPr>
        <w:rFonts w:hint="default"/>
        <w:lang w:val="en-us" w:eastAsia="en-US" w:bidi="ar-SA"/>
      </w:rPr>
    </w:lvl>
    <w:lvl w:ilvl="7">
      <w:start w:val="0"/>
      <w:numFmt w:val="bullet"/>
      <w:lvlText w:val="•"/>
      <w:lvlJc w:val="left"/>
      <w:pPr>
        <w:ind w:left="6288" w:hanging="360"/>
      </w:pPr>
      <w:rPr>
        <w:rFonts w:hint="default"/>
        <w:lang w:val="en-us" w:eastAsia="en-US" w:bidi="ar-SA"/>
      </w:rPr>
    </w:lvl>
    <w:lvl w:ilvl="8">
      <w:start w:val="0"/>
      <w:numFmt w:val="bullet"/>
      <w:lvlText w:val="•"/>
      <w:lvlJc w:val="left"/>
      <w:pPr>
        <w:ind w:left="7124" w:hanging="360"/>
      </w:pPr>
      <w:rPr>
        <w:rFonts w:hint="default"/>
        <w:lang w:val="en-us" w:eastAsia="en-US" w:bidi="ar-SA"/>
      </w:rPr>
    </w:lvl>
  </w:abstractNum>
  <w:abstractNum w:abstractNumId="14">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275" w:hanging="360"/>
      </w:pPr>
      <w:rPr>
        <w:rFonts w:hint="default"/>
        <w:lang w:val="en-us" w:eastAsia="en-US" w:bidi="ar-SA"/>
      </w:rPr>
    </w:lvl>
    <w:lvl w:ilvl="2">
      <w:start w:val="0"/>
      <w:numFmt w:val="bullet"/>
      <w:lvlText w:val="•"/>
      <w:lvlJc w:val="left"/>
      <w:pPr>
        <w:ind w:left="2111" w:hanging="360"/>
      </w:pPr>
      <w:rPr>
        <w:rFonts w:hint="default"/>
        <w:lang w:val="en-us" w:eastAsia="en-US" w:bidi="ar-SA"/>
      </w:rPr>
    </w:lvl>
    <w:lvl w:ilvl="3">
      <w:start w:val="0"/>
      <w:numFmt w:val="bullet"/>
      <w:lvlText w:val="•"/>
      <w:lvlJc w:val="left"/>
      <w:pPr>
        <w:ind w:left="2946" w:hanging="360"/>
      </w:pPr>
      <w:rPr>
        <w:rFonts w:hint="default"/>
        <w:lang w:val="en-us" w:eastAsia="en-US" w:bidi="ar-SA"/>
      </w:rPr>
    </w:lvl>
    <w:lvl w:ilvl="4">
      <w:start w:val="0"/>
      <w:numFmt w:val="bullet"/>
      <w:lvlText w:val="•"/>
      <w:lvlJc w:val="left"/>
      <w:pPr>
        <w:ind w:left="3782" w:hanging="360"/>
      </w:pPr>
      <w:rPr>
        <w:rFonts w:hint="default"/>
        <w:lang w:val="en-us" w:eastAsia="en-US" w:bidi="ar-SA"/>
      </w:rPr>
    </w:lvl>
    <w:lvl w:ilvl="5">
      <w:start w:val="0"/>
      <w:numFmt w:val="bullet"/>
      <w:lvlText w:val="•"/>
      <w:lvlJc w:val="left"/>
      <w:pPr>
        <w:ind w:left="4617" w:hanging="360"/>
      </w:pPr>
      <w:rPr>
        <w:rFonts w:hint="default"/>
        <w:lang w:val="en-us" w:eastAsia="en-US" w:bidi="ar-SA"/>
      </w:rPr>
    </w:lvl>
    <w:lvl w:ilvl="6">
      <w:start w:val="0"/>
      <w:numFmt w:val="bullet"/>
      <w:lvlText w:val="•"/>
      <w:lvlJc w:val="left"/>
      <w:pPr>
        <w:ind w:left="5453" w:hanging="360"/>
      </w:pPr>
      <w:rPr>
        <w:rFonts w:hint="default"/>
        <w:lang w:val="en-us" w:eastAsia="en-US" w:bidi="ar-SA"/>
      </w:rPr>
    </w:lvl>
    <w:lvl w:ilvl="7">
      <w:start w:val="0"/>
      <w:numFmt w:val="bullet"/>
      <w:lvlText w:val="•"/>
      <w:lvlJc w:val="left"/>
      <w:pPr>
        <w:ind w:left="6288" w:hanging="360"/>
      </w:pPr>
      <w:rPr>
        <w:rFonts w:hint="default"/>
        <w:lang w:val="en-us" w:eastAsia="en-US" w:bidi="ar-SA"/>
      </w:rPr>
    </w:lvl>
    <w:lvl w:ilvl="8">
      <w:start w:val="0"/>
      <w:numFmt w:val="bullet"/>
      <w:lvlText w:val="•"/>
      <w:lvlJc w:val="left"/>
      <w:pPr>
        <w:ind w:left="7124" w:hanging="360"/>
      </w:pPr>
      <w:rPr>
        <w:rFonts w:hint="default"/>
        <w:lang w:val="en-us" w:eastAsia="en-US" w:bidi="ar-SA"/>
      </w:rPr>
    </w:lvl>
  </w:abstractNum>
  <w:abstractNum w:abstractNumId="13">
    <w:multiLevelType w:val="hybridMultilevel"/>
    <w:lvl w:ilvl="0">
      <w:start w:val="1"/>
      <w:numFmt w:val="decimal"/>
      <w:lvlText w:val="%1."/>
      <w:lvlJc w:val="left"/>
      <w:pPr>
        <w:ind w:left="839" w:hanging="360"/>
        <w:jc w:val="left"/>
      </w:pPr>
      <w:rPr>
        <w:rFonts w:hint="default" w:ascii="Times New Roman" w:hAnsi="Times New Roman" w:eastAsia="Times New Roman" w:cs="Times New Roman"/>
        <w:b w:val="0"/>
        <w:bCs w:val="0"/>
        <w:i w:val="0"/>
        <w:iCs w:val="0"/>
        <w:color w:val="010202"/>
        <w:w w:val="100"/>
        <w:sz w:val="22"/>
        <w:szCs w:val="22"/>
        <w:lang w:val="en-us" w:eastAsia="en-US" w:bidi="ar-SA"/>
      </w:rPr>
    </w:lvl>
    <w:lvl w:ilvl="1">
      <w:start w:val="1"/>
      <w:numFmt w:val="decimal"/>
      <w:lvlText w:val="%2."/>
      <w:lvlJc w:val="left"/>
      <w:pPr>
        <w:ind w:left="1019" w:hanging="360"/>
        <w:jc w:val="left"/>
      </w:pPr>
      <w:rPr>
        <w:rFonts w:hint="default" w:ascii="Arial" w:hAnsi="Arial" w:eastAsia="Arial" w:cs="Arial"/>
        <w:b/>
        <w:bCs/>
        <w:i w:val="0"/>
        <w:iCs w:val="0"/>
        <w:color w:val="010202"/>
        <w:w w:val="100"/>
        <w:sz w:val="21"/>
        <w:szCs w:val="21"/>
        <w:lang w:val="en-us" w:eastAsia="en-US" w:bidi="ar-SA"/>
      </w:rPr>
    </w:lvl>
    <w:lvl w:ilvl="2">
      <w:start w:val="0"/>
      <w:numFmt w:val="bullet"/>
      <w:lvlText w:val="•"/>
      <w:lvlJc w:val="left"/>
      <w:pPr>
        <w:ind w:left="1559" w:hanging="360"/>
      </w:pPr>
      <w:rPr>
        <w:rFonts w:hint="default"/>
        <w:lang w:val="en-us" w:eastAsia="en-US" w:bidi="ar-SA"/>
      </w:rPr>
    </w:lvl>
    <w:lvl w:ilvl="3">
      <w:start w:val="0"/>
      <w:numFmt w:val="bullet"/>
      <w:lvlText w:val="•"/>
      <w:lvlJc w:val="left"/>
      <w:pPr>
        <w:ind w:left="2099" w:hanging="360"/>
      </w:pPr>
      <w:rPr>
        <w:rFonts w:hint="default"/>
        <w:lang w:val="en-us" w:eastAsia="en-US" w:bidi="ar-SA"/>
      </w:rPr>
    </w:lvl>
    <w:lvl w:ilvl="4">
      <w:start w:val="0"/>
      <w:numFmt w:val="bullet"/>
      <w:lvlText w:val="•"/>
      <w:lvlJc w:val="left"/>
      <w:pPr>
        <w:ind w:left="2639" w:hanging="360"/>
      </w:pPr>
      <w:rPr>
        <w:rFonts w:hint="default"/>
        <w:lang w:val="en-us" w:eastAsia="en-US" w:bidi="ar-SA"/>
      </w:rPr>
    </w:lvl>
    <w:lvl w:ilvl="5">
      <w:start w:val="0"/>
      <w:numFmt w:val="bullet"/>
      <w:lvlText w:val="•"/>
      <w:lvlJc w:val="left"/>
      <w:pPr>
        <w:ind w:left="3179" w:hanging="360"/>
      </w:pPr>
      <w:rPr>
        <w:rFonts w:hint="default"/>
        <w:lang w:val="en-us" w:eastAsia="en-US" w:bidi="ar-SA"/>
      </w:rPr>
    </w:lvl>
    <w:lvl w:ilvl="6">
      <w:start w:val="0"/>
      <w:numFmt w:val="bullet"/>
      <w:lvlText w:val="•"/>
      <w:lvlJc w:val="left"/>
      <w:pPr>
        <w:ind w:left="3719" w:hanging="360"/>
      </w:pPr>
      <w:rPr>
        <w:rFonts w:hint="default"/>
        <w:lang w:val="en-us" w:eastAsia="en-US" w:bidi="ar-SA"/>
      </w:rPr>
    </w:lvl>
    <w:lvl w:ilvl="7">
      <w:start w:val="0"/>
      <w:numFmt w:val="bullet"/>
      <w:lvlText w:val="•"/>
      <w:lvlJc w:val="left"/>
      <w:pPr>
        <w:ind w:left="4259" w:hanging="360"/>
      </w:pPr>
      <w:rPr>
        <w:rFonts w:hint="default"/>
        <w:lang w:val="en-us" w:eastAsia="en-US" w:bidi="ar-SA"/>
      </w:rPr>
    </w:lvl>
    <w:lvl w:ilvl="8">
      <w:start w:val="0"/>
      <w:numFmt w:val="bullet"/>
      <w:lvlText w:val="•"/>
      <w:lvlJc w:val="left"/>
      <w:pPr>
        <w:ind w:left="4799" w:hanging="360"/>
      </w:pPr>
      <w:rPr>
        <w:rFonts w:hint="default"/>
        <w:lang w:val="en-us" w:eastAsia="en-US" w:bidi="ar-SA"/>
      </w:rPr>
    </w:lvl>
  </w:abstractNum>
  <w:abstractNum w:abstractNumId="12">
    <w:multiLevelType w:val="hybridMultilevel"/>
    <w:lvl w:ilvl="0">
      <w:start w:val="0"/>
      <w:numFmt w:val="bullet"/>
      <w:lvlText w:val=""/>
      <w:lvlJc w:val="left"/>
      <w:pPr>
        <w:ind w:left="8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019" w:hanging="360"/>
      </w:pPr>
      <w:rPr>
        <w:rFonts w:hint="default" w:ascii="Symbol" w:hAnsi="Symbol" w:eastAsia="Symbol" w:cs="Symbol"/>
        <w:w w:val="100"/>
        <w:lang w:val="en-us" w:eastAsia="en-US" w:bidi="ar-SA"/>
      </w:rPr>
    </w:lvl>
    <w:lvl w:ilvl="2">
      <w:start w:val="0"/>
      <w:numFmt w:val="bullet"/>
      <w:lvlText w:val="•"/>
      <w:lvlJc w:val="left"/>
      <w:pPr>
        <w:ind w:left="1481" w:hanging="360"/>
      </w:pPr>
      <w:rPr>
        <w:rFonts w:hint="default"/>
        <w:lang w:val="en-us" w:eastAsia="en-US" w:bidi="ar-SA"/>
      </w:rPr>
    </w:lvl>
    <w:lvl w:ilvl="3">
      <w:start w:val="0"/>
      <w:numFmt w:val="bullet"/>
      <w:lvlText w:val="•"/>
      <w:lvlJc w:val="left"/>
      <w:pPr>
        <w:ind w:left="1942" w:hanging="360"/>
      </w:pPr>
      <w:rPr>
        <w:rFonts w:hint="default"/>
        <w:lang w:val="en-us" w:eastAsia="en-US" w:bidi="ar-SA"/>
      </w:rPr>
    </w:lvl>
    <w:lvl w:ilvl="4">
      <w:start w:val="0"/>
      <w:numFmt w:val="bullet"/>
      <w:lvlText w:val="•"/>
      <w:lvlJc w:val="left"/>
      <w:pPr>
        <w:ind w:left="2403" w:hanging="360"/>
      </w:pPr>
      <w:rPr>
        <w:rFonts w:hint="default"/>
        <w:lang w:val="en-us" w:eastAsia="en-US" w:bidi="ar-SA"/>
      </w:rPr>
    </w:lvl>
    <w:lvl w:ilvl="5">
      <w:start w:val="0"/>
      <w:numFmt w:val="bullet"/>
      <w:lvlText w:val="•"/>
      <w:lvlJc w:val="left"/>
      <w:pPr>
        <w:ind w:left="2864" w:hanging="360"/>
      </w:pPr>
      <w:rPr>
        <w:rFonts w:hint="default"/>
        <w:lang w:val="en-us" w:eastAsia="en-US" w:bidi="ar-SA"/>
      </w:rPr>
    </w:lvl>
    <w:lvl w:ilvl="6">
      <w:start w:val="0"/>
      <w:numFmt w:val="bullet"/>
      <w:lvlText w:val="•"/>
      <w:lvlJc w:val="left"/>
      <w:pPr>
        <w:ind w:left="3325" w:hanging="360"/>
      </w:pPr>
      <w:rPr>
        <w:rFonts w:hint="default"/>
        <w:lang w:val="en-us" w:eastAsia="en-US" w:bidi="ar-SA"/>
      </w:rPr>
    </w:lvl>
    <w:lvl w:ilvl="7">
      <w:start w:val="0"/>
      <w:numFmt w:val="bullet"/>
      <w:lvlText w:val="•"/>
      <w:lvlJc w:val="left"/>
      <w:pPr>
        <w:ind w:left="3786" w:hanging="360"/>
      </w:pPr>
      <w:rPr>
        <w:rFonts w:hint="default"/>
        <w:lang w:val="en-us" w:eastAsia="en-US" w:bidi="ar-SA"/>
      </w:rPr>
    </w:lvl>
    <w:lvl w:ilvl="8">
      <w:start w:val="0"/>
      <w:numFmt w:val="bullet"/>
      <w:lvlText w:val="•"/>
      <w:lvlJc w:val="left"/>
      <w:pPr>
        <w:ind w:left="4247" w:hanging="360"/>
      </w:pPr>
      <w:rPr>
        <w:rFonts w:hint="default"/>
        <w:lang w:val="en-us" w:eastAsia="en-US" w:bidi="ar-SA"/>
      </w:rPr>
    </w:lvl>
  </w:abstractNum>
  <w:abstractNum w:abstractNumId="11">
    <w:multiLevelType w:val="hybridMultilevel"/>
    <w:lvl w:ilvl="0">
      <w:start w:val="0"/>
      <w:numFmt w:val="bullet"/>
      <w:lvlText w:val=""/>
      <w:lvlJc w:val="left"/>
      <w:pPr>
        <w:ind w:left="1019"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2082" w:hanging="360"/>
      </w:pPr>
      <w:rPr>
        <w:rFonts w:hint="default"/>
        <w:lang w:val="en-us" w:eastAsia="en-US" w:bidi="ar-SA"/>
      </w:rPr>
    </w:lvl>
    <w:lvl w:ilvl="2">
      <w:start w:val="0"/>
      <w:numFmt w:val="bullet"/>
      <w:lvlText w:val="•"/>
      <w:lvlJc w:val="left"/>
      <w:pPr>
        <w:ind w:left="3144" w:hanging="360"/>
      </w:pPr>
      <w:rPr>
        <w:rFonts w:hint="default"/>
        <w:lang w:val="en-us" w:eastAsia="en-US" w:bidi="ar-SA"/>
      </w:rPr>
    </w:lvl>
    <w:lvl w:ilvl="3">
      <w:start w:val="0"/>
      <w:numFmt w:val="bullet"/>
      <w:lvlText w:val="•"/>
      <w:lvlJc w:val="left"/>
      <w:pPr>
        <w:ind w:left="4206" w:hanging="360"/>
      </w:pPr>
      <w:rPr>
        <w:rFonts w:hint="default"/>
        <w:lang w:val="en-us" w:eastAsia="en-US" w:bidi="ar-SA"/>
      </w:rPr>
    </w:lvl>
    <w:lvl w:ilvl="4">
      <w:start w:val="0"/>
      <w:numFmt w:val="bullet"/>
      <w:lvlText w:val="•"/>
      <w:lvlJc w:val="left"/>
      <w:pPr>
        <w:ind w:left="5268" w:hanging="360"/>
      </w:pPr>
      <w:rPr>
        <w:rFonts w:hint="default"/>
        <w:lang w:val="en-us" w:eastAsia="en-US" w:bidi="ar-SA"/>
      </w:rPr>
    </w:lvl>
    <w:lvl w:ilvl="5">
      <w:start w:val="0"/>
      <w:numFmt w:val="bullet"/>
      <w:lvlText w:val="•"/>
      <w:lvlJc w:val="left"/>
      <w:pPr>
        <w:ind w:left="6330" w:hanging="360"/>
      </w:pPr>
      <w:rPr>
        <w:rFonts w:hint="default"/>
        <w:lang w:val="en-us" w:eastAsia="en-US" w:bidi="ar-SA"/>
      </w:rPr>
    </w:lvl>
    <w:lvl w:ilvl="6">
      <w:start w:val="0"/>
      <w:numFmt w:val="bullet"/>
      <w:lvlText w:val="•"/>
      <w:lvlJc w:val="left"/>
      <w:pPr>
        <w:ind w:left="7392" w:hanging="360"/>
      </w:pPr>
      <w:rPr>
        <w:rFonts w:hint="default"/>
        <w:lang w:val="en-us" w:eastAsia="en-US" w:bidi="ar-SA"/>
      </w:rPr>
    </w:lvl>
    <w:lvl w:ilvl="7">
      <w:start w:val="0"/>
      <w:numFmt w:val="bullet"/>
      <w:lvlText w:val="•"/>
      <w:lvlJc w:val="left"/>
      <w:pPr>
        <w:ind w:left="8454" w:hanging="360"/>
      </w:pPr>
      <w:rPr>
        <w:rFonts w:hint="default"/>
        <w:lang w:val="en-us" w:eastAsia="en-US" w:bidi="ar-SA"/>
      </w:rPr>
    </w:lvl>
    <w:lvl w:ilvl="8">
      <w:start w:val="0"/>
      <w:numFmt w:val="bullet"/>
      <w:lvlText w:val="•"/>
      <w:lvlJc w:val="left"/>
      <w:pPr>
        <w:ind w:left="9516" w:hanging="360"/>
      </w:pPr>
      <w:rPr>
        <w:rFonts w:hint="default"/>
        <w:lang w:val="en-us" w:eastAsia="en-US" w:bidi="ar-SA"/>
      </w:rPr>
    </w:lvl>
  </w:abstractNum>
  <w:abstractNum w:abstractNumId="10">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004" w:hanging="360"/>
      </w:pPr>
      <w:rPr>
        <w:rFonts w:hint="default"/>
        <w:lang w:val="en-us" w:eastAsia="en-US" w:bidi="ar-SA"/>
      </w:rPr>
    </w:lvl>
    <w:lvl w:ilvl="2">
      <w:start w:val="0"/>
      <w:numFmt w:val="bullet"/>
      <w:lvlText w:val="•"/>
      <w:lvlJc w:val="left"/>
      <w:pPr>
        <w:ind w:left="1569" w:hanging="360"/>
      </w:pPr>
      <w:rPr>
        <w:rFonts w:hint="default"/>
        <w:lang w:val="en-us" w:eastAsia="en-US" w:bidi="ar-SA"/>
      </w:rPr>
    </w:lvl>
    <w:lvl w:ilvl="3">
      <w:start w:val="0"/>
      <w:numFmt w:val="bullet"/>
      <w:lvlText w:val="•"/>
      <w:lvlJc w:val="left"/>
      <w:pPr>
        <w:ind w:left="2133" w:hanging="360"/>
      </w:pPr>
      <w:rPr>
        <w:rFonts w:hint="default"/>
        <w:lang w:val="en-us" w:eastAsia="en-US" w:bidi="ar-SA"/>
      </w:rPr>
    </w:lvl>
    <w:lvl w:ilvl="4">
      <w:start w:val="0"/>
      <w:numFmt w:val="bullet"/>
      <w:lvlText w:val="•"/>
      <w:lvlJc w:val="left"/>
      <w:pPr>
        <w:ind w:left="2698" w:hanging="360"/>
      </w:pPr>
      <w:rPr>
        <w:rFonts w:hint="default"/>
        <w:lang w:val="en-us" w:eastAsia="en-US" w:bidi="ar-SA"/>
      </w:rPr>
    </w:lvl>
    <w:lvl w:ilvl="5">
      <w:start w:val="0"/>
      <w:numFmt w:val="bullet"/>
      <w:lvlText w:val="•"/>
      <w:lvlJc w:val="left"/>
      <w:pPr>
        <w:ind w:left="3262" w:hanging="360"/>
      </w:pPr>
      <w:rPr>
        <w:rFonts w:hint="default"/>
        <w:lang w:val="en-us" w:eastAsia="en-US" w:bidi="ar-SA"/>
      </w:rPr>
    </w:lvl>
    <w:lvl w:ilvl="6">
      <w:start w:val="0"/>
      <w:numFmt w:val="bullet"/>
      <w:lvlText w:val="•"/>
      <w:lvlJc w:val="left"/>
      <w:pPr>
        <w:ind w:left="3827" w:hanging="360"/>
      </w:pPr>
      <w:rPr>
        <w:rFonts w:hint="default"/>
        <w:lang w:val="en-us" w:eastAsia="en-US" w:bidi="ar-SA"/>
      </w:rPr>
    </w:lvl>
    <w:lvl w:ilvl="7">
      <w:start w:val="0"/>
      <w:numFmt w:val="bullet"/>
      <w:lvlText w:val="•"/>
      <w:lvlJc w:val="left"/>
      <w:pPr>
        <w:ind w:left="4391" w:hanging="360"/>
      </w:pPr>
      <w:rPr>
        <w:rFonts w:hint="default"/>
        <w:lang w:val="en-us" w:eastAsia="en-US" w:bidi="ar-SA"/>
      </w:rPr>
    </w:lvl>
    <w:lvl w:ilvl="8">
      <w:start w:val="0"/>
      <w:numFmt w:val="bullet"/>
      <w:lvlText w:val="•"/>
      <w:lvlJc w:val="left"/>
      <w:pPr>
        <w:ind w:left="4956" w:hanging="360"/>
      </w:pPr>
      <w:rPr>
        <w:rFonts w:hint="default"/>
        <w:lang w:val="en-us" w:eastAsia="en-US" w:bidi="ar-SA"/>
      </w:rPr>
    </w:lvl>
  </w:abstractNum>
  <w:abstractNum w:abstractNumId="9">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004" w:hanging="360"/>
      </w:pPr>
      <w:rPr>
        <w:rFonts w:hint="default"/>
        <w:lang w:val="en-us" w:eastAsia="en-US" w:bidi="ar-SA"/>
      </w:rPr>
    </w:lvl>
    <w:lvl w:ilvl="2">
      <w:start w:val="0"/>
      <w:numFmt w:val="bullet"/>
      <w:lvlText w:val="•"/>
      <w:lvlJc w:val="left"/>
      <w:pPr>
        <w:ind w:left="1569" w:hanging="360"/>
      </w:pPr>
      <w:rPr>
        <w:rFonts w:hint="default"/>
        <w:lang w:val="en-us" w:eastAsia="en-US" w:bidi="ar-SA"/>
      </w:rPr>
    </w:lvl>
    <w:lvl w:ilvl="3">
      <w:start w:val="0"/>
      <w:numFmt w:val="bullet"/>
      <w:lvlText w:val="•"/>
      <w:lvlJc w:val="left"/>
      <w:pPr>
        <w:ind w:left="2133" w:hanging="360"/>
      </w:pPr>
      <w:rPr>
        <w:rFonts w:hint="default"/>
        <w:lang w:val="en-us" w:eastAsia="en-US" w:bidi="ar-SA"/>
      </w:rPr>
    </w:lvl>
    <w:lvl w:ilvl="4">
      <w:start w:val="0"/>
      <w:numFmt w:val="bullet"/>
      <w:lvlText w:val="•"/>
      <w:lvlJc w:val="left"/>
      <w:pPr>
        <w:ind w:left="2698" w:hanging="360"/>
      </w:pPr>
      <w:rPr>
        <w:rFonts w:hint="default"/>
        <w:lang w:val="en-us" w:eastAsia="en-US" w:bidi="ar-SA"/>
      </w:rPr>
    </w:lvl>
    <w:lvl w:ilvl="5">
      <w:start w:val="0"/>
      <w:numFmt w:val="bullet"/>
      <w:lvlText w:val="•"/>
      <w:lvlJc w:val="left"/>
      <w:pPr>
        <w:ind w:left="3262" w:hanging="360"/>
      </w:pPr>
      <w:rPr>
        <w:rFonts w:hint="default"/>
        <w:lang w:val="en-us" w:eastAsia="en-US" w:bidi="ar-SA"/>
      </w:rPr>
    </w:lvl>
    <w:lvl w:ilvl="6">
      <w:start w:val="0"/>
      <w:numFmt w:val="bullet"/>
      <w:lvlText w:val="•"/>
      <w:lvlJc w:val="left"/>
      <w:pPr>
        <w:ind w:left="3827" w:hanging="360"/>
      </w:pPr>
      <w:rPr>
        <w:rFonts w:hint="default"/>
        <w:lang w:val="en-us" w:eastAsia="en-US" w:bidi="ar-SA"/>
      </w:rPr>
    </w:lvl>
    <w:lvl w:ilvl="7">
      <w:start w:val="0"/>
      <w:numFmt w:val="bullet"/>
      <w:lvlText w:val="•"/>
      <w:lvlJc w:val="left"/>
      <w:pPr>
        <w:ind w:left="4391" w:hanging="360"/>
      </w:pPr>
      <w:rPr>
        <w:rFonts w:hint="default"/>
        <w:lang w:val="en-us" w:eastAsia="en-US" w:bidi="ar-SA"/>
      </w:rPr>
    </w:lvl>
    <w:lvl w:ilvl="8">
      <w:start w:val="0"/>
      <w:numFmt w:val="bullet"/>
      <w:lvlText w:val="•"/>
      <w:lvlJc w:val="left"/>
      <w:pPr>
        <w:ind w:left="4956" w:hanging="360"/>
      </w:pPr>
      <w:rPr>
        <w:rFonts w:hint="default"/>
        <w:lang w:val="en-us" w:eastAsia="en-US" w:bidi="ar-SA"/>
      </w:rPr>
    </w:lvl>
  </w:abstractNum>
  <w:abstractNum w:abstractNumId="8">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004" w:hanging="360"/>
      </w:pPr>
      <w:rPr>
        <w:rFonts w:hint="default"/>
        <w:lang w:val="en-us" w:eastAsia="en-US" w:bidi="ar-SA"/>
      </w:rPr>
    </w:lvl>
    <w:lvl w:ilvl="2">
      <w:start w:val="0"/>
      <w:numFmt w:val="bullet"/>
      <w:lvlText w:val="•"/>
      <w:lvlJc w:val="left"/>
      <w:pPr>
        <w:ind w:left="1569" w:hanging="360"/>
      </w:pPr>
      <w:rPr>
        <w:rFonts w:hint="default"/>
        <w:lang w:val="en-us" w:eastAsia="en-US" w:bidi="ar-SA"/>
      </w:rPr>
    </w:lvl>
    <w:lvl w:ilvl="3">
      <w:start w:val="0"/>
      <w:numFmt w:val="bullet"/>
      <w:lvlText w:val="•"/>
      <w:lvlJc w:val="left"/>
      <w:pPr>
        <w:ind w:left="2133" w:hanging="360"/>
      </w:pPr>
      <w:rPr>
        <w:rFonts w:hint="default"/>
        <w:lang w:val="en-us" w:eastAsia="en-US" w:bidi="ar-SA"/>
      </w:rPr>
    </w:lvl>
    <w:lvl w:ilvl="4">
      <w:start w:val="0"/>
      <w:numFmt w:val="bullet"/>
      <w:lvlText w:val="•"/>
      <w:lvlJc w:val="left"/>
      <w:pPr>
        <w:ind w:left="2698" w:hanging="360"/>
      </w:pPr>
      <w:rPr>
        <w:rFonts w:hint="default"/>
        <w:lang w:val="en-us" w:eastAsia="en-US" w:bidi="ar-SA"/>
      </w:rPr>
    </w:lvl>
    <w:lvl w:ilvl="5">
      <w:start w:val="0"/>
      <w:numFmt w:val="bullet"/>
      <w:lvlText w:val="•"/>
      <w:lvlJc w:val="left"/>
      <w:pPr>
        <w:ind w:left="3262" w:hanging="360"/>
      </w:pPr>
      <w:rPr>
        <w:rFonts w:hint="default"/>
        <w:lang w:val="en-us" w:eastAsia="en-US" w:bidi="ar-SA"/>
      </w:rPr>
    </w:lvl>
    <w:lvl w:ilvl="6">
      <w:start w:val="0"/>
      <w:numFmt w:val="bullet"/>
      <w:lvlText w:val="•"/>
      <w:lvlJc w:val="left"/>
      <w:pPr>
        <w:ind w:left="3827" w:hanging="360"/>
      </w:pPr>
      <w:rPr>
        <w:rFonts w:hint="default"/>
        <w:lang w:val="en-us" w:eastAsia="en-US" w:bidi="ar-SA"/>
      </w:rPr>
    </w:lvl>
    <w:lvl w:ilvl="7">
      <w:start w:val="0"/>
      <w:numFmt w:val="bullet"/>
      <w:lvlText w:val="•"/>
      <w:lvlJc w:val="left"/>
      <w:pPr>
        <w:ind w:left="4391" w:hanging="360"/>
      </w:pPr>
      <w:rPr>
        <w:rFonts w:hint="default"/>
        <w:lang w:val="en-us" w:eastAsia="en-US" w:bidi="ar-SA"/>
      </w:rPr>
    </w:lvl>
    <w:lvl w:ilvl="8">
      <w:start w:val="0"/>
      <w:numFmt w:val="bullet"/>
      <w:lvlText w:val="•"/>
      <w:lvlJc w:val="left"/>
      <w:pPr>
        <w:ind w:left="4956" w:hanging="360"/>
      </w:pPr>
      <w:rPr>
        <w:rFonts w:hint="default"/>
        <w:lang w:val="en-us" w:eastAsia="en-US" w:bidi="ar-SA"/>
      </w:rPr>
    </w:lvl>
  </w:abstractNum>
  <w:abstractNum w:abstractNumId="7">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004" w:hanging="360"/>
      </w:pPr>
      <w:rPr>
        <w:rFonts w:hint="default"/>
        <w:lang w:val="en-us" w:eastAsia="en-US" w:bidi="ar-SA"/>
      </w:rPr>
    </w:lvl>
    <w:lvl w:ilvl="2">
      <w:start w:val="0"/>
      <w:numFmt w:val="bullet"/>
      <w:lvlText w:val="•"/>
      <w:lvlJc w:val="left"/>
      <w:pPr>
        <w:ind w:left="1569" w:hanging="360"/>
      </w:pPr>
      <w:rPr>
        <w:rFonts w:hint="default"/>
        <w:lang w:val="en-us" w:eastAsia="en-US" w:bidi="ar-SA"/>
      </w:rPr>
    </w:lvl>
    <w:lvl w:ilvl="3">
      <w:start w:val="0"/>
      <w:numFmt w:val="bullet"/>
      <w:lvlText w:val="•"/>
      <w:lvlJc w:val="left"/>
      <w:pPr>
        <w:ind w:left="2133" w:hanging="360"/>
      </w:pPr>
      <w:rPr>
        <w:rFonts w:hint="default"/>
        <w:lang w:val="en-us" w:eastAsia="en-US" w:bidi="ar-SA"/>
      </w:rPr>
    </w:lvl>
    <w:lvl w:ilvl="4">
      <w:start w:val="0"/>
      <w:numFmt w:val="bullet"/>
      <w:lvlText w:val="•"/>
      <w:lvlJc w:val="left"/>
      <w:pPr>
        <w:ind w:left="2698" w:hanging="360"/>
      </w:pPr>
      <w:rPr>
        <w:rFonts w:hint="default"/>
        <w:lang w:val="en-us" w:eastAsia="en-US" w:bidi="ar-SA"/>
      </w:rPr>
    </w:lvl>
    <w:lvl w:ilvl="5">
      <w:start w:val="0"/>
      <w:numFmt w:val="bullet"/>
      <w:lvlText w:val="•"/>
      <w:lvlJc w:val="left"/>
      <w:pPr>
        <w:ind w:left="3262" w:hanging="360"/>
      </w:pPr>
      <w:rPr>
        <w:rFonts w:hint="default"/>
        <w:lang w:val="en-us" w:eastAsia="en-US" w:bidi="ar-SA"/>
      </w:rPr>
    </w:lvl>
    <w:lvl w:ilvl="6">
      <w:start w:val="0"/>
      <w:numFmt w:val="bullet"/>
      <w:lvlText w:val="•"/>
      <w:lvlJc w:val="left"/>
      <w:pPr>
        <w:ind w:left="3827" w:hanging="360"/>
      </w:pPr>
      <w:rPr>
        <w:rFonts w:hint="default"/>
        <w:lang w:val="en-us" w:eastAsia="en-US" w:bidi="ar-SA"/>
      </w:rPr>
    </w:lvl>
    <w:lvl w:ilvl="7">
      <w:start w:val="0"/>
      <w:numFmt w:val="bullet"/>
      <w:lvlText w:val="•"/>
      <w:lvlJc w:val="left"/>
      <w:pPr>
        <w:ind w:left="4391" w:hanging="360"/>
      </w:pPr>
      <w:rPr>
        <w:rFonts w:hint="default"/>
        <w:lang w:val="en-us" w:eastAsia="en-US" w:bidi="ar-SA"/>
      </w:rPr>
    </w:lvl>
    <w:lvl w:ilvl="8">
      <w:start w:val="0"/>
      <w:numFmt w:val="bullet"/>
      <w:lvlText w:val="•"/>
      <w:lvlJc w:val="left"/>
      <w:pPr>
        <w:ind w:left="4956" w:hanging="360"/>
      </w:pPr>
      <w:rPr>
        <w:rFonts w:hint="default"/>
        <w:lang w:val="en-us" w:eastAsia="en-US" w:bidi="ar-SA"/>
      </w:rPr>
    </w:lvl>
  </w:abstractNum>
  <w:abstractNum w:abstractNumId="6">
    <w:multiLevelType w:val="hybridMultilevel"/>
    <w:lvl w:ilvl="0">
      <w:start w:val="0"/>
      <w:numFmt w:val="bullet"/>
      <w:lvlText w:val=""/>
      <w:lvlJc w:val="left"/>
      <w:pPr>
        <w:ind w:left="899"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189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870" w:hanging="360"/>
      </w:pPr>
      <w:rPr>
        <w:rFonts w:hint="default"/>
        <w:lang w:val="en-us" w:eastAsia="en-US" w:bidi="ar-SA"/>
      </w:rPr>
    </w:lvl>
    <w:lvl w:ilvl="4">
      <w:start w:val="0"/>
      <w:numFmt w:val="bullet"/>
      <w:lvlText w:val="•"/>
      <w:lvlJc w:val="left"/>
      <w:pPr>
        <w:ind w:left="4860" w:hanging="360"/>
      </w:pPr>
      <w:rPr>
        <w:rFonts w:hint="default"/>
        <w:lang w:val="en-us" w:eastAsia="en-US" w:bidi="ar-SA"/>
      </w:rPr>
    </w:lvl>
    <w:lvl w:ilvl="5">
      <w:start w:val="0"/>
      <w:numFmt w:val="bullet"/>
      <w:lvlText w:val="•"/>
      <w:lvlJc w:val="left"/>
      <w:pPr>
        <w:ind w:left="585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820" w:hanging="360"/>
      </w:pPr>
      <w:rPr>
        <w:rFonts w:hint="default"/>
        <w:lang w:val="en-us" w:eastAsia="en-US" w:bidi="ar-SA"/>
      </w:rPr>
    </w:lvl>
  </w:abstractNum>
  <w:abstractNum w:abstractNumId="5">
    <w:multiLevelType w:val="hybridMultilevel"/>
    <w:lvl w:ilvl="0">
      <w:start w:val="0"/>
      <w:numFmt w:val="bullet"/>
      <w:lvlText w:val=""/>
      <w:lvlJc w:val="left"/>
      <w:pPr>
        <w:ind w:left="480"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19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924" w:hanging="360"/>
      </w:pPr>
      <w:rPr>
        <w:rFonts w:hint="default"/>
        <w:lang w:val="en-us" w:eastAsia="en-US" w:bidi="ar-SA"/>
      </w:rPr>
    </w:lvl>
    <w:lvl w:ilvl="3">
      <w:start w:val="0"/>
      <w:numFmt w:val="bullet"/>
      <w:lvlText w:val="•"/>
      <w:lvlJc w:val="left"/>
      <w:pPr>
        <w:ind w:left="648" w:hanging="360"/>
      </w:pPr>
      <w:rPr>
        <w:rFonts w:hint="default"/>
        <w:lang w:val="en-us" w:eastAsia="en-US" w:bidi="ar-SA"/>
      </w:rPr>
    </w:lvl>
    <w:lvl w:ilvl="4">
      <w:start w:val="0"/>
      <w:numFmt w:val="bullet"/>
      <w:lvlText w:val="•"/>
      <w:lvlJc w:val="left"/>
      <w:pPr>
        <w:ind w:left="372" w:hanging="360"/>
      </w:pPr>
      <w:rPr>
        <w:rFonts w:hint="default"/>
        <w:lang w:val="en-us" w:eastAsia="en-US" w:bidi="ar-SA"/>
      </w:rPr>
    </w:lvl>
    <w:lvl w:ilvl="5">
      <w:start w:val="0"/>
      <w:numFmt w:val="bullet"/>
      <w:lvlText w:val="•"/>
      <w:lvlJc w:val="left"/>
      <w:pPr>
        <w:ind w:left="96" w:hanging="360"/>
      </w:pPr>
      <w:rPr>
        <w:rFonts w:hint="default"/>
        <w:lang w:val="en-us" w:eastAsia="en-US" w:bidi="ar-SA"/>
      </w:rPr>
    </w:lvl>
    <w:lvl w:ilvl="6">
      <w:start w:val="0"/>
      <w:numFmt w:val="bullet"/>
      <w:lvlText w:val="•"/>
      <w:lvlJc w:val="left"/>
      <w:pPr>
        <w:ind w:left="-180" w:hanging="360"/>
      </w:pPr>
      <w:rPr>
        <w:rFonts w:hint="default"/>
        <w:lang w:val="en-us" w:eastAsia="en-US" w:bidi="ar-SA"/>
      </w:rPr>
    </w:lvl>
    <w:lvl w:ilvl="7">
      <w:start w:val="0"/>
      <w:numFmt w:val="bullet"/>
      <w:lvlText w:val="•"/>
      <w:lvlJc w:val="left"/>
      <w:pPr>
        <w:ind w:left="-455" w:hanging="360"/>
      </w:pPr>
      <w:rPr>
        <w:rFonts w:hint="default"/>
        <w:lang w:val="en-us" w:eastAsia="en-US" w:bidi="ar-SA"/>
      </w:rPr>
    </w:lvl>
    <w:lvl w:ilvl="8">
      <w:start w:val="0"/>
      <w:numFmt w:val="bullet"/>
      <w:lvlText w:val="•"/>
      <w:lvlJc w:val="left"/>
      <w:pPr>
        <w:ind w:left="-731" w:hanging="360"/>
      </w:pPr>
      <w:rPr>
        <w:rFonts w:hint="default"/>
        <w:lang w:val="en-us" w:eastAsia="en-US" w:bidi="ar-SA"/>
      </w:rPr>
    </w:lvl>
  </w:abstractNum>
  <w:abstractNum w:abstractNumId="4">
    <w:multiLevelType w:val="hybridMultilevel"/>
    <w:lvl w:ilvl="0">
      <w:start w:val="0"/>
      <w:numFmt w:val="bullet"/>
      <w:lvlText w:val=""/>
      <w:lvlJc w:val="left"/>
      <w:pPr>
        <w:ind w:left="47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839" w:hanging="360"/>
      </w:pPr>
      <w:rPr>
        <w:rFonts w:hint="default" w:ascii="Symbol" w:hAnsi="Symbol" w:eastAsia="Symbol" w:cs="Symbol"/>
        <w:w w:val="100"/>
        <w:lang w:val="en-us" w:eastAsia="en-US" w:bidi="ar-SA"/>
      </w:rPr>
    </w:lvl>
    <w:lvl w:ilvl="2">
      <w:start w:val="0"/>
      <w:numFmt w:val="bullet"/>
      <w:lvlText w:val=""/>
      <w:lvlJc w:val="left"/>
      <w:pPr>
        <w:ind w:left="1199" w:hanging="360"/>
      </w:pPr>
      <w:rPr>
        <w:rFonts w:hint="default" w:ascii="Symbol" w:hAnsi="Symbol" w:eastAsia="Symbol" w:cs="Symbol"/>
        <w:b w:val="0"/>
        <w:bCs w:val="0"/>
        <w:i w:val="0"/>
        <w:iCs w:val="0"/>
        <w:color w:val="010202"/>
        <w:w w:val="100"/>
        <w:sz w:val="22"/>
        <w:szCs w:val="22"/>
        <w:lang w:val="en-us" w:eastAsia="en-US" w:bidi="ar-SA"/>
      </w:rPr>
    </w:lvl>
    <w:lvl w:ilvl="3">
      <w:start w:val="0"/>
      <w:numFmt w:val="bullet"/>
      <w:lvlText w:val="•"/>
      <w:lvlJc w:val="left"/>
      <w:pPr>
        <w:ind w:left="927" w:hanging="360"/>
      </w:pPr>
      <w:rPr>
        <w:rFonts w:hint="default"/>
        <w:lang w:val="en-us" w:eastAsia="en-US" w:bidi="ar-SA"/>
      </w:rPr>
    </w:lvl>
    <w:lvl w:ilvl="4">
      <w:start w:val="0"/>
      <w:numFmt w:val="bullet"/>
      <w:lvlText w:val="•"/>
      <w:lvlJc w:val="left"/>
      <w:pPr>
        <w:ind w:left="655" w:hanging="360"/>
      </w:pPr>
      <w:rPr>
        <w:rFonts w:hint="default"/>
        <w:lang w:val="en-us" w:eastAsia="en-US" w:bidi="ar-SA"/>
      </w:rPr>
    </w:lvl>
    <w:lvl w:ilvl="5">
      <w:start w:val="0"/>
      <w:numFmt w:val="bullet"/>
      <w:lvlText w:val="•"/>
      <w:lvlJc w:val="left"/>
      <w:pPr>
        <w:ind w:left="383" w:hanging="360"/>
      </w:pPr>
      <w:rPr>
        <w:rFonts w:hint="default"/>
        <w:lang w:val="en-us" w:eastAsia="en-US" w:bidi="ar-SA"/>
      </w:rPr>
    </w:lvl>
    <w:lvl w:ilvl="6">
      <w:start w:val="0"/>
      <w:numFmt w:val="bullet"/>
      <w:lvlText w:val="•"/>
      <w:lvlJc w:val="left"/>
      <w:pPr>
        <w:ind w:left="111" w:hanging="360"/>
      </w:pPr>
      <w:rPr>
        <w:rFonts w:hint="default"/>
        <w:lang w:val="en-us" w:eastAsia="en-US" w:bidi="ar-SA"/>
      </w:rPr>
    </w:lvl>
    <w:lvl w:ilvl="7">
      <w:start w:val="0"/>
      <w:numFmt w:val="bullet"/>
      <w:lvlText w:val="•"/>
      <w:lvlJc w:val="left"/>
      <w:pPr>
        <w:ind w:left="-161" w:hanging="360"/>
      </w:pPr>
      <w:rPr>
        <w:rFonts w:hint="default"/>
        <w:lang w:val="en-us" w:eastAsia="en-US" w:bidi="ar-SA"/>
      </w:rPr>
    </w:lvl>
    <w:lvl w:ilvl="8">
      <w:start w:val="0"/>
      <w:numFmt w:val="bullet"/>
      <w:lvlText w:val="•"/>
      <w:lvlJc w:val="left"/>
      <w:pPr>
        <w:ind w:left="-434" w:hanging="360"/>
      </w:pPr>
      <w:rPr>
        <w:rFonts w:hint="default"/>
        <w:lang w:val="en-us" w:eastAsia="en-US" w:bidi="ar-SA"/>
      </w:rPr>
    </w:lvl>
  </w:abstractNum>
  <w:abstractNum w:abstractNumId="3">
    <w:multiLevelType w:val="hybridMultilevel"/>
    <w:lvl w:ilvl="0">
      <w:start w:val="1"/>
      <w:numFmt w:val="decimal"/>
      <w:lvlText w:val="%1."/>
      <w:lvlJc w:val="left"/>
      <w:pPr>
        <w:ind w:left="480" w:hanging="360"/>
        <w:jc w:val="left"/>
      </w:pPr>
      <w:rPr>
        <w:rFonts w:hint="default" w:ascii="Times New Roman" w:hAnsi="Times New Roman" w:eastAsia="Times New Roman" w:cs="Times New Roman"/>
        <w:b/>
        <w:bCs/>
        <w:i/>
        <w:iCs/>
        <w:color w:val="010202"/>
        <w:w w:val="100"/>
        <w:sz w:val="22"/>
        <w:szCs w:val="22"/>
        <w:lang w:val="en-us" w:eastAsia="en-US" w:bidi="ar-SA"/>
      </w:rPr>
    </w:lvl>
    <w:lvl w:ilvl="1">
      <w:start w:val="0"/>
      <w:numFmt w:val="bullet"/>
      <w:lvlText w:val=""/>
      <w:lvlJc w:val="left"/>
      <w:pPr>
        <w:ind w:left="83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1199" w:hanging="360"/>
      </w:pPr>
      <w:rPr>
        <w:rFonts w:hint="default" w:ascii="Symbol" w:hAnsi="Symbol" w:eastAsia="Symbol" w:cs="Symbol"/>
        <w:b w:val="0"/>
        <w:bCs w:val="0"/>
        <w:i w:val="0"/>
        <w:iCs w:val="0"/>
        <w:color w:val="010202"/>
        <w:w w:val="100"/>
        <w:sz w:val="22"/>
        <w:szCs w:val="22"/>
        <w:lang w:val="en-us" w:eastAsia="en-US" w:bidi="ar-SA"/>
      </w:rPr>
    </w:lvl>
    <w:lvl w:ilvl="3">
      <w:start w:val="0"/>
      <w:numFmt w:val="bullet"/>
      <w:lvlText w:val="•"/>
      <w:lvlJc w:val="left"/>
      <w:pPr>
        <w:ind w:left="1697" w:hanging="360"/>
      </w:pPr>
      <w:rPr>
        <w:rFonts w:hint="default"/>
        <w:lang w:val="en-us" w:eastAsia="en-US" w:bidi="ar-SA"/>
      </w:rPr>
    </w:lvl>
    <w:lvl w:ilvl="4">
      <w:start w:val="0"/>
      <w:numFmt w:val="bullet"/>
      <w:lvlText w:val="•"/>
      <w:lvlJc w:val="left"/>
      <w:pPr>
        <w:ind w:left="2195" w:hanging="360"/>
      </w:pPr>
      <w:rPr>
        <w:rFonts w:hint="default"/>
        <w:lang w:val="en-us" w:eastAsia="en-US" w:bidi="ar-SA"/>
      </w:rPr>
    </w:lvl>
    <w:lvl w:ilvl="5">
      <w:start w:val="0"/>
      <w:numFmt w:val="bullet"/>
      <w:lvlText w:val="•"/>
      <w:lvlJc w:val="left"/>
      <w:pPr>
        <w:ind w:left="2693" w:hanging="360"/>
      </w:pPr>
      <w:rPr>
        <w:rFonts w:hint="default"/>
        <w:lang w:val="en-us" w:eastAsia="en-US" w:bidi="ar-SA"/>
      </w:rPr>
    </w:lvl>
    <w:lvl w:ilvl="6">
      <w:start w:val="0"/>
      <w:numFmt w:val="bullet"/>
      <w:lvlText w:val="•"/>
      <w:lvlJc w:val="left"/>
      <w:pPr>
        <w:ind w:left="3190" w:hanging="360"/>
      </w:pPr>
      <w:rPr>
        <w:rFonts w:hint="default"/>
        <w:lang w:val="en-us" w:eastAsia="en-US" w:bidi="ar-SA"/>
      </w:rPr>
    </w:lvl>
    <w:lvl w:ilvl="7">
      <w:start w:val="0"/>
      <w:numFmt w:val="bullet"/>
      <w:lvlText w:val="•"/>
      <w:lvlJc w:val="left"/>
      <w:pPr>
        <w:ind w:left="3688" w:hanging="360"/>
      </w:pPr>
      <w:rPr>
        <w:rFonts w:hint="default"/>
        <w:lang w:val="en-us" w:eastAsia="en-US" w:bidi="ar-SA"/>
      </w:rPr>
    </w:lvl>
    <w:lvl w:ilvl="8">
      <w:start w:val="0"/>
      <w:numFmt w:val="bullet"/>
      <w:lvlText w:val="•"/>
      <w:lvlJc w:val="left"/>
      <w:pPr>
        <w:ind w:left="4186" w:hanging="360"/>
      </w:pPr>
      <w:rPr>
        <w:rFonts w:hint="default"/>
        <w:lang w:val="en-us" w:eastAsia="en-US" w:bidi="ar-SA"/>
      </w:rPr>
    </w:lvl>
  </w:abstractNum>
  <w:abstractNum w:abstractNumId="2">
    <w:multiLevelType w:val="hybridMultilevel"/>
    <w:lvl w:ilvl="0">
      <w:start w:val="0"/>
      <w:numFmt w:val="bullet"/>
      <w:lvlText w:val=""/>
      <w:lvlJc w:val="left"/>
      <w:pPr>
        <w:ind w:left="8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27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40" w:hanging="360"/>
      </w:pPr>
      <w:rPr>
        <w:rFonts w:hint="default"/>
        <w:lang w:val="en-us" w:eastAsia="en-US" w:bidi="ar-SA"/>
      </w:rPr>
    </w:lvl>
    <w:lvl w:ilvl="4">
      <w:start w:val="0"/>
      <w:numFmt w:val="bullet"/>
      <w:lvlText w:val="•"/>
      <w:lvlJc w:val="left"/>
      <w:pPr>
        <w:ind w:left="2574" w:hanging="360"/>
      </w:pPr>
      <w:rPr>
        <w:rFonts w:hint="default"/>
        <w:lang w:val="en-us" w:eastAsia="en-US" w:bidi="ar-SA"/>
      </w:rPr>
    </w:lvl>
    <w:lvl w:ilvl="5">
      <w:start w:val="0"/>
      <w:numFmt w:val="bullet"/>
      <w:lvlText w:val="•"/>
      <w:lvlJc w:val="left"/>
      <w:pPr>
        <w:ind w:left="3008" w:hanging="360"/>
      </w:pPr>
      <w:rPr>
        <w:rFonts w:hint="default"/>
        <w:lang w:val="en-us" w:eastAsia="en-US" w:bidi="ar-SA"/>
      </w:rPr>
    </w:lvl>
    <w:lvl w:ilvl="6">
      <w:start w:val="0"/>
      <w:numFmt w:val="bullet"/>
      <w:lvlText w:val="•"/>
      <w:lvlJc w:val="left"/>
      <w:pPr>
        <w:ind w:left="3441" w:hanging="360"/>
      </w:pPr>
      <w:rPr>
        <w:rFonts w:hint="default"/>
        <w:lang w:val="en-us" w:eastAsia="en-US" w:bidi="ar-SA"/>
      </w:rPr>
    </w:lvl>
    <w:lvl w:ilvl="7">
      <w:start w:val="0"/>
      <w:numFmt w:val="bullet"/>
      <w:lvlText w:val="•"/>
      <w:lvlJc w:val="left"/>
      <w:pPr>
        <w:ind w:left="3875" w:hanging="360"/>
      </w:pPr>
      <w:rPr>
        <w:rFonts w:hint="default"/>
        <w:lang w:val="en-us" w:eastAsia="en-US" w:bidi="ar-SA"/>
      </w:rPr>
    </w:lvl>
    <w:lvl w:ilvl="8">
      <w:start w:val="0"/>
      <w:numFmt w:val="bullet"/>
      <w:lvlText w:val="•"/>
      <w:lvlJc w:val="left"/>
      <w:pPr>
        <w:ind w:left="4308" w:hanging="360"/>
      </w:pPr>
      <w:rPr>
        <w:rFonts w:hint="default"/>
        <w:lang w:val="en-us" w:eastAsia="en-US" w:bidi="ar-SA"/>
      </w:rPr>
    </w:lvl>
  </w:abstractNum>
  <w:abstractNum w:abstractNumId="1">
    <w:multiLevelType w:val="hybridMultilevel"/>
    <w:lvl w:ilvl="0">
      <w:start w:val="0"/>
      <w:numFmt w:val="bullet"/>
      <w:lvlText w:val=""/>
      <w:lvlJc w:val="left"/>
      <w:pPr>
        <w:ind w:left="44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920" w:hanging="360"/>
      </w:pPr>
      <w:rPr>
        <w:rFonts w:hint="default"/>
        <w:lang w:val="en-us" w:eastAsia="en-US" w:bidi="ar-SA"/>
      </w:rPr>
    </w:lvl>
    <w:lvl w:ilvl="2">
      <w:start w:val="0"/>
      <w:numFmt w:val="bullet"/>
      <w:lvlText w:val="•"/>
      <w:lvlJc w:val="left"/>
      <w:pPr>
        <w:ind w:left="1400" w:hanging="360"/>
      </w:pPr>
      <w:rPr>
        <w:rFonts w:hint="default"/>
        <w:lang w:val="en-us" w:eastAsia="en-US" w:bidi="ar-SA"/>
      </w:rPr>
    </w:lvl>
    <w:lvl w:ilvl="3">
      <w:start w:val="0"/>
      <w:numFmt w:val="bullet"/>
      <w:lvlText w:val="•"/>
      <w:lvlJc w:val="left"/>
      <w:pPr>
        <w:ind w:left="1880" w:hanging="360"/>
      </w:pPr>
      <w:rPr>
        <w:rFonts w:hint="default"/>
        <w:lang w:val="en-us" w:eastAsia="en-US" w:bidi="ar-SA"/>
      </w:rPr>
    </w:lvl>
    <w:lvl w:ilvl="4">
      <w:start w:val="0"/>
      <w:numFmt w:val="bullet"/>
      <w:lvlText w:val="•"/>
      <w:lvlJc w:val="left"/>
      <w:pPr>
        <w:ind w:left="2361" w:hanging="360"/>
      </w:pPr>
      <w:rPr>
        <w:rFonts w:hint="default"/>
        <w:lang w:val="en-us" w:eastAsia="en-US" w:bidi="ar-SA"/>
      </w:rPr>
    </w:lvl>
    <w:lvl w:ilvl="5">
      <w:start w:val="0"/>
      <w:numFmt w:val="bullet"/>
      <w:lvlText w:val="•"/>
      <w:lvlJc w:val="left"/>
      <w:pPr>
        <w:ind w:left="2841" w:hanging="360"/>
      </w:pPr>
      <w:rPr>
        <w:rFonts w:hint="default"/>
        <w:lang w:val="en-us" w:eastAsia="en-US" w:bidi="ar-SA"/>
      </w:rPr>
    </w:lvl>
    <w:lvl w:ilvl="6">
      <w:start w:val="0"/>
      <w:numFmt w:val="bullet"/>
      <w:lvlText w:val="•"/>
      <w:lvlJc w:val="left"/>
      <w:pPr>
        <w:ind w:left="3321" w:hanging="360"/>
      </w:pPr>
      <w:rPr>
        <w:rFonts w:hint="default"/>
        <w:lang w:val="en-us" w:eastAsia="en-US" w:bidi="ar-SA"/>
      </w:rPr>
    </w:lvl>
    <w:lvl w:ilvl="7">
      <w:start w:val="0"/>
      <w:numFmt w:val="bullet"/>
      <w:lvlText w:val="•"/>
      <w:lvlJc w:val="left"/>
      <w:pPr>
        <w:ind w:left="3802" w:hanging="360"/>
      </w:pPr>
      <w:rPr>
        <w:rFonts w:hint="default"/>
        <w:lang w:val="en-us" w:eastAsia="en-US" w:bidi="ar-SA"/>
      </w:rPr>
    </w:lvl>
    <w:lvl w:ilvl="8">
      <w:start w:val="0"/>
      <w:numFmt w:val="bullet"/>
      <w:lvlText w:val="•"/>
      <w:lvlJc w:val="left"/>
      <w:pPr>
        <w:ind w:left="4282" w:hanging="360"/>
      </w:pPr>
      <w:rPr>
        <w:rFonts w:hint="default"/>
        <w:lang w:val="en-us" w:eastAsia="en-US" w:bidi="ar-SA"/>
      </w:rPr>
    </w:lvl>
  </w:abstractNum>
  <w:abstractNum w:abstractNumId="0">
    <w:multiLevelType w:val="hybridMultilevel"/>
    <w:lvl w:ilvl="0">
      <w:start w:val="1"/>
      <w:numFmt w:val="decimal"/>
      <w:lvlText w:val="%1."/>
      <w:lvlJc w:val="left"/>
      <w:pPr>
        <w:ind w:left="1020" w:hanging="360"/>
        <w:jc w:val="left"/>
      </w:pPr>
      <w:rPr>
        <w:rFonts w:hint="default" w:ascii="Arial" w:hAnsi="Arial" w:eastAsia="Arial" w:cs="Arial"/>
        <w:b w:val="0"/>
        <w:bCs w:val="0"/>
        <w:i w:val="0"/>
        <w:iCs w:val="0"/>
        <w:color w:val="010202"/>
        <w:w w:val="100"/>
        <w:sz w:val="21"/>
        <w:szCs w:val="21"/>
        <w:lang w:val="en-us" w:eastAsia="en-US" w:bidi="ar-SA"/>
      </w:rPr>
    </w:lvl>
    <w:lvl w:ilvl="1">
      <w:start w:val="0"/>
      <w:numFmt w:val="bullet"/>
      <w:lvlText w:val="•"/>
      <w:lvlJc w:val="left"/>
      <w:pPr>
        <w:ind w:left="1419" w:hanging="360"/>
      </w:pPr>
      <w:rPr>
        <w:rFonts w:hint="default"/>
        <w:lang w:val="en-us" w:eastAsia="en-US" w:bidi="ar-SA"/>
      </w:rPr>
    </w:lvl>
    <w:lvl w:ilvl="2">
      <w:start w:val="0"/>
      <w:numFmt w:val="bullet"/>
      <w:lvlText w:val="•"/>
      <w:lvlJc w:val="left"/>
      <w:pPr>
        <w:ind w:left="1819" w:hanging="360"/>
      </w:pPr>
      <w:rPr>
        <w:rFonts w:hint="default"/>
        <w:lang w:val="en-us" w:eastAsia="en-US" w:bidi="ar-SA"/>
      </w:rPr>
    </w:lvl>
    <w:lvl w:ilvl="3">
      <w:start w:val="0"/>
      <w:numFmt w:val="bullet"/>
      <w:lvlText w:val="•"/>
      <w:lvlJc w:val="left"/>
      <w:pPr>
        <w:ind w:left="2219" w:hanging="360"/>
      </w:pPr>
      <w:rPr>
        <w:rFonts w:hint="default"/>
        <w:lang w:val="en-us" w:eastAsia="en-US" w:bidi="ar-SA"/>
      </w:rPr>
    </w:lvl>
    <w:lvl w:ilvl="4">
      <w:start w:val="0"/>
      <w:numFmt w:val="bullet"/>
      <w:lvlText w:val="•"/>
      <w:lvlJc w:val="left"/>
      <w:pPr>
        <w:ind w:left="2618" w:hanging="360"/>
      </w:pPr>
      <w:rPr>
        <w:rFonts w:hint="default"/>
        <w:lang w:val="en-us" w:eastAsia="en-US" w:bidi="ar-SA"/>
      </w:rPr>
    </w:lvl>
    <w:lvl w:ilvl="5">
      <w:start w:val="0"/>
      <w:numFmt w:val="bullet"/>
      <w:lvlText w:val="•"/>
      <w:lvlJc w:val="left"/>
      <w:pPr>
        <w:ind w:left="3018" w:hanging="360"/>
      </w:pPr>
      <w:rPr>
        <w:rFonts w:hint="default"/>
        <w:lang w:val="en-us" w:eastAsia="en-US" w:bidi="ar-SA"/>
      </w:rPr>
    </w:lvl>
    <w:lvl w:ilvl="6">
      <w:start w:val="0"/>
      <w:numFmt w:val="bullet"/>
      <w:lvlText w:val="•"/>
      <w:lvlJc w:val="left"/>
      <w:pPr>
        <w:ind w:left="3418" w:hanging="360"/>
      </w:pPr>
      <w:rPr>
        <w:rFonts w:hint="default"/>
        <w:lang w:val="en-us" w:eastAsia="en-US" w:bidi="ar-SA"/>
      </w:rPr>
    </w:lvl>
    <w:lvl w:ilvl="7">
      <w:start w:val="0"/>
      <w:numFmt w:val="bullet"/>
      <w:lvlText w:val="•"/>
      <w:lvlJc w:val="left"/>
      <w:pPr>
        <w:ind w:left="3818" w:hanging="360"/>
      </w:pPr>
      <w:rPr>
        <w:rFonts w:hint="default"/>
        <w:lang w:val="en-us" w:eastAsia="en-US" w:bidi="ar-SA"/>
      </w:rPr>
    </w:lvl>
    <w:lvl w:ilvl="8">
      <w:start w:val="0"/>
      <w:numFmt w:val="bullet"/>
      <w:lvlText w:val="•"/>
      <w:lvlJc w:val="left"/>
      <w:pPr>
        <w:ind w:left="4217" w:hanging="360"/>
      </w:pPr>
      <w:rPr>
        <w:rFonts w:hint="default"/>
        <w:lang w:val="en-us" w:eastAsia="en-US" w:bidi="ar-SA"/>
      </w:rPr>
    </w:lvl>
  </w:abstract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00"/>
      <w:ind w:left="120"/>
      <w:outlineLvl w:val="1"/>
    </w:pPr>
    <w:rPr>
      <w:rFonts w:ascii="Arial Black" w:hAnsi="Arial Black" w:eastAsia="Arial Black" w:cs="Arial Black"/>
      <w:sz w:val="40"/>
      <w:szCs w:val="40"/>
      <w:lang w:val="en-us" w:eastAsia="en-US" w:bidi="ar-SA"/>
    </w:rPr>
  </w:style>
  <w:style w:styleId="Heading2" w:type="paragraph">
    <w:name w:val="Heading 2"/>
    <w:basedOn w:val="Normal"/>
    <w:uiPriority w:val="1"/>
    <w:qFormat/>
    <w:pPr>
      <w:spacing w:before="241"/>
      <w:ind w:left="120"/>
      <w:outlineLvl w:val="2"/>
    </w:pPr>
    <w:rPr>
      <w:rFonts w:ascii="Arial Black" w:hAnsi="Arial Black" w:eastAsia="Arial Black" w:cs="Arial Black"/>
      <w:sz w:val="35"/>
      <w:szCs w:val="35"/>
      <w:lang w:val="en-us" w:eastAsia="en-US" w:bidi="ar-SA"/>
    </w:rPr>
  </w:style>
  <w:style w:styleId="Heading3" w:type="paragraph">
    <w:name w:val="Heading 3"/>
    <w:basedOn w:val="Normal"/>
    <w:uiPriority w:val="1"/>
    <w:qFormat/>
    <w:pPr>
      <w:spacing w:before="100"/>
      <w:ind w:left="120"/>
      <w:outlineLvl w:val="3"/>
    </w:pPr>
    <w:rPr>
      <w:rFonts w:ascii="Arial Black" w:hAnsi="Arial Black" w:eastAsia="Arial Black" w:cs="Arial Black"/>
      <w:sz w:val="24"/>
      <w:szCs w:val="24"/>
      <w:lang w:val="en-us" w:eastAsia="en-US" w:bidi="ar-SA"/>
    </w:rPr>
  </w:style>
  <w:style w:styleId="Heading4" w:type="paragraph">
    <w:name w:val="Heading 4"/>
    <w:basedOn w:val="Normal"/>
    <w:uiPriority w:val="1"/>
    <w:qFormat/>
    <w:pPr>
      <w:spacing w:before="92"/>
      <w:ind w:left="120"/>
      <w:outlineLvl w:val="4"/>
    </w:pPr>
    <w:rPr>
      <w:rFonts w:ascii="Arial" w:hAnsi="Arial" w:eastAsia="Arial" w:cs="Arial"/>
      <w:i/>
      <w:iCs/>
      <w:sz w:val="24"/>
      <w:szCs w:val="24"/>
      <w:lang w:val="en-us" w:eastAsia="en-US" w:bidi="ar-SA"/>
    </w:rPr>
  </w:style>
  <w:style w:styleId="Heading5" w:type="paragraph">
    <w:name w:val="Heading 5"/>
    <w:basedOn w:val="Normal"/>
    <w:uiPriority w:val="1"/>
    <w:qFormat/>
    <w:pPr>
      <w:spacing w:before="93"/>
      <w:ind w:left="120"/>
      <w:outlineLvl w:val="5"/>
    </w:pPr>
    <w:rPr>
      <w:rFonts w:ascii="Arial" w:hAnsi="Arial" w:eastAsia="Arial" w:cs="Arial"/>
      <w:b/>
      <w:bCs/>
      <w:sz w:val="22"/>
      <w:szCs w:val="22"/>
      <w:lang w:val="en-us" w:eastAsia="en-US" w:bidi="ar-SA"/>
    </w:rPr>
  </w:style>
  <w:style w:styleId="Title" w:type="paragraph">
    <w:name w:val="Title"/>
    <w:basedOn w:val="Normal"/>
    <w:uiPriority w:val="1"/>
    <w:qFormat/>
    <w:pPr>
      <w:ind w:left="120" w:right="4830"/>
    </w:pPr>
    <w:rPr>
      <w:rFonts w:ascii="Arial Black" w:hAnsi="Arial Black" w:eastAsia="Arial Black" w:cs="Arial Black"/>
      <w:sz w:val="54"/>
      <w:szCs w:val="54"/>
      <w:lang w:val="en-us" w:eastAsia="en-US" w:bidi="ar-SA"/>
    </w:rPr>
  </w:style>
  <w:style w:styleId="ListParagraph" w:type="paragraph">
    <w:name w:val="List Paragraph"/>
    <w:basedOn w:val="Normal"/>
    <w:uiPriority w:val="1"/>
    <w:qFormat/>
    <w:pPr>
      <w:ind w:left="8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44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store.samhsa.gov/" TargetMode="External"/><Relationship Id="rId8" Type="http://schemas.openxmlformats.org/officeDocument/2006/relationships/footer" Target="footer1.xml"/><Relationship Id="rId9" Type="http://schemas.openxmlformats.org/officeDocument/2006/relationships/hyperlink" Target="https://www.samhsa.gov/"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3.jpeg"/><Relationship Id="rId13" Type="http://schemas.openxmlformats.org/officeDocument/2006/relationships/footer" Target="footer4.xml"/><Relationship Id="rId14" Type="http://schemas.openxmlformats.org/officeDocument/2006/relationships/image" Target="media/image4.jpeg"/><Relationship Id="rId15" Type="http://schemas.openxmlformats.org/officeDocument/2006/relationships/header" Target="header1.xml"/><Relationship Id="rId16" Type="http://schemas.openxmlformats.org/officeDocument/2006/relationships/footer" Target="footer5.xml"/><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png"/><Relationship Id="rId20" Type="http://schemas.openxmlformats.org/officeDocument/2006/relationships/hyperlink" Target="https://www.samhsa.gov/section-223/care-coordination/telehealth-telemedicine" TargetMode="External"/><Relationship Id="rId21" Type="http://schemas.openxmlformats.org/officeDocument/2006/relationships/hyperlink" Target="https://telehealth.hhs.gov/patients/understanding-telehealth/#what-doestelehealth-mean" TargetMode="External"/><Relationship Id="rId22" Type="http://schemas.openxmlformats.org/officeDocument/2006/relationships/hyperlink" Target="http://www.nimh.nih.gov/health/statistics/" TargetMode="External"/><Relationship Id="rId23" Type="http://schemas.openxmlformats.org/officeDocument/2006/relationships/hyperlink" Target="https://www.samhsa.gov/find-help/disorders" TargetMode="External"/><Relationship Id="rId24" Type="http://schemas.openxmlformats.org/officeDocument/2006/relationships/hyperlink" Target="https://dx.doi.org/10.1089%2Ftmj.2015.0206" TargetMode="External"/><Relationship Id="rId25" Type="http://schemas.openxmlformats.org/officeDocument/2006/relationships/hyperlink" Target="https://www.ncbi.nlm.nih.gov/books/NBK207145/" TargetMode="External"/><Relationship Id="rId26" Type="http://schemas.openxmlformats.org/officeDocument/2006/relationships/hyperlink" Target="http://www.behavioralhealthworkforce.org/wp-content/uploads/2018/05/Telehealth-Full-Paper_5.17.18-clean.pdf" TargetMode="External"/><Relationship Id="rId27" Type="http://schemas.openxmlformats.org/officeDocument/2006/relationships/hyperlink" Target="https://store.samhsa.gov/product/TIP-60-Using-Technology-Based-Therapeutic-Tools-in-Behavioral-Health-Services/SMA15-4924" TargetMode="External"/><Relationship Id="rId28" Type="http://schemas.openxmlformats.org/officeDocument/2006/relationships/hyperlink" Target="https://www.ama-assn.org/system/files/2020-04/ama-telehealth-implementation-playbook.pdf" TargetMode="External"/><Relationship Id="rId29" Type="http://schemas.openxmlformats.org/officeDocument/2006/relationships/hyperlink" Target="https://www.cchpca.org/about/about-telehealth/live-video-synchronous" TargetMode="External"/><Relationship Id="rId30" Type="http://schemas.openxmlformats.org/officeDocument/2006/relationships/hyperlink" Target="https://doi.org/10.26099/qb81-6c84" TargetMode="External"/><Relationship Id="rId31" Type="http://schemas.openxmlformats.org/officeDocument/2006/relationships/hyperlink" Target="https://www.cdc.gov/coronavirus/2019-ncov/hcp/telehealth.html" TargetMode="External"/><Relationship Id="rId32" Type="http://schemas.openxmlformats.org/officeDocument/2006/relationships/hyperlink" Target="https://www.youtube.com/watch?v=uT9fD7J3n6I" TargetMode="External"/><Relationship Id="rId33" Type="http://schemas.openxmlformats.org/officeDocument/2006/relationships/hyperlink" Target="https://www.ruralhealthinfo.org/toolkits/telehealth/1/application-domains" TargetMode="External"/><Relationship Id="rId34" Type="http://schemas.openxmlformats.org/officeDocument/2006/relationships/hyperlink" Target="https://www.telehealthpolicy.us/sites/default/files/2018-09/Remote%20Patient%20Monitoring%20Research%20Catalogue%20%28Aug%202018%29.pdf" TargetMode="External"/><Relationship Id="rId35" Type="http://schemas.openxmlformats.org/officeDocument/2006/relationships/hyperlink" Target="https://www.cchpca.org/about/about-telehealth/remote-patient-monitoring-rpm" TargetMode="External"/><Relationship Id="rId36" Type="http://schemas.openxmlformats.org/officeDocument/2006/relationships/hyperlink" Target="https://www.cdc.gov/dhdsp/pubs/telehealth.htm" TargetMode="External"/><Relationship Id="rId37" Type="http://schemas.openxmlformats.org/officeDocument/2006/relationships/hyperlink" Target="https://pubs.niaaa.nih.gov/publications/aa88/AA88.pdf" TargetMode="External"/><Relationship Id="rId38" Type="http://schemas.openxmlformats.org/officeDocument/2006/relationships/hyperlink" Target="https://www.cchpca.org/about/about-telehealth/store-and-forward-asynchronous" TargetMode="External"/><Relationship Id="rId39" Type="http://schemas.openxmlformats.org/officeDocument/2006/relationships/hyperlink" Target="https://store.samhsa.gov/sites/default/files/d7/priv/sma16-4989.pdf" TargetMode="External"/><Relationship Id="rId40" Type="http://schemas.openxmlformats.org/officeDocument/2006/relationships/hyperlink" Target="https://www.msm.edu/Research/research_centersandinstitutes/NCPC/divisions/health-information-technology/history.php" TargetMode="External"/><Relationship Id="rId41" Type="http://schemas.openxmlformats.org/officeDocument/2006/relationships/hyperlink" Target="https://doi.org/10.1089/tmj.2012.0100" TargetMode="External"/><Relationship Id="rId42" Type="http://schemas.openxmlformats.org/officeDocument/2006/relationships/hyperlink" Target="https://doi.org/10.1007/s11606-018-4440-8" TargetMode="External"/><Relationship Id="rId43" Type="http://schemas.openxmlformats.org/officeDocument/2006/relationships/hyperlink" Target="https://www.rand.org/news/press/2018/04/25.html" TargetMode="External"/><Relationship Id="rId44" Type="http://schemas.openxmlformats.org/officeDocument/2006/relationships/hyperlink" Target="https://doi.org/10.1089/tmj.2009.0162" TargetMode="External"/><Relationship Id="rId45" Type="http://schemas.openxmlformats.org/officeDocument/2006/relationships/hyperlink" Target="https://www.samhsa.gov/data/release/2019-national-survey-drug-use-and-health-nsduh-releases" TargetMode="External"/><Relationship Id="rId46" Type="http://schemas.openxmlformats.org/officeDocument/2006/relationships/hyperlink" Target="https://doi.org/10.1089/tmj.2020.0233" TargetMode="External"/><Relationship Id="rId47" Type="http://schemas.openxmlformats.org/officeDocument/2006/relationships/hyperlink" Target="https://doi.org/10.1016/j.jsat.2020.108060" TargetMode="External"/><Relationship Id="rId48" Type="http://schemas.openxmlformats.org/officeDocument/2006/relationships/hyperlink" Target="https://doi.org/10.2105/AJPH.2020.305657" TargetMode="External"/><Relationship Id="rId49" Type="http://schemas.openxmlformats.org/officeDocument/2006/relationships/hyperlink" Target="http://www.ihi.org/communities/blogs/the-triple-aim-or-the-quadruple-aim-four-points-to-help-set-your-strategy" TargetMode="External"/><Relationship Id="rId50" Type="http://schemas.openxmlformats.org/officeDocument/2006/relationships/hyperlink" Target="https://www.rand.org/content/dam/rand/pubs/research_reports/RR500/RR578z1/RAND_RR578z1.pdf" TargetMode="External"/><Relationship Id="rId51" Type="http://schemas.openxmlformats.org/officeDocument/2006/relationships/hyperlink" Target="https://doi.org/10.15585%2Fmmwr.ss6601a1" TargetMode="External"/><Relationship Id="rId52" Type="http://schemas.openxmlformats.org/officeDocument/2006/relationships/hyperlink" Target="https://www.norc.org/PDFs/Walsh%20Center/Rural%20Health%20US%20Report_Oct2014_dtp.pdf" TargetMode="External"/><Relationship Id="rId53" Type="http://schemas.openxmlformats.org/officeDocument/2006/relationships/hyperlink" Target="https://bcmj.org/articles/role-telehealth-improving-continuity-care-carrier-sekani-family-services-primary-care-model" TargetMode="External"/><Relationship Id="rId54" Type="http://schemas.openxmlformats.org/officeDocument/2006/relationships/hyperlink" Target="https://psnet.ahrq.gov/perspective/telehealth-and-patient-safety-during-covid-19-response" TargetMode="External"/><Relationship Id="rId55" Type="http://schemas.openxmlformats.org/officeDocument/2006/relationships/hyperlink" Target="https://doi.org/10.1037/a0028231" TargetMode="External"/><Relationship Id="rId56" Type="http://schemas.openxmlformats.org/officeDocument/2006/relationships/hyperlink" Target="https://doi.org/10.1136/fmch-2020-000530" TargetMode="External"/><Relationship Id="rId57" Type="http://schemas.openxmlformats.org/officeDocument/2006/relationships/hyperlink" Target="https://doi.org/10.1016/j.jsat.2020.108037" TargetMode="External"/><Relationship Id="rId58" Type="http://schemas.openxmlformats.org/officeDocument/2006/relationships/hyperlink" Target="https://nosorh.org/wp-content/uploads/2016/11/NOSORH-Telehealth-Big-Picture-Fact-Sheet-FINAL.pdf" TargetMode="External"/><Relationship Id="rId59" Type="http://schemas.openxmlformats.org/officeDocument/2006/relationships/hyperlink" Target="https://www.ruralhealthinfo.org/toolkits/telehealth/2/care-delivery/specialty-care" TargetMode="External"/><Relationship Id="rId60" Type="http://schemas.openxmlformats.org/officeDocument/2006/relationships/hyperlink" Target="https://health.tamu.edu/care/telebehavioral-care/about.html" TargetMode="External"/><Relationship Id="rId61" Type="http://schemas.openxmlformats.org/officeDocument/2006/relationships/hyperlink" Target="https://www.ceeol.com/search/article-detail?id=811029" TargetMode="External"/><Relationship Id="rId62" Type="http://schemas.openxmlformats.org/officeDocument/2006/relationships/hyperlink" Target="https://doi.org/10.1093%2Fschbul%2Fsbl017" TargetMode="External"/><Relationship Id="rId63" Type="http://schemas.openxmlformats.org/officeDocument/2006/relationships/hyperlink" Target="https://mhealthintelligence.com/features/healthcare-looks-to-telehealth-to-address-physician-burnout-stress" TargetMode="External"/><Relationship Id="rId64" Type="http://schemas.openxmlformats.org/officeDocument/2006/relationships/hyperlink" Target="https://isalushealthcare.com/blog/physician-burnout-is-telehealth-the-cure/" TargetMode="External"/><Relationship Id="rId65" Type="http://schemas.openxmlformats.org/officeDocument/2006/relationships/hyperlink" Target="https://www.physiciansweekly.com/3-ways-telemedicine-reduces-provider-burnout/" TargetMode="External"/><Relationship Id="rId66" Type="http://schemas.openxmlformats.org/officeDocument/2006/relationships/hyperlink" Target="https://doi.org/10.1300/J020v25n04_03" TargetMode="External"/><Relationship Id="rId67" Type="http://schemas.openxmlformats.org/officeDocument/2006/relationships/hyperlink" Target="https://www.ama-assn.org/practice-management/digital/telehealth-keeps-care-continuity-during-covid-19-must-continue" TargetMode="External"/><Relationship Id="rId68" Type="http://schemas.openxmlformats.org/officeDocument/2006/relationships/hyperlink" Target="https://www.hrsa.gov/rural-health/telehealth" TargetMode="External"/><Relationship Id="rId69" Type="http://schemas.openxmlformats.org/officeDocument/2006/relationships/hyperlink" Target="https://pubmed.ncbi.nlm.nih.gov/16238840/" TargetMode="External"/><Relationship Id="rId70" Type="http://schemas.openxmlformats.org/officeDocument/2006/relationships/hyperlink" Target="https://doi.org/10.1007/s11606-011-1762-1" TargetMode="External"/><Relationship Id="rId71" Type="http://schemas.openxmlformats.org/officeDocument/2006/relationships/hyperlink" Target="https://doi.org/10.1111/j.1369-7625.2008.00531.x" TargetMode="External"/><Relationship Id="rId72" Type="http://schemas.openxmlformats.org/officeDocument/2006/relationships/hyperlink" Target="https://doi.org/10.1037/a0016014" TargetMode="External"/><Relationship Id="rId73" Type="http://schemas.openxmlformats.org/officeDocument/2006/relationships/hyperlink" Target="https://doi.org/10.1007/s11126-006-9019-6" TargetMode="External"/><Relationship Id="rId74" Type="http://schemas.openxmlformats.org/officeDocument/2006/relationships/hyperlink" Target="https://doi.org/10.1093/fampra/cmy072" TargetMode="External"/><Relationship Id="rId75" Type="http://schemas.openxmlformats.org/officeDocument/2006/relationships/hyperlink" Target="https://doi.org/10.3389%2Ffpsyg.2020.02164" TargetMode="External"/><Relationship Id="rId76" Type="http://schemas.openxmlformats.org/officeDocument/2006/relationships/hyperlink" Target="https://doi.org/10.1353/aad.2006.0033" TargetMode="External"/><Relationship Id="rId77" Type="http://schemas.openxmlformats.org/officeDocument/2006/relationships/hyperlink" Target="https://www.ncqa.org/wp-content/uploads/2020/09/20200914_Taskforce_on_Telehealth_Policy_Final_Report.pdf" TargetMode="External"/><Relationship Id="rId78" Type="http://schemas.openxmlformats.org/officeDocument/2006/relationships/hyperlink" Target="https://www.aarp.org/content/dam/aarp/ppi/2018/05/using-telehealth-to-improve-home-based-care-for-older-adults-and-family-caregivers.pdf" TargetMode="External"/><Relationship Id="rId79" Type="http://schemas.openxmlformats.org/officeDocument/2006/relationships/hyperlink" Target="https://digital.ahrq.gov/sites/default/files/docs/page/Telehealth_Issue_Paper_Final_1.pdf" TargetMode="External"/><Relationship Id="rId80" Type="http://schemas.openxmlformats.org/officeDocument/2006/relationships/hyperlink" Target="https://doi.org/10.1177/1357633x18775855" TargetMode="External"/><Relationship Id="rId81" Type="http://schemas.openxmlformats.org/officeDocument/2006/relationships/hyperlink" Target="https://www.psychiatry.org/patients-families/what-is-telepsychiatry" TargetMode="External"/><Relationship Id="rId82" Type="http://schemas.openxmlformats.org/officeDocument/2006/relationships/hyperlink" Target="https://www.ruralhealthinfo.org/toolkits/telehealth/2/specific-populations/behavioral-health" TargetMode="External"/><Relationship Id="rId83" Type="http://schemas.openxmlformats.org/officeDocument/2006/relationships/hyperlink" Target="https://doi.org/10.1080/10810730.2014.914606" TargetMode="External"/><Relationship Id="rId84" Type="http://schemas.openxmlformats.org/officeDocument/2006/relationships/hyperlink" Target="https://doi.org/10.2190/pm.48.1.b" TargetMode="External"/><Relationship Id="rId85" Type="http://schemas.openxmlformats.org/officeDocument/2006/relationships/hyperlink" Target="https://doi.org/10.1089/tmj.2014.0165" TargetMode="External"/><Relationship Id="rId86" Type="http://schemas.openxmlformats.org/officeDocument/2006/relationships/hyperlink" Target="https://doi.org/10.1089/tmj.2011.0076" TargetMode="External"/><Relationship Id="rId87" Type="http://schemas.openxmlformats.org/officeDocument/2006/relationships/hyperlink" Target="https://doi.org/10.1089/tmj.2019.0038" TargetMode="External"/><Relationship Id="rId88" Type="http://schemas.openxmlformats.org/officeDocument/2006/relationships/hyperlink" Target="https://doi.org/10.1037/0022-006X.76.1.158" TargetMode="External"/><Relationship Id="rId89" Type="http://schemas.openxmlformats.org/officeDocument/2006/relationships/hyperlink" Target="https://doi.org/10.1177/1357633X17730443" TargetMode="External"/><Relationship Id="rId90" Type="http://schemas.openxmlformats.org/officeDocument/2006/relationships/hyperlink" Target="https://doi.org/10.1002/jts.20494" TargetMode="External"/><Relationship Id="rId91" Type="http://schemas.openxmlformats.org/officeDocument/2006/relationships/hyperlink" Target="https://doi.org/10.3138/jmvfh-6.s2-CO19-0003" TargetMode="External"/><Relationship Id="rId92" Type="http://schemas.openxmlformats.org/officeDocument/2006/relationships/hyperlink" Target="https://www.pewresearch.org/fact-tank/2019/04/22/some-americans-dont-use-the-internet-who-are-they/" TargetMode="External"/><Relationship Id="rId93" Type="http://schemas.openxmlformats.org/officeDocument/2006/relationships/hyperlink" Target="https://www.benton.org/headlines/about-quarter-rural-americans-say-access-high-speed-internet-major-problem" TargetMode="External"/><Relationship Id="rId94" Type="http://schemas.openxmlformats.org/officeDocument/2006/relationships/hyperlink" Target="https://www.pewresearch.org/fact-tank/2019/08/20/smartphones-help-blacks-hispanics-bridge-some-but-not-all-digital-gaps-with-whites/" TargetMode="External"/><Relationship Id="rId95" Type="http://schemas.openxmlformats.org/officeDocument/2006/relationships/hyperlink" Target="https://doi.org/10.4088/JCP.13m08842" TargetMode="External"/><Relationship Id="rId96" Type="http://schemas.openxmlformats.org/officeDocument/2006/relationships/hyperlink" Target="https://pubmed.ncbi.nlm.nih.gov/23567376/" TargetMode="External"/><Relationship Id="rId97" Type="http://schemas.openxmlformats.org/officeDocument/2006/relationships/hyperlink" Target="https://doi.org/10.1176/appi.ps.005332011" TargetMode="External"/><Relationship Id="rId98" Type="http://schemas.openxmlformats.org/officeDocument/2006/relationships/hyperlink" Target="https://doi.org/10.1089/tmj.2013.0075" TargetMode="External"/><Relationship Id="rId99" Type="http://schemas.openxmlformats.org/officeDocument/2006/relationships/hyperlink" Target="https://pubmed.ncbi.nlm.nih.gov/27536752/" TargetMode="External"/><Relationship Id="rId100" Type="http://schemas.openxmlformats.org/officeDocument/2006/relationships/hyperlink" Target="https://doi.org/10.1037/0022-006X.73.4.749" TargetMode="External"/><Relationship Id="rId101" Type="http://schemas.openxmlformats.org/officeDocument/2006/relationships/hyperlink" Target="https://doi.org/10.1176/appi.ajp.2008.07111835" TargetMode="External"/><Relationship Id="rId102" Type="http://schemas.openxmlformats.org/officeDocument/2006/relationships/hyperlink" Target="https://doi.org/10.1016/j.jsat.2019.03.007" TargetMode="External"/><Relationship Id="rId103" Type="http://schemas.openxmlformats.org/officeDocument/2006/relationships/hyperlink" Target="https://catalyst.nejm.org/doi/full/10.1056/CAT.20.0123" TargetMode="External"/><Relationship Id="rId104" Type="http://schemas.openxmlformats.org/officeDocument/2006/relationships/hyperlink" Target="https://doi.org/10.2196/16951" TargetMode="External"/><Relationship Id="rId105" Type="http://schemas.openxmlformats.org/officeDocument/2006/relationships/hyperlink" Target="http://www.pewinternet.org/fact-sheet/mobile/" TargetMode="External"/><Relationship Id="rId106" Type="http://schemas.openxmlformats.org/officeDocument/2006/relationships/hyperlink" Target="http://www.pewinternet.org/fact-sheet/internet-broadband/" TargetMode="External"/><Relationship Id="rId107" Type="http://schemas.openxmlformats.org/officeDocument/2006/relationships/header" Target="header2.xml"/><Relationship Id="rId108" Type="http://schemas.openxmlformats.org/officeDocument/2006/relationships/footer" Target="footer6.xml"/><Relationship Id="rId109" Type="http://schemas.openxmlformats.org/officeDocument/2006/relationships/image" Target="media/image8.jpeg"/><Relationship Id="rId110" Type="http://schemas.openxmlformats.org/officeDocument/2006/relationships/header" Target="header3.xml"/><Relationship Id="rId111" Type="http://schemas.openxmlformats.org/officeDocument/2006/relationships/footer" Target="footer7.xml"/><Relationship Id="rId112" Type="http://schemas.openxmlformats.org/officeDocument/2006/relationships/image" Target="media/image9.jpeg"/><Relationship Id="rId113" Type="http://schemas.openxmlformats.org/officeDocument/2006/relationships/image" Target="media/image10.png"/><Relationship Id="rId114" Type="http://schemas.openxmlformats.org/officeDocument/2006/relationships/image" Target="media/image11.jpeg"/><Relationship Id="rId115" Type="http://schemas.openxmlformats.org/officeDocument/2006/relationships/image" Target="media/image12.png"/><Relationship Id="rId116" Type="http://schemas.openxmlformats.org/officeDocument/2006/relationships/image" Target="media/image13.jpeg"/><Relationship Id="rId117" Type="http://schemas.openxmlformats.org/officeDocument/2006/relationships/image" Target="media/image14.png"/><Relationship Id="rId118" Type="http://schemas.openxmlformats.org/officeDocument/2006/relationships/header" Target="header4.xml"/><Relationship Id="rId119" Type="http://schemas.openxmlformats.org/officeDocument/2006/relationships/footer" Target="footer8.xml"/><Relationship Id="rId120" Type="http://schemas.openxmlformats.org/officeDocument/2006/relationships/header" Target="header5.xml"/><Relationship Id="rId121" Type="http://schemas.openxmlformats.org/officeDocument/2006/relationships/footer" Target="footer9.xml"/><Relationship Id="rId122" Type="http://schemas.openxmlformats.org/officeDocument/2006/relationships/header" Target="header6.xml"/><Relationship Id="rId123" Type="http://schemas.openxmlformats.org/officeDocument/2006/relationships/footer" Target="footer10.xml"/><Relationship Id="rId124" Type="http://schemas.openxmlformats.org/officeDocument/2006/relationships/header" Target="header7.xml"/><Relationship Id="rId125" Type="http://schemas.openxmlformats.org/officeDocument/2006/relationships/footer" Target="footer11.xml"/><Relationship Id="rId126" Type="http://schemas.openxmlformats.org/officeDocument/2006/relationships/hyperlink" Target="https://apps.digitalpsych.org/" TargetMode="External"/><Relationship Id="rId127" Type="http://schemas.openxmlformats.org/officeDocument/2006/relationships/hyperlink" Target="https://mobile.va.gov/appstore" TargetMode="External"/><Relationship Id="rId128" Type="http://schemas.openxmlformats.org/officeDocument/2006/relationships/hyperlink" Target="https://www.samhsa.gov/sites/default/files/national-guidelines-for-behavioral-health-crisis-care-02242020.pdf" TargetMode="External"/><Relationship Id="rId129" Type="http://schemas.openxmlformats.org/officeDocument/2006/relationships/image" Target="media/image15.png"/><Relationship Id="rId130" Type="http://schemas.openxmlformats.org/officeDocument/2006/relationships/hyperlink" Target="https://smiadviser.org/mymhcp?utm_source=SAMHSA_Release" TargetMode="External"/><Relationship Id="rId131" Type="http://schemas.openxmlformats.org/officeDocument/2006/relationships/hyperlink" Target="https://www.nimh.nih.gov/research/research-conducted-at-nimh/asq-toolkit-materials/index.shtml" TargetMode="External"/><Relationship Id="rId132" Type="http://schemas.openxmlformats.org/officeDocument/2006/relationships/hyperlink" Target="https://cams-care.com/" TargetMode="External"/><Relationship Id="rId133" Type="http://schemas.openxmlformats.org/officeDocument/2006/relationships/hyperlink" Target="https://cssrs.columbia.edu/" TargetMode="External"/><Relationship Id="rId134" Type="http://schemas.openxmlformats.org/officeDocument/2006/relationships/image" Target="media/image16.png"/><Relationship Id="rId135" Type="http://schemas.openxmlformats.org/officeDocument/2006/relationships/hyperlink" Target="https://doi.org/10.1017/S109285290002277X" TargetMode="External"/><Relationship Id="rId136" Type="http://schemas.openxmlformats.org/officeDocument/2006/relationships/hyperlink" Target="https://doi.org/10.2217/pmt-2020-0064" TargetMode="External"/><Relationship Id="rId137" Type="http://schemas.openxmlformats.org/officeDocument/2006/relationships/hyperlink" Target="https://pubmed.ncbi.nlm.nih.gov/16767852/" TargetMode="External"/><Relationship Id="rId138" Type="http://schemas.openxmlformats.org/officeDocument/2006/relationships/hyperlink" Target="https://www.federalregister.gov/documents/2009/04/06/E9-7698/implementation-of-the-ryan-haight-online-pharmacy-consumer-protection-act-of-2008" TargetMode="External"/><Relationship Id="rId139" Type="http://schemas.openxmlformats.org/officeDocument/2006/relationships/hyperlink" Target="https://doi.org/10.1016/j.pmrj.2011.02.024" TargetMode="External"/><Relationship Id="rId140" Type="http://schemas.openxmlformats.org/officeDocument/2006/relationships/hyperlink" Target="https://doi.org/10.1001/jamapsychiatry.2020.0139" TargetMode="External"/><Relationship Id="rId141" Type="http://schemas.openxmlformats.org/officeDocument/2006/relationships/hyperlink" Target="https://doi.org/10.1016/j.genhosppsych.2019.11.004" TargetMode="External"/><Relationship Id="rId142" Type="http://schemas.openxmlformats.org/officeDocument/2006/relationships/hyperlink" Target="https://www.samhsa.gov/medication-assisted-treatment" TargetMode="External"/><Relationship Id="rId143" Type="http://schemas.openxmlformats.org/officeDocument/2006/relationships/hyperlink" Target="https://targethiv.org/sites/default/files/media/documents/2020-12/deii-bup-cati.pdf" TargetMode="External"/><Relationship Id="rId144" Type="http://schemas.openxmlformats.org/officeDocument/2006/relationships/hyperlink" Target="https://integrationacademy.ahrq.gov/products/playbooks/opioid-use-disorder" TargetMode="External"/><Relationship Id="rId145" Type="http://schemas.openxmlformats.org/officeDocument/2006/relationships/hyperlink" Target="https://doi.org/10.1176/appi.ps.201300235" TargetMode="External"/><Relationship Id="rId146" Type="http://schemas.openxmlformats.org/officeDocument/2006/relationships/hyperlink" Target="https://www.ncbi.nlm.nih.gov/books/NBK534504/" TargetMode="External"/><Relationship Id="rId147" Type="http://schemas.openxmlformats.org/officeDocument/2006/relationships/hyperlink" Target="https://www.fda.gov/drugs/information-drug-class/information-about-medication-assisted-treatment-mat" TargetMode="External"/><Relationship Id="rId148" Type="http://schemas.openxmlformats.org/officeDocument/2006/relationships/hyperlink" Target="https://store.samhsa.gov/sites/default/files/d7/priv/sma15-4907.pdf" TargetMode="External"/><Relationship Id="rId149" Type="http://schemas.openxmlformats.org/officeDocument/2006/relationships/hyperlink" Target="https://www.samhsa.gov/medication-assisted-treatment/medications-counseling-related-conditions" TargetMode="External"/><Relationship Id="rId150" Type="http://schemas.openxmlformats.org/officeDocument/2006/relationships/hyperlink" Target="https://www.ruralhealthinfo.org/toolkits/substance-abuse/2/treatment/medication-assisted-treatment" TargetMode="External"/><Relationship Id="rId151" Type="http://schemas.openxmlformats.org/officeDocument/2006/relationships/hyperlink" Target="https://www.samhsa.gov/medication-assisted-treatment/statutes-regulations-guidelines" TargetMode="External"/><Relationship Id="rId152" Type="http://schemas.openxmlformats.org/officeDocument/2006/relationships/hyperlink" Target="https://fas.org/sgp/crs/misc/IF10219.pdf" TargetMode="External"/><Relationship Id="rId153" Type="http://schemas.openxmlformats.org/officeDocument/2006/relationships/hyperlink" Target="https://doi.org/10.1016/j.jsat.2020.108124" TargetMode="External"/><Relationship Id="rId154" Type="http://schemas.openxmlformats.org/officeDocument/2006/relationships/hyperlink" Target="https://doi.org/10.1377/hlthaff.2018.05134" TargetMode="External"/><Relationship Id="rId155" Type="http://schemas.openxmlformats.org/officeDocument/2006/relationships/hyperlink" Target="https://doi.org/10.1001/jamanetworkopen.2019.20177" TargetMode="External"/><Relationship Id="rId156" Type="http://schemas.openxmlformats.org/officeDocument/2006/relationships/hyperlink" Target="https://doi.org/10.1016/j.jsat.2013.08.009" TargetMode="External"/><Relationship Id="rId157" Type="http://schemas.openxmlformats.org/officeDocument/2006/relationships/hyperlink" Target="https://pcssnow.org/medications-for-addiction-treatment/waiver-training-for-physicians/" TargetMode="External"/><Relationship Id="rId158" Type="http://schemas.openxmlformats.org/officeDocument/2006/relationships/hyperlink" Target="https://doi.org/10.1111/ajad.12805" TargetMode="External"/><Relationship Id="rId159" Type="http://schemas.openxmlformats.org/officeDocument/2006/relationships/hyperlink" Target="https://aspe.hhs.gov/basic-report/psychosocial-supports-medication-assisted-treatment-site-visit-findings-and-conclusions" TargetMode="External"/><Relationship Id="rId160" Type="http://schemas.openxmlformats.org/officeDocument/2006/relationships/hyperlink" Target="https://tbhcoe.matrc.org/wp-content/uploads/2019/12/implementing-medication-assisted-treatment-opioid-disorder-rural-primary-care-environmental-scan-volume-one-2017.pdf?9d4e56&amp;9d4e56" TargetMode="External"/><Relationship Id="rId161" Type="http://schemas.openxmlformats.org/officeDocument/2006/relationships/hyperlink" Target="https://addiction.surgeongeneral.gov/sites/default/files/OC_SpotlightOnOpioids.pdf" TargetMode="External"/><Relationship Id="rId162" Type="http://schemas.openxmlformats.org/officeDocument/2006/relationships/hyperlink" Target="https://www.mayoclinicproceedings.org/article/S0025-6196(18)30539-1/pdf" TargetMode="External"/><Relationship Id="rId163" Type="http://schemas.openxmlformats.org/officeDocument/2006/relationships/hyperlink" Target="https://doi.org/10.3109/09638237.2015.1019054" TargetMode="External"/><Relationship Id="rId164" Type="http://schemas.openxmlformats.org/officeDocument/2006/relationships/hyperlink" Target="https://doi.org/10.1016/j.jpsychires.2018.07.013" TargetMode="External"/><Relationship Id="rId165" Type="http://schemas.openxmlformats.org/officeDocument/2006/relationships/hyperlink" Target="https://doi.org/10.1016/j.psychres.2012.07.034" TargetMode="External"/><Relationship Id="rId166" Type="http://schemas.openxmlformats.org/officeDocument/2006/relationships/hyperlink" Target="https://doi.org/10.1093/schbul/sbs116" TargetMode="External"/><Relationship Id="rId167" Type="http://schemas.openxmlformats.org/officeDocument/2006/relationships/hyperlink" Target="https://mhealthintelligence.com/news/using-telehealth-to-help-patients-with-medication-adherence" TargetMode="External"/><Relationship Id="rId168" Type="http://schemas.openxmlformats.org/officeDocument/2006/relationships/hyperlink" Target="https://doi.org/10.1177/1078390308318750" TargetMode="External"/><Relationship Id="rId169" Type="http://schemas.openxmlformats.org/officeDocument/2006/relationships/hyperlink" Target="https://doi.org/10.3109/13651501.2010.505343" TargetMode="External"/><Relationship Id="rId170" Type="http://schemas.openxmlformats.org/officeDocument/2006/relationships/hyperlink" Target="https://doi.org/10.1331/1544345054003732" TargetMode="External"/><Relationship Id="rId171" Type="http://schemas.openxmlformats.org/officeDocument/2006/relationships/hyperlink" Target="https://doi.org/10.1016/j.jsat.2008.06.011" TargetMode="External"/><Relationship Id="rId172" Type="http://schemas.openxmlformats.org/officeDocument/2006/relationships/hyperlink" Target="https://europepmc.org/article/nbk/nbk379320" TargetMode="External"/><Relationship Id="rId173" Type="http://schemas.openxmlformats.org/officeDocument/2006/relationships/hyperlink" Target="https://doi.org/10.1016/s2215-0366(15)00122-4" TargetMode="External"/><Relationship Id="rId174" Type="http://schemas.openxmlformats.org/officeDocument/2006/relationships/hyperlink" Target="https://doi.org/10.1002/da.22476" TargetMode="External"/><Relationship Id="rId175" Type="http://schemas.openxmlformats.org/officeDocument/2006/relationships/hyperlink" Target="https://doi.org/10.4088/JCP.17m11888" TargetMode="External"/><Relationship Id="rId176" Type="http://schemas.openxmlformats.org/officeDocument/2006/relationships/hyperlink" Target="https://doi.org/10.1016/j.beth.2011.03.003" TargetMode="External"/><Relationship Id="rId177" Type="http://schemas.openxmlformats.org/officeDocument/2006/relationships/hyperlink" Target="https://doi.org/10.1177/1755738012471029" TargetMode="External"/><Relationship Id="rId178" Type="http://schemas.openxmlformats.org/officeDocument/2006/relationships/hyperlink" Target="https://www.apa.org/ptsd-guideline/treatments/cognitive-behavioral-therapy" TargetMode="External"/><Relationship Id="rId179" Type="http://schemas.openxmlformats.org/officeDocument/2006/relationships/hyperlink" Target="https://adaa.org/understanding-anxiety/posttraumatic-stress-disorder-ptsd/treatment" TargetMode="External"/><Relationship Id="rId180" Type="http://schemas.openxmlformats.org/officeDocument/2006/relationships/hyperlink" Target="https://doi.org/10.1001/jama.2012.5588" TargetMode="External"/><Relationship Id="rId181" Type="http://schemas.openxmlformats.org/officeDocument/2006/relationships/hyperlink" Target="https://doi.org/10.1176/ps.62.8.pss6208_0936" TargetMode="External"/><Relationship Id="rId182" Type="http://schemas.openxmlformats.org/officeDocument/2006/relationships/hyperlink" Target="https://doi.org/10.1016/j.janxdis.2016.07.010" TargetMode="External"/><Relationship Id="rId183" Type="http://schemas.openxmlformats.org/officeDocument/2006/relationships/hyperlink" Target="https://cptforptsd.com/" TargetMode="External"/><Relationship Id="rId184" Type="http://schemas.openxmlformats.org/officeDocument/2006/relationships/hyperlink" Target="https://doi.org/10.1037/0022-006X.60.5.748" TargetMode="External"/><Relationship Id="rId185" Type="http://schemas.openxmlformats.org/officeDocument/2006/relationships/hyperlink" Target="https://doi.org/10.1037/0022-006X.73.5.965" TargetMode="External"/><Relationship Id="rId186" Type="http://schemas.openxmlformats.org/officeDocument/2006/relationships/hyperlink" Target="https://doi.org/10.1002/da.22397" TargetMode="External"/><Relationship Id="rId187" Type="http://schemas.openxmlformats.org/officeDocument/2006/relationships/hyperlink" Target="https://www.apa.org/ptsd-guideline/treatments/cognitive-processing-therapy" TargetMode="External"/><Relationship Id="rId188" Type="http://schemas.openxmlformats.org/officeDocument/2006/relationships/hyperlink" Target="https://www.ptsd.va.gov/family/how_help_cpt.asp" TargetMode="External"/><Relationship Id="rId189" Type="http://schemas.openxmlformats.org/officeDocument/2006/relationships/hyperlink" Target="https://doi.org/10.1177/1357633x19853947" TargetMode="External"/><Relationship Id="rId190" Type="http://schemas.openxmlformats.org/officeDocument/2006/relationships/hyperlink" Target="https://doi.org/10.1177/1357633x15596109" TargetMode="External"/><Relationship Id="rId191" Type="http://schemas.openxmlformats.org/officeDocument/2006/relationships/hyperlink" Target="https://www.apa.org/ptsd-guideline/treatments/prolonged-exposure" TargetMode="External"/><Relationship Id="rId192" Type="http://schemas.openxmlformats.org/officeDocument/2006/relationships/hyperlink" Target="https://www.med.upenn.edu/ctsa/workshops_pet.html" TargetMode="External"/><Relationship Id="rId193" Type="http://schemas.openxmlformats.org/officeDocument/2006/relationships/hyperlink" Target="https://www.ptsd.va.gov/understand_tx/prolonged_exposure.asp" TargetMode="External"/><Relationship Id="rId194" Type="http://schemas.openxmlformats.org/officeDocument/2006/relationships/hyperlink" Target="https://doi.org/10.1002/jclp.22168" TargetMode="External"/><Relationship Id="rId195" Type="http://schemas.openxmlformats.org/officeDocument/2006/relationships/hyperlink" Target="https://doi.org/10.1016/j.brat.2016.11.009" TargetMode="External"/><Relationship Id="rId196" Type="http://schemas.openxmlformats.org/officeDocument/2006/relationships/hyperlink" Target="https://doi.org/10.1002/da.22979" TargetMode="External"/><Relationship Id="rId197" Type="http://schemas.openxmlformats.org/officeDocument/2006/relationships/hyperlink" Target="https://doi.org/10.1080/15299732.2016.1205704" TargetMode="External"/><Relationship Id="rId198" Type="http://schemas.openxmlformats.org/officeDocument/2006/relationships/hyperlink" Target="https://doi.org/10.1016/j.beth.2010.07.005" TargetMode="External"/><Relationship Id="rId199" Type="http://schemas.openxmlformats.org/officeDocument/2006/relationships/hyperlink" Target="https://doi.org/10.7326/0003-4819-151-6-200909150-00001" TargetMode="External"/><Relationship Id="rId200" Type="http://schemas.openxmlformats.org/officeDocument/2006/relationships/hyperlink" Target="https://doi.org/10.1007/s11606-011-1679-8" TargetMode="External"/><Relationship Id="rId201" Type="http://schemas.openxmlformats.org/officeDocument/2006/relationships/hyperlink" Target="https://doi.org/10.1016/j.psychres.2016.02.049" TargetMode="External"/><Relationship Id="rId202" Type="http://schemas.openxmlformats.org/officeDocument/2006/relationships/hyperlink" Target="https://nicic.gov/engaging-women-trauma-informed-peer-support-guidebook" TargetMode="External"/><Relationship Id="rId203" Type="http://schemas.openxmlformats.org/officeDocument/2006/relationships/hyperlink" Target="https://www.psychcongress.com/article/5-key-practices-providing-tech-assisted-peer-support" TargetMode="External"/><Relationship Id="rId204" Type="http://schemas.openxmlformats.org/officeDocument/2006/relationships/hyperlink" Target="https://www.samhsa.gov/newsroom/press-announcements/202010010505" TargetMode="External"/><Relationship Id="rId205" Type="http://schemas.openxmlformats.org/officeDocument/2006/relationships/hyperlink" Target="https://doi.org/10.1177/1357633X17735559" TargetMode="External"/><Relationship Id="rId206" Type="http://schemas.openxmlformats.org/officeDocument/2006/relationships/hyperlink" Target="https://doi.org/10.1016/j.psym.2020.04.008" TargetMode="External"/><Relationship Id="rId207" Type="http://schemas.openxmlformats.org/officeDocument/2006/relationships/hyperlink" Target="https://doi.org/10.1037/pro0000275" TargetMode="External"/><Relationship Id="rId208" Type="http://schemas.openxmlformats.org/officeDocument/2006/relationships/hyperlink" Target="https://doi.org/10.1037/int0000208" TargetMode="External"/><Relationship Id="rId209" Type="http://schemas.openxmlformats.org/officeDocument/2006/relationships/hyperlink" Target="https://doi.org/10.1002/da.20895" TargetMode="External"/><Relationship Id="rId210" Type="http://schemas.openxmlformats.org/officeDocument/2006/relationships/hyperlink" Target="https://doi.org/10.1002/da.22472" TargetMode="External"/><Relationship Id="rId211" Type="http://schemas.openxmlformats.org/officeDocument/2006/relationships/hyperlink" Target="https://doi.org/10.1186/s13063-016-1602-z" TargetMode="External"/><Relationship Id="rId212" Type="http://schemas.openxmlformats.org/officeDocument/2006/relationships/hyperlink" Target="https://doi.org/10.1080/00332747.2017.1354607" TargetMode="External"/><Relationship Id="rId213" Type="http://schemas.openxmlformats.org/officeDocument/2006/relationships/hyperlink" Target="https://doi.org/10.1080/08995605.2018.1503001" TargetMode="External"/><Relationship Id="rId214" Type="http://schemas.openxmlformats.org/officeDocument/2006/relationships/hyperlink" Target="https://doi.org/10.1080/13811118.2017.1392915" TargetMode="External"/><Relationship Id="rId215" Type="http://schemas.openxmlformats.org/officeDocument/2006/relationships/hyperlink" Target="https://doi.org/10.1016/j.genhosppsych.2018.05.005" TargetMode="External"/><Relationship Id="rId216" Type="http://schemas.openxmlformats.org/officeDocument/2006/relationships/hyperlink" Target="https://depts.washington.edu/ebpa/sites/default/files/C-SSRS-LifetimeRecent-Clinical.pdf" TargetMode="External"/><Relationship Id="rId217" Type="http://schemas.openxmlformats.org/officeDocument/2006/relationships/hyperlink" Target="https://doi.org/10.1016/j.psc.2019.08.009" TargetMode="External"/><Relationship Id="rId218" Type="http://schemas.openxmlformats.org/officeDocument/2006/relationships/hyperlink" Target="https://doi.org/10.2190/PM.48.1.c" TargetMode="External"/><Relationship Id="rId219" Type="http://schemas.openxmlformats.org/officeDocument/2006/relationships/hyperlink" Target="https://doi.org/10.1016/j.amepre.2010.02.018" TargetMode="External"/><Relationship Id="rId220" Type="http://schemas.openxmlformats.org/officeDocument/2006/relationships/hyperlink" Target="https://pubmed.ncbi.nlm.nih.gov/31806104/" TargetMode="External"/><Relationship Id="rId221" Type="http://schemas.openxmlformats.org/officeDocument/2006/relationships/hyperlink" Target="https://doi.org/10.1007/s11920-018-0954-3" TargetMode="External"/><Relationship Id="rId222" Type="http://schemas.openxmlformats.org/officeDocument/2006/relationships/header" Target="header8.xml"/><Relationship Id="rId223" Type="http://schemas.openxmlformats.org/officeDocument/2006/relationships/footer" Target="footer12.xml"/><Relationship Id="rId224" Type="http://schemas.openxmlformats.org/officeDocument/2006/relationships/image" Target="media/image17.png"/><Relationship Id="rId225" Type="http://schemas.openxmlformats.org/officeDocument/2006/relationships/image" Target="media/image18.jpeg"/><Relationship Id="rId226" Type="http://schemas.openxmlformats.org/officeDocument/2006/relationships/header" Target="header9.xml"/><Relationship Id="rId227" Type="http://schemas.openxmlformats.org/officeDocument/2006/relationships/footer" Target="footer13.xml"/><Relationship Id="rId228" Type="http://schemas.openxmlformats.org/officeDocument/2006/relationships/hyperlink" Target="https://www.ahrq.gov/health-literacy/improve/informed-consent/index.html" TargetMode="External"/><Relationship Id="rId229" Type="http://schemas.openxmlformats.org/officeDocument/2006/relationships/hyperlink" Target="https://www.nad.org/covid19-telehealth-access-for-providers/" TargetMode="External"/><Relationship Id="rId230" Type="http://schemas.openxmlformats.org/officeDocument/2006/relationships/hyperlink" Target="https://www.apa.org/pi/disability/resources/publications/newsletter/2013/05/telehealth-psychologists" TargetMode="External"/><Relationship Id="rId231" Type="http://schemas.openxmlformats.org/officeDocument/2006/relationships/hyperlink" Target="https://www.apaservices.org/practice/legal/technology/group-therapy-telehealth-covid-19" TargetMode="External"/><Relationship Id="rId232" Type="http://schemas.openxmlformats.org/officeDocument/2006/relationships/hyperlink" Target="https://mhttcnetwork.org/sites/default/files/2020-08/MHTTC_TelehealthInfoSheet2_GroupTelehealth_FINAL.pdf" TargetMode="External"/><Relationship Id="rId233" Type="http://schemas.openxmlformats.org/officeDocument/2006/relationships/image" Target="media/image19.png"/><Relationship Id="rId234" Type="http://schemas.openxmlformats.org/officeDocument/2006/relationships/hyperlink" Target="https://www.apa.org/practice/programs/dmhi/research-information/telepsychological-services-checklist" TargetMode="External"/><Relationship Id="rId235" Type="http://schemas.openxmlformats.org/officeDocument/2006/relationships/hyperlink" Target="https://www.psychiatry.org/psychiatrists/practice/telepsychiatry/toolkit" TargetMode="External"/><Relationship Id="rId236" Type="http://schemas.openxmlformats.org/officeDocument/2006/relationships/hyperlink" Target="https://www.cdc.gov/eval/logicmodels/index.htm" TargetMode="External"/><Relationship Id="rId237" Type="http://schemas.openxmlformats.org/officeDocument/2006/relationships/hyperlink" Target="https://www.psychiatry.org/psychiatrists/practice/telepsychiatry/toolkit/platform-software-requirements" TargetMode="External"/><Relationship Id="rId238" Type="http://schemas.openxmlformats.org/officeDocument/2006/relationships/hyperlink" Target="https://www.samhsa.gov/newsroom/press-announcements/202007131330" TargetMode="External"/><Relationship Id="rId239" Type="http://schemas.openxmlformats.org/officeDocument/2006/relationships/hyperlink" Target="https://www.deadiversion.usdoj.gov/GDP/(DEA-DC-023)(DEA075)Decision_Tree_(Final)_33120_2007.pdf" TargetMode="External"/><Relationship Id="rId240" Type="http://schemas.openxmlformats.org/officeDocument/2006/relationships/hyperlink" Target="https://data.hrsa.gov/tools/medicare/telehealth" TargetMode="External"/><Relationship Id="rId241" Type="http://schemas.openxmlformats.org/officeDocument/2006/relationships/hyperlink" Target="https://www.cchpca.org/telehealth-policy/current-state-laws-and-reimbursement-policies" TargetMode="External"/><Relationship Id="rId242" Type="http://schemas.openxmlformats.org/officeDocument/2006/relationships/hyperlink" Target="https://www.cchpca.org/telehealth-policy/state-telehealth-laws-and-reimbursement-policies-report" TargetMode="External"/><Relationship Id="rId243" Type="http://schemas.openxmlformats.org/officeDocument/2006/relationships/hyperlink" Target="https://track.govhawk.com/reports/24PKO/public" TargetMode="External"/><Relationship Id="rId244" Type="http://schemas.openxmlformats.org/officeDocument/2006/relationships/hyperlink" Target="https://www.cchpca.org/telehealth-policy/telehealth-and-medicare" TargetMode="External"/><Relationship Id="rId245" Type="http://schemas.openxmlformats.org/officeDocument/2006/relationships/hyperlink" Target="https://www.ama-assn.org/practice-management/digital/ama-telehealth-quick-guide" TargetMode="External"/><Relationship Id="rId246" Type="http://schemas.openxmlformats.org/officeDocument/2006/relationships/hyperlink" Target="https://www.federalregister.gov/documents/2018/05/11/2018-10114/authority-of-health-care-providers-to-practice-telehealth" TargetMode="External"/><Relationship Id="rId247" Type="http://schemas.openxmlformats.org/officeDocument/2006/relationships/hyperlink" Target="https://www.fsmb.org/siteassets/advocacy/pdf/state-emergency-declarations-licensures-requirementscovid-19.pdf" TargetMode="External"/><Relationship Id="rId248" Type="http://schemas.openxmlformats.org/officeDocument/2006/relationships/hyperlink" Target="https://www.counseling.org/knowledge-center/licensure-requirements/state-professional-counselor-licensure-boards" TargetMode="External"/><Relationship Id="rId249" Type="http://schemas.openxmlformats.org/officeDocument/2006/relationships/hyperlink" Target="https://www.aswb.org/" TargetMode="External"/><Relationship Id="rId250" Type="http://schemas.openxmlformats.org/officeDocument/2006/relationships/hyperlink" Target="https://www.aamft.org/Directories/MFT_Licensing_Boards.aspx" TargetMode="External"/><Relationship Id="rId251" Type="http://schemas.openxmlformats.org/officeDocument/2006/relationships/hyperlink" Target="https://www.hazelden.org/web/public/document/state-licensure-table.pdf" TargetMode="External"/><Relationship Id="rId252" Type="http://schemas.openxmlformats.org/officeDocument/2006/relationships/hyperlink" Target="https://www.cms.gov/about-cms/emergency-preparedness-response-operations/current-emergencies/coronavirus-waivers" TargetMode="External"/><Relationship Id="rId253" Type="http://schemas.openxmlformats.org/officeDocument/2006/relationships/hyperlink" Target="https://www.ama-assn.org/system/files/2020-04/ama-telehealth-playbook.pdf" TargetMode="External"/><Relationship Id="rId254" Type="http://schemas.openxmlformats.org/officeDocument/2006/relationships/hyperlink" Target="https://edhub.ama-assn.org/steps-forward/module/2702689" TargetMode="External"/><Relationship Id="rId255" Type="http://schemas.openxmlformats.org/officeDocument/2006/relationships/hyperlink" Target="https://telehealthresourcecenter.org/resources/toolkits/ctrc-telehealth-program-developer-kit/" TargetMode="External"/><Relationship Id="rId256" Type="http://schemas.openxmlformats.org/officeDocument/2006/relationships/hyperlink" Target="https://www.providerbridge.org/" TargetMode="External"/><Relationship Id="rId257" Type="http://schemas.openxmlformats.org/officeDocument/2006/relationships/hyperlink" Target="https://lnks.gd/l/eyJhbGciOiJIUzI1NiJ9.eyJidWxsZXRpbl9saW5rX2lkIjoxMjcsInVyaSI6ImJwMjpjbGljayIsImJ1bGxldGluX2lkIjoiMjAyMTAxMTkuMzM1NzAxMzEiLCJ1cmwiOiJodHRwczovL2xpY2Vuc3VyZXByb2plY3Qub3JnLyJ9.af_kcmoRhA-XSJRvM-z1tJuSrlwGK7KHZaWhLhq2XGk/s/1124089504/br/93316890852-l" TargetMode="External"/><Relationship Id="rId258" Type="http://schemas.openxmlformats.org/officeDocument/2006/relationships/hyperlink" Target="https://store.samhsa.gov/product/In-Brief-Rural-Behavioral-Health-Telehealth-Challenges-and-Opportunities/SMA16-4989" TargetMode="External"/><Relationship Id="rId259" Type="http://schemas.openxmlformats.org/officeDocument/2006/relationships/hyperlink" Target="https://www.asam.org/Quality-Science/covid-19-coronavirus/supporting-access-to-telehealth-for-addiction-services" TargetMode="External"/><Relationship Id="rId260" Type="http://schemas.openxmlformats.org/officeDocument/2006/relationships/hyperlink" Target="https://pcssnow.org/" TargetMode="External"/><Relationship Id="rId261" Type="http://schemas.openxmlformats.org/officeDocument/2006/relationships/hyperlink" Target="https://opioidresponsenetwork.org/index.aspx" TargetMode="External"/><Relationship Id="rId262" Type="http://schemas.openxmlformats.org/officeDocument/2006/relationships/hyperlink" Target="https://pcssnow.org/wp-content/uploads/2020/05/Telehealth-Tip-Sheet.pdf" TargetMode="External"/><Relationship Id="rId263" Type="http://schemas.openxmlformats.org/officeDocument/2006/relationships/header" Target="header10.xml"/><Relationship Id="rId264" Type="http://schemas.openxmlformats.org/officeDocument/2006/relationships/footer" Target="footer14.xml"/><Relationship Id="rId265" Type="http://schemas.openxmlformats.org/officeDocument/2006/relationships/hyperlink" Target="https://www.rand.org/pubs/research_reports/RRA100-4.html" TargetMode="External"/><Relationship Id="rId266" Type="http://schemas.openxmlformats.org/officeDocument/2006/relationships/hyperlink" Target="https://www.northcarolinahealthnews.org/2020/05/14/coronavirus-rural-telehealth/" TargetMode="External"/><Relationship Id="rId267" Type="http://schemas.openxmlformats.org/officeDocument/2006/relationships/hyperlink" Target="https://doi.org/10.2196/12347" TargetMode="External"/><Relationship Id="rId268" Type="http://schemas.openxmlformats.org/officeDocument/2006/relationships/hyperlink" Target="https://doi.org/10.1097/JGP.0b013e31822ccd3e" TargetMode="External"/><Relationship Id="rId269" Type="http://schemas.openxmlformats.org/officeDocument/2006/relationships/hyperlink" Target="https://doi.org/10.1016/j.genhosppsych.2005.06.009" TargetMode="External"/><Relationship Id="rId270" Type="http://schemas.openxmlformats.org/officeDocument/2006/relationships/hyperlink" Target="https://doi.org/10.2147/SHTT.S59498" TargetMode="External"/><Relationship Id="rId271" Type="http://schemas.openxmlformats.org/officeDocument/2006/relationships/hyperlink" Target="https://doi.org/10.1136/bmjopen-2014-006773" TargetMode="External"/><Relationship Id="rId272" Type="http://schemas.openxmlformats.org/officeDocument/2006/relationships/hyperlink" Target="https://doi.org/10.1186/1472-6963-12-220" TargetMode="External"/><Relationship Id="rId273" Type="http://schemas.openxmlformats.org/officeDocument/2006/relationships/hyperlink" Target="https://doi.org/10.3928/19404921-20150522-01" TargetMode="External"/><Relationship Id="rId274" Type="http://schemas.openxmlformats.org/officeDocument/2006/relationships/header" Target="header11.xml"/><Relationship Id="rId275" Type="http://schemas.openxmlformats.org/officeDocument/2006/relationships/footer" Target="footer15.xml"/><Relationship Id="rId276" Type="http://schemas.openxmlformats.org/officeDocument/2006/relationships/hyperlink" Target="https://doi.org/10.2196/jmir.3129" TargetMode="External"/><Relationship Id="rId277" Type="http://schemas.openxmlformats.org/officeDocument/2006/relationships/hyperlink" Target="https://doi.org/10.1186/s12888-014-0355-z" TargetMode="External"/><Relationship Id="rId278" Type="http://schemas.openxmlformats.org/officeDocument/2006/relationships/hyperlink" Target="https://www.healthcareitnews.com/blog/emea/clinician-burnout-during-times-covid-19" TargetMode="External"/><Relationship Id="rId279" Type="http://schemas.openxmlformats.org/officeDocument/2006/relationships/hyperlink" Target="https://hbr.org/2020/11/telehealth-is-working-for-patients-but-what-about-doctors" TargetMode="External"/><Relationship Id="rId280" Type="http://schemas.openxmlformats.org/officeDocument/2006/relationships/hyperlink" Target="https://doi.org/10.5195/ijt.2017.6231" TargetMode="External"/><Relationship Id="rId281" Type="http://schemas.openxmlformats.org/officeDocument/2006/relationships/hyperlink" Target="https://doi.org/10.1037/a0025037" TargetMode="External"/><Relationship Id="rId282" Type="http://schemas.openxmlformats.org/officeDocument/2006/relationships/hyperlink" Target="https://www.thenationalcouncil.org/wp-content/uploads/sites/2/2020/03/National-Council-Telehealth-Best-Practices.pdf?daf=375ateTbd56" TargetMode="External"/><Relationship Id="rId283" Type="http://schemas.openxmlformats.org/officeDocument/2006/relationships/hyperlink" Target="https://doi.org/10.7326/M20-1322" TargetMode="External"/><Relationship Id="rId284" Type="http://schemas.openxmlformats.org/officeDocument/2006/relationships/hyperlink" Target="https://doi.org/10.3389/fpsyg.2011.00270" TargetMode="External"/><Relationship Id="rId285" Type="http://schemas.openxmlformats.org/officeDocument/2006/relationships/hyperlink" Target="https://www.ncbi.nlm.nih.gov/pmc/articles/PMC5749954/" TargetMode="External"/><Relationship Id="rId286" Type="http://schemas.openxmlformats.org/officeDocument/2006/relationships/hyperlink" Target="https://doi.org/10.13140/RG.2.2.24652.97920/1" TargetMode="External"/><Relationship Id="rId287" Type="http://schemas.openxmlformats.org/officeDocument/2006/relationships/hyperlink" Target="https://www.theraplatform.com/blog/266/how-to-build-the-therapeutic-relationship-in-the-teletherapy-modality" TargetMode="External"/><Relationship Id="rId288" Type="http://schemas.openxmlformats.org/officeDocument/2006/relationships/hyperlink" Target="https://www.ama-assn.org/amaone/ama-digital-health-implementation-playbook" TargetMode="External"/><Relationship Id="rId289" Type="http://schemas.openxmlformats.org/officeDocument/2006/relationships/hyperlink" Target="https://www.psychiatry.org/psychiatrists/practice/telepsychiatry/toolkit/use-of-telepsychiatry-in-cross-cultural-settings" TargetMode="External"/><Relationship Id="rId290" Type="http://schemas.openxmlformats.org/officeDocument/2006/relationships/hyperlink" Target="https://doi.org/10.1016/j.psc.2019.08.001" TargetMode="External"/><Relationship Id="rId291" Type="http://schemas.openxmlformats.org/officeDocument/2006/relationships/hyperlink" Target="https://sphweb.bumc.bu.edu/otlt/mph-modules/sb/behavioralchangetheories/behavioralchangetheories4.html" TargetMode="External"/><Relationship Id="rId292" Type="http://schemas.openxmlformats.org/officeDocument/2006/relationships/hyperlink" Target="https://www.rand.org/pubs/research_reports/RRA100-1.html" TargetMode="External"/><Relationship Id="rId293" Type="http://schemas.openxmlformats.org/officeDocument/2006/relationships/hyperlink" Target="https://doi.org/10.1016/j.genhosppsych.2013.03.008" TargetMode="External"/><Relationship Id="rId294" Type="http://schemas.openxmlformats.org/officeDocument/2006/relationships/hyperlink" Target="https://www.hhs.gov/hipaa/for-professionals/special-topics/emergency-preparedness/notification-enforcement-discretion-telehealth/index.html" TargetMode="External"/><Relationship Id="rId295" Type="http://schemas.openxmlformats.org/officeDocument/2006/relationships/hyperlink" Target="https://www.thenationalcouncil.org/wp-content/uploads/2020/04/Understanding_the_New_SAMHSA_and_OCR_Guidance_for_Telehealth.pdf?daf=375ateTbd56" TargetMode="External"/><Relationship Id="rId296" Type="http://schemas.openxmlformats.org/officeDocument/2006/relationships/hyperlink" Target="https://doi.org/10.1377/hlthaff.2013.0997" TargetMode="External"/><Relationship Id="rId297" Type="http://schemas.openxmlformats.org/officeDocument/2006/relationships/hyperlink" Target="https://doi.org/10.1089/tmj.2009.0179" TargetMode="External"/><Relationship Id="rId298" Type="http://schemas.openxmlformats.org/officeDocument/2006/relationships/hyperlink" Target="https://doi.org/10.2147/AMEP.S116071" TargetMode="External"/><Relationship Id="rId299" Type="http://schemas.openxmlformats.org/officeDocument/2006/relationships/hyperlink" Target="https://www.fsmb.org/siteassets/advocacy/key-issues/telemedicine_policies_by_state.pdf" TargetMode="External"/><Relationship Id="rId300" Type="http://schemas.openxmlformats.org/officeDocument/2006/relationships/hyperlink" Target="https://doi.org/10.1377/hlthaff.2013.1054" TargetMode="External"/><Relationship Id="rId301" Type="http://schemas.openxmlformats.org/officeDocument/2006/relationships/hyperlink" Target="https://www.cchpca.org/telehealth-policy/malpractice" TargetMode="External"/><Relationship Id="rId302" Type="http://schemas.openxmlformats.org/officeDocument/2006/relationships/hyperlink" Target="https://doi.org/10.1056/NEJMsr1503323" TargetMode="External"/><Relationship Id="rId303" Type="http://schemas.openxmlformats.org/officeDocument/2006/relationships/hyperlink" Target="https://pcssnow.org/event/tele-buprenorphine-in-the-age-of-covid-19/" TargetMode="External"/><Relationship Id="rId304" Type="http://schemas.openxmlformats.org/officeDocument/2006/relationships/hyperlink" Target="https://www.medicaid.gov/sites/default/files/Federal-Policy-Guidance/Downloads/cib040220.pdf" TargetMode="External"/><Relationship Id="rId305" Type="http://schemas.openxmlformats.org/officeDocument/2006/relationships/hyperlink" Target="https://www.cchpca.org/sites/default/files/2020-05/CCHP_%2050_STATE_REPORT_SPRING_2020_FINAL.pdf" TargetMode="External"/><Relationship Id="rId306" Type="http://schemas.openxmlformats.org/officeDocument/2006/relationships/hyperlink" Target="https://www.cchpca.org/telehealth-policy/cross-state-licensing" TargetMode="External"/><Relationship Id="rId307" Type="http://schemas.openxmlformats.org/officeDocument/2006/relationships/header" Target="header12.xml"/><Relationship Id="rId308" Type="http://schemas.openxmlformats.org/officeDocument/2006/relationships/footer" Target="footer16.xml"/><Relationship Id="rId309" Type="http://schemas.openxmlformats.org/officeDocument/2006/relationships/image" Target="media/image20.png"/><Relationship Id="rId310" Type="http://schemas.openxmlformats.org/officeDocument/2006/relationships/header" Target="header13.xml"/><Relationship Id="rId311" Type="http://schemas.openxmlformats.org/officeDocument/2006/relationships/footer" Target="footer17.xml"/><Relationship Id="rId312" Type="http://schemas.openxmlformats.org/officeDocument/2006/relationships/hyperlink" Target="https://www.medschool.umaryland.edu/esmcc/" TargetMode="External"/><Relationship Id="rId313" Type="http://schemas.openxmlformats.org/officeDocument/2006/relationships/hyperlink" Target="https://www.youtube.com/watch?app=desktop&amp;v=f6mIZwTIYh8" TargetMode="External"/><Relationship Id="rId314" Type="http://schemas.openxmlformats.org/officeDocument/2006/relationships/hyperlink" Target="https://www.medschool.umaryland.edu/psychiatry/Clinical-Divisions/Division-of-Addiction-Research-and-Treatment/Overview/" TargetMode="External"/><Relationship Id="rId315" Type="http://schemas.openxmlformats.org/officeDocument/2006/relationships/hyperlink" Target="https://onlinelibrary.wiley.com/doi/epdf/10.1111/ajad.12805" TargetMode="External"/><Relationship Id="rId316" Type="http://schemas.openxmlformats.org/officeDocument/2006/relationships/image" Target="media/image21.png"/><Relationship Id="rId317" Type="http://schemas.openxmlformats.org/officeDocument/2006/relationships/image" Target="media/image22.jpeg"/><Relationship Id="rId318" Type="http://schemas.openxmlformats.org/officeDocument/2006/relationships/image" Target="media/image23.png"/><Relationship Id="rId319" Type="http://schemas.openxmlformats.org/officeDocument/2006/relationships/hyperlink" Target="https://citywide.ucsf.edu/" TargetMode="External"/><Relationship Id="rId320" Type="http://schemas.openxmlformats.org/officeDocument/2006/relationships/hyperlink" Target="https://citywide.ucsf.edu/para-telehealth" TargetMode="External"/><Relationship Id="rId321" Type="http://schemas.openxmlformats.org/officeDocument/2006/relationships/hyperlink" Target="https://www.ucsf.edu/magazine/covid-tenderloin" TargetMode="External"/><Relationship Id="rId322" Type="http://schemas.openxmlformats.org/officeDocument/2006/relationships/hyperlink" Target="https://reachprojectinc.org/" TargetMode="External"/><Relationship Id="rId323" Type="http://schemas.openxmlformats.org/officeDocument/2006/relationships/hyperlink" Target="https://www.ncbi.nlm.nih.gov/pmc/articles/PMC7815286/" TargetMode="External"/><Relationship Id="rId324" Type="http://schemas.openxmlformats.org/officeDocument/2006/relationships/hyperlink" Target="https://www.sciencedirect.com/science/article/pii/S0740547220305298" TargetMode="External"/><Relationship Id="rId325" Type="http://schemas.openxmlformats.org/officeDocument/2006/relationships/image" Target="media/image24.png"/><Relationship Id="rId326" Type="http://schemas.openxmlformats.org/officeDocument/2006/relationships/hyperlink" Target="https://europepmc.org/article/med/33551692" TargetMode="External"/><Relationship Id="rId327" Type="http://schemas.openxmlformats.org/officeDocument/2006/relationships/header" Target="header14.xml"/><Relationship Id="rId328" Type="http://schemas.openxmlformats.org/officeDocument/2006/relationships/footer" Target="footer18.xml"/><Relationship Id="rId329" Type="http://schemas.openxmlformats.org/officeDocument/2006/relationships/image" Target="media/image25.jpeg"/><Relationship Id="rId330" Type="http://schemas.openxmlformats.org/officeDocument/2006/relationships/header" Target="header15.xml"/><Relationship Id="rId331" Type="http://schemas.openxmlformats.org/officeDocument/2006/relationships/footer" Target="footer19.xml"/><Relationship Id="rId332" Type="http://schemas.openxmlformats.org/officeDocument/2006/relationships/image" Target="media/image26.jpeg"/><Relationship Id="rId333" Type="http://schemas.openxmlformats.org/officeDocument/2006/relationships/image" Target="media/image27.png"/><Relationship Id="rId334" Type="http://schemas.openxmlformats.org/officeDocument/2006/relationships/image" Target="media/image28.jpeg"/><Relationship Id="rId335" Type="http://schemas.openxmlformats.org/officeDocument/2006/relationships/hyperlink" Target="https://www.healthit.gov/faq/what-are-leading-continuous-quality-improvement-strategies-health-care-settings" TargetMode="External"/><Relationship Id="rId336" Type="http://schemas.openxmlformats.org/officeDocument/2006/relationships/hyperlink" Target="https://www.niatx.net/what-is-niatx/" TargetMode="External"/><Relationship Id="rId337" Type="http://schemas.openxmlformats.org/officeDocument/2006/relationships/hyperlink" Target="http://www.ihi.org/resources/Pages/HowtoImprove/default.aspx" TargetMode="External"/><Relationship Id="rId338" Type="http://schemas.openxmlformats.org/officeDocument/2006/relationships/hyperlink" Target="http://www.ihi.org/resources/Pages/HowtoImprove/ScienceofImprovementTestingChanges.aspx" TargetMode="External"/><Relationship Id="rId339" Type="http://schemas.openxmlformats.org/officeDocument/2006/relationships/hyperlink" Target="https://www.nj.gov/dcf/about/divisions/opma/cqi.html" TargetMode="External"/><Relationship Id="rId340" Type="http://schemas.openxmlformats.org/officeDocument/2006/relationships/hyperlink" Target="https://www.hhs.gov/ash/oah/sites/default/files/cqi-intro.pdf" TargetMode="External"/><Relationship Id="rId341" Type="http://schemas.openxmlformats.org/officeDocument/2006/relationships/hyperlink" Target="https://www.apa.org/pi/about/publications/caregivers/practice-settings/assessment/tools/beck-depression" TargetMode="External"/><Relationship Id="rId342" Type="http://schemas.openxmlformats.org/officeDocument/2006/relationships/hyperlink" Target="https://web.stanford.edu/~yesavage/GDS.html" TargetMode="External"/><Relationship Id="rId343" Type="http://schemas.openxmlformats.org/officeDocument/2006/relationships/hyperlink" Target="https://www.appi.org/products/structured-clinical-interview-for-dsm-5-scid-5" TargetMode="External"/><Relationship Id="rId344" Type="http://schemas.openxmlformats.org/officeDocument/2006/relationships/hyperlink" Target="https://www.apa.org/depression-guideline/hamilton-rating-scale.pdf" TargetMode="External"/><Relationship Id="rId345" Type="http://schemas.openxmlformats.org/officeDocument/2006/relationships/hyperlink" Target="https://www.apa.org/depression-guideline/epidemiologic-studies-scale.pdf" TargetMode="External"/><Relationship Id="rId346" Type="http://schemas.openxmlformats.org/officeDocument/2006/relationships/hyperlink" Target="https://www.apa.org/depression-guideline/patient-health-questionnaire.pdf" TargetMode="External"/><Relationship Id="rId347" Type="http://schemas.openxmlformats.org/officeDocument/2006/relationships/hyperlink" Target="https://www.ptsd.va.gov/professional/assessment/adult-sr/ptsd-checklist.asp" TargetMode="External"/><Relationship Id="rId348" Type="http://schemas.openxmlformats.org/officeDocument/2006/relationships/hyperlink" Target="https://www.ptsd.va.gov/professional/assessment/adult-int/caps.asp" TargetMode="External"/><Relationship Id="rId349" Type="http://schemas.openxmlformats.org/officeDocument/2006/relationships/hyperlink" Target="https://www.ptsd.va.gov/professional/assessment/adult-int/pss-i.asp" TargetMode="External"/><Relationship Id="rId350" Type="http://schemas.openxmlformats.org/officeDocument/2006/relationships/hyperlink" Target="https://www.pearsonassessments.com/store/usassessments/en/Store/Professional-Assessments/Personality-%26-Biopsychosocial/Beck-Anxiety-Inventory/p/100000251.html" TargetMode="External"/><Relationship Id="rId351" Type="http://schemas.openxmlformats.org/officeDocument/2006/relationships/hyperlink" Target="https://hqlo.biomedcentral.com/articles/10.1186/s12955-016-0533-4" TargetMode="External"/><Relationship Id="rId352" Type="http://schemas.openxmlformats.org/officeDocument/2006/relationships/hyperlink" Target="https://link.springer.com/referenceworkentry/10.1007%2F978-3-319-56782-2_2011-2" TargetMode="External"/><Relationship Id="rId353" Type="http://schemas.openxmlformats.org/officeDocument/2006/relationships/hyperlink" Target="https://pubmed.ncbi.nlm.nih.gov/10259963/" TargetMode="External"/><Relationship Id="rId354" Type="http://schemas.openxmlformats.org/officeDocument/2006/relationships/hyperlink" Target="https://doi.org/10.1037/0735-7028.39.4.435" TargetMode="External"/><Relationship Id="rId355" Type="http://schemas.openxmlformats.org/officeDocument/2006/relationships/hyperlink" Target="https://www.ncbi.nlm.nih.gov/pmc/articles/PMC4985278/" TargetMode="External"/><Relationship Id="rId356" Type="http://schemas.openxmlformats.org/officeDocument/2006/relationships/hyperlink" Target="https://www.ncbi.nlm.nih.gov/pmc/articles/PMC1656962/" TargetMode="External"/><Relationship Id="rId357" Type="http://schemas.openxmlformats.org/officeDocument/2006/relationships/hyperlink" Target="https://www.med.upenn.edu/cpr/assets/user-content/documents/HAQ2QUES.pdf" TargetMode="External"/><Relationship Id="rId358" Type="http://schemas.openxmlformats.org/officeDocument/2006/relationships/hyperlink" Target="https://onlinelibrary.wiley.com/doi/abs/10.1002/cpp.658" TargetMode="External"/><Relationship Id="rId359" Type="http://schemas.openxmlformats.org/officeDocument/2006/relationships/hyperlink" Target="https://www.mywellbeingindex.org/" TargetMode="External"/><Relationship Id="rId360" Type="http://schemas.openxmlformats.org/officeDocument/2006/relationships/hyperlink" Target="https://www.vumc.org/health-wellness/sites/vumc.org.health-wellness/files/public_files/PDFs/wlc/wlcMiniZ.pdf" TargetMode="External"/><Relationship Id="rId361" Type="http://schemas.openxmlformats.org/officeDocument/2006/relationships/hyperlink" Target="https://www.cdc.gov/eval/framework/index.htm" TargetMode="External"/><Relationship Id="rId362" Type="http://schemas.openxmlformats.org/officeDocument/2006/relationships/hyperlink" Target="https://ctb.ku.edu/en/toolkits" TargetMode="External"/><Relationship Id="rId363" Type="http://schemas.openxmlformats.org/officeDocument/2006/relationships/hyperlink" Target="https://ctb.ku.edu/en/evaluating-initiative" TargetMode="External"/><Relationship Id="rId364" Type="http://schemas.openxmlformats.org/officeDocument/2006/relationships/hyperlink" Target="https://www.sustaintool.org/psat/" TargetMode="External"/><Relationship Id="rId365" Type="http://schemas.openxmlformats.org/officeDocument/2006/relationships/hyperlink" Target="https://www.sustaintool.org/csat/" TargetMode="External"/><Relationship Id="rId366" Type="http://schemas.openxmlformats.org/officeDocument/2006/relationships/hyperlink" Target="http://www.ihi.org/resources/Pages/Tools/Quality-Improvement-Essentials-Toolkit.aspx" TargetMode="External"/><Relationship Id="rId367" Type="http://schemas.openxmlformats.org/officeDocument/2006/relationships/hyperlink" Target="https://www.ruralhealthinfo.org/" TargetMode="External"/><Relationship Id="rId368" Type="http://schemas.openxmlformats.org/officeDocument/2006/relationships/hyperlink" Target="https://www.ruralhealthinfo.org/toolkits/mental-health/5/evaluation" TargetMode="External"/><Relationship Id="rId369" Type="http://schemas.openxmlformats.org/officeDocument/2006/relationships/hyperlink" Target="https://www.ruralhealthinfo.org/toolkits/substance-abuse" TargetMode="External"/><Relationship Id="rId370" Type="http://schemas.openxmlformats.org/officeDocument/2006/relationships/hyperlink" Target="https://www.ruralhealthinfo.org/toolkits/telehealth/5/evaluation" TargetMode="External"/><Relationship Id="rId371" Type="http://schemas.openxmlformats.org/officeDocument/2006/relationships/header" Target="header16.xml"/><Relationship Id="rId372" Type="http://schemas.openxmlformats.org/officeDocument/2006/relationships/footer" Target="footer20.xml"/><Relationship Id="rId373" Type="http://schemas.openxmlformats.org/officeDocument/2006/relationships/header" Target="header17.xml"/><Relationship Id="rId374" Type="http://schemas.openxmlformats.org/officeDocument/2006/relationships/footer" Target="footer21.xml"/><Relationship Id="rId375" Type="http://schemas.openxmlformats.org/officeDocument/2006/relationships/image" Target="media/image29.png"/><Relationship Id="rId376" Type="http://schemas.openxmlformats.org/officeDocument/2006/relationships/header" Target="header18.xml"/><Relationship Id="rId377" Type="http://schemas.openxmlformats.org/officeDocument/2006/relationships/footer" Target="footer22.xml"/><Relationship Id="rId378" Type="http://schemas.openxmlformats.org/officeDocument/2006/relationships/image" Target="media/image30.png"/><Relationship Id="rId379" Type="http://schemas.openxmlformats.org/officeDocument/2006/relationships/hyperlink" Target="http://www.samhsa.gov/" TargetMode="External"/><Relationship Id="rId380" Type="http://schemas.openxmlformats.org/officeDocument/2006/relationships/numbering" Target="numbering.xml"/></Relationships>

</file>

<file path=word/_rels/header4.xml.rels><?xml version="1.0" encoding="UTF-8" standalone="yes"?>
<Relationships xmlns="http://schemas.openxmlformats.org/package/2006/relationships"><Relationship Id="rId1" Type="http://schemas.openxmlformats.org/officeDocument/2006/relationships/image" Target="media/image13.jpeg"/></Relationships>

</file>

<file path=word/_rels/header5.xml.rels><?xml version="1.0" encoding="UTF-8" standalone="yes"?>
<Relationships xmlns="http://schemas.openxmlformats.org/package/2006/relationships"><Relationship Id="rId1" Type="http://schemas.openxmlformats.org/officeDocument/2006/relationships/image" Target="media/image13.jpeg"/></Relationships>

</file>

<file path=word/_rels/header6.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Substance Abuse and Mental Health Services Administration</dc:creator>
  <cp:keywords>telehealth; mental health; substance use; treatment</cp:keywords>
  <dc:subject>Telehealth</dc:subject>
  <dc:title>Telehealth for the Treatment of Serious Mental Illness and Substance Use Disorders</dc:title>
  <dcterms:created xsi:type="dcterms:W3CDTF">2022-01-17T17:38:12Z</dcterms:created>
  <dcterms:modified xsi:type="dcterms:W3CDTF">2022-01-17T17:38:12Z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2021-05-27T00:00:00Z</vt:filetime>
  </property>
  <property fmtid="{D5CDD505-2E9C-101B-9397-08002B2CF9AE}" pid="3" name="Creator">
    <vt:lpwstr>Adobe InDesign 16.2 (Windows)</vt:lpwstr>
  </property>
  <property fmtid="{D5CDD505-2E9C-101B-9397-08002B2CF9AE}" pid="4" name="LastSaved">
    <vt:filetime>2022-01-17T00:00:00Z</vt:filetime>
  </property>
</Properties>
</file>